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494FF">
      <w:pPr>
        <w:spacing w:before="0" w:after="40" w:line="264" w:lineRule="auto"/>
        <w:jc w:val="both"/>
        <w:rPr>
          <w:rFonts w:ascii="微软雅黑" w:hAnsi="微软雅黑" w:eastAsia="微软雅黑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</w:pPr>
    </w:p>
    <w:p w14:paraId="327B74C0">
      <w:pPr>
        <w:spacing w:before="0" w:after="40" w:line="264" w:lineRule="auto"/>
        <w:ind w:firstLine="720" w:firstLineChars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AutoMind：面向智网意图场景的跨域分布式多智能体调度系统</w:t>
      </w:r>
    </w:p>
    <w:p w14:paraId="2C235B98">
      <w:pPr>
        <w:spacing w:before="0" w:after="240" w:line="264" w:lineRule="auto"/>
        <w:ind w:left="2880" w:leftChars="0" w:firstLine="720" w:firstLineChars="0"/>
        <w:rPr>
          <w:rFonts w:ascii="微软雅黑" w:hAnsi="微软雅黑" w:eastAsia="微软雅黑"/>
          <w:b/>
          <w:color w:val="auto"/>
          <w:sz w:val="32"/>
        </w:rPr>
      </w:pPr>
      <w:r>
        <w:rPr>
          <w:rFonts w:ascii="微软雅黑" w:hAnsi="微软雅黑" w:eastAsia="微软雅黑"/>
          <w:b/>
          <w:color w:val="auto"/>
          <w:sz w:val="32"/>
        </w:rPr>
        <w:t>作品设计文档</w:t>
      </w:r>
      <w:bookmarkStart w:id="11" w:name="_GoBack"/>
      <w:bookmarkEnd w:id="11"/>
    </w:p>
    <w:p w14:paraId="45946AE2">
      <w:pPr>
        <w:spacing w:before="0" w:after="240" w:line="264" w:lineRule="auto"/>
        <w:ind w:left="2880" w:leftChars="0" w:firstLine="720" w:firstLineChars="0"/>
        <w:rPr>
          <w:rFonts w:ascii="微软雅黑" w:hAnsi="微软雅黑" w:eastAsia="微软雅黑"/>
          <w:b/>
          <w:color w:val="auto"/>
          <w:sz w:val="32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0634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color w:val="auto"/>
          <w:sz w:val="22"/>
          <w:szCs w:val="22"/>
          <w:lang w:val="en-US" w:eastAsia="en-US" w:bidi="ar-SA"/>
        </w:rPr>
      </w:sdtEndPr>
      <w:sdtContent>
        <w:p w14:paraId="525793C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84E2DAE">
          <w:pPr>
            <w:pStyle w:val="26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b/>
              <w:color w:val="auto"/>
              <w:sz w:val="32"/>
            </w:rPr>
            <w:fldChar w:fldCharType="begin"/>
          </w:r>
          <w:r>
            <w:rPr>
              <w:rFonts w:ascii="微软雅黑" w:hAnsi="微软雅黑" w:eastAsia="微软雅黑"/>
              <w:b/>
              <w:color w:val="auto"/>
              <w:sz w:val="32"/>
            </w:rPr>
            <w:instrText xml:space="preserve">TOC \o "1-3" \h \u </w:instrText>
          </w:r>
          <w:r>
            <w:rPr>
              <w:rFonts w:ascii="微软雅黑" w:hAnsi="微软雅黑" w:eastAsia="微软雅黑"/>
              <w:b/>
              <w:color w:val="auto"/>
              <w:sz w:val="32"/>
            </w:rPr>
            <w:fldChar w:fldCharType="separate"/>
          </w: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_Toc19344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一、目标问题与意义价值</w:t>
          </w:r>
          <w:r>
            <w:tab/>
          </w:r>
          <w:r>
            <w:fldChar w:fldCharType="begin"/>
          </w:r>
          <w:r>
            <w:instrText xml:space="preserve"> PAGEREF _Toc19344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67E7C9DE">
          <w:pPr>
            <w:pStyle w:val="26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_Toc27584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二、设计思路与方案</w:t>
          </w:r>
          <w:r>
            <w:tab/>
          </w:r>
          <w:r>
            <w:fldChar w:fldCharType="begin"/>
          </w:r>
          <w:r>
            <w:instrText xml:space="preserve"> PAGEREF _Toc27584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46C73FF1">
          <w:pPr>
            <w:pStyle w:val="29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_Toc3635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2.1 总体技术路线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45148F54">
          <w:pPr>
            <w:pStyle w:val="29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_Toc4353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2.3 关键流程</w:t>
          </w:r>
          <w:r>
            <w:tab/>
          </w:r>
          <w:r>
            <w:fldChar w:fldCharType="begin"/>
          </w:r>
          <w:r>
            <w:instrText xml:space="preserve"> PAGEREF _Toc4353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7AD8DF4A">
          <w:pPr>
            <w:pStyle w:val="26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_Toc12437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 xml:space="preserve">三、 </w:t>
          </w:r>
          <w:r>
            <w:rPr>
              <w:rFonts w:ascii="微软雅黑" w:hAnsi="微软雅黑" w:eastAsia="微软雅黑"/>
            </w:rPr>
            <w:t>方案实现</w:t>
          </w:r>
          <w:r>
            <w:tab/>
          </w:r>
          <w:r>
            <w:fldChar w:fldCharType="begin"/>
          </w:r>
          <w:r>
            <w:instrText xml:space="preserve"> PAGEREF _Toc12437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6FAC4617">
          <w:pPr>
            <w:pStyle w:val="29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_Toc26262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3</w:t>
          </w:r>
          <w:r>
            <w:rPr>
              <w:rFonts w:hint="eastAsia"/>
              <w:lang w:val="en-US" w:eastAsia="zh-CN"/>
            </w:rPr>
            <w:t>.1</w:t>
          </w:r>
          <w:r>
            <w:rPr>
              <w:rFonts w:ascii="微软雅黑" w:hAnsi="微软雅黑" w:eastAsia="微软雅黑"/>
            </w:rPr>
            <w:t xml:space="preserve"> </w:t>
          </w:r>
          <w:r>
            <w:rPr>
              <w:rFonts w:hint="eastAsia"/>
              <w:lang w:val="en-US" w:eastAsia="zh-CN"/>
            </w:rPr>
            <w:t>软件技术与集成方法</w:t>
          </w:r>
          <w:r>
            <w:tab/>
          </w:r>
          <w:r>
            <w:fldChar w:fldCharType="begin"/>
          </w:r>
          <w:r>
            <w:instrText xml:space="preserve"> PAGEREF _Toc26262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02A205AF">
          <w:pPr>
            <w:pStyle w:val="29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_Toc8266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cs="Times New Roman"/>
              <w:bCs w:val="0"/>
              <w:kern w:val="0"/>
              <w:szCs w:val="26"/>
              <w:lang w:val="en-US" w:eastAsia="zh-CN" w:bidi="ar"/>
            </w:rPr>
            <w:t>3.2</w:t>
          </w:r>
          <w:r>
            <w:rPr>
              <w:rFonts w:hint="eastAsia" w:ascii="微软雅黑" w:hAnsi="微软雅黑" w:eastAsia="微软雅黑" w:cs="Times New Roman"/>
              <w:bCs w:val="0"/>
              <w:kern w:val="0"/>
              <w:szCs w:val="26"/>
              <w:lang w:val="en-US" w:eastAsia="zh-CN" w:bidi="ar"/>
            </w:rPr>
            <w:t xml:space="preserve"> </w:t>
          </w:r>
          <w:r>
            <w:rPr>
              <w:rFonts w:hint="eastAsia" w:cs="Times New Roman"/>
              <w:bCs w:val="0"/>
              <w:kern w:val="0"/>
              <w:szCs w:val="26"/>
              <w:lang w:val="en-US" w:eastAsia="zh-CN" w:bidi="ar"/>
            </w:rPr>
            <w:t>功能模块实现</w:t>
          </w:r>
          <w:r>
            <w:tab/>
          </w:r>
          <w:r>
            <w:fldChar w:fldCharType="begin"/>
          </w:r>
          <w:r>
            <w:instrText xml:space="preserve"> PAGEREF _Toc8266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46D0F2C7">
          <w:pPr>
            <w:pStyle w:val="29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_Toc21050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cs="Times New Roman"/>
              <w:bCs w:val="0"/>
              <w:kern w:val="0"/>
              <w:szCs w:val="26"/>
              <w:lang w:val="en-US" w:eastAsia="zh-CN" w:bidi="ar"/>
            </w:rPr>
            <w:t>3</w:t>
          </w:r>
          <w:r>
            <w:rPr>
              <w:rFonts w:hint="eastAsia" w:ascii="微软雅黑" w:hAnsi="微软雅黑" w:eastAsia="微软雅黑" w:cs="Times New Roman"/>
              <w:bCs w:val="0"/>
              <w:kern w:val="0"/>
              <w:szCs w:val="26"/>
              <w:lang w:val="en-US" w:eastAsia="zh-CN" w:bidi="ar"/>
            </w:rPr>
            <w:t xml:space="preserve">.3 </w:t>
          </w:r>
          <w:r>
            <w:rPr>
              <w:rFonts w:hint="eastAsia" w:cs="Times New Roman"/>
              <w:bCs w:val="0"/>
              <w:kern w:val="0"/>
              <w:szCs w:val="26"/>
              <w:lang w:val="en-US" w:eastAsia="zh-CN" w:bidi="ar"/>
            </w:rPr>
            <w:t>数据模型与审计链路</w:t>
          </w:r>
          <w:r>
            <w:tab/>
          </w:r>
          <w:r>
            <w:fldChar w:fldCharType="begin"/>
          </w:r>
          <w:r>
            <w:instrText xml:space="preserve"> PAGEREF _Toc21050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65815DB7">
          <w:pPr>
            <w:pStyle w:val="26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_Toc2230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四、运行结果/应用效果</w:t>
          </w:r>
          <w:r>
            <w:tab/>
          </w:r>
          <w:r>
            <w:fldChar w:fldCharType="begin"/>
          </w:r>
          <w:r>
            <w:instrText xml:space="preserve"> PAGEREF _Toc2230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6302078C">
          <w:pPr>
            <w:pStyle w:val="26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_Toc1035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五、创新与特色</w:t>
          </w:r>
          <w:r>
            <w:tab/>
          </w:r>
          <w:r>
            <w:fldChar w:fldCharType="begin"/>
          </w:r>
          <w:r>
            <w:instrText xml:space="preserve"> PAGEREF _Toc1035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7CED4DCD">
          <w:pPr>
            <w:pStyle w:val="26"/>
            <w:tabs>
              <w:tab w:val="right" w:leader="dot" w:pos="9360"/>
            </w:tabs>
          </w:pPr>
          <w:r>
            <w:rPr>
              <w:rFonts w:ascii="微软雅黑" w:hAnsi="微软雅黑" w:eastAsia="微软雅黑"/>
              <w:color w:val="auto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_Toc27298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六、后续完善方向</w:t>
          </w:r>
          <w:r>
            <w:tab/>
          </w:r>
          <w:r>
            <w:fldChar w:fldCharType="begin"/>
          </w:r>
          <w:r>
            <w:instrText xml:space="preserve"> PAGEREF _Toc27298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color w:val="auto"/>
            </w:rPr>
            <w:fldChar w:fldCharType="end"/>
          </w:r>
        </w:p>
        <w:p w14:paraId="5579223E">
          <w:pPr>
            <w:spacing w:before="320" w:after="160"/>
            <w:rPr>
              <w:rFonts w:ascii="微软雅黑" w:hAnsi="微软雅黑" w:eastAsia="微软雅黑" w:cstheme="minorBidi"/>
              <w:color w:val="auto"/>
              <w:sz w:val="22"/>
              <w:szCs w:val="22"/>
              <w:lang w:val="en-US" w:eastAsia="en-US" w:bidi="ar-SA"/>
            </w:rPr>
          </w:pPr>
          <w:r>
            <w:rPr>
              <w:rFonts w:ascii="微软雅黑" w:hAnsi="微软雅黑" w:eastAsia="微软雅黑"/>
              <w:color w:val="auto"/>
            </w:rPr>
            <w:fldChar w:fldCharType="end"/>
          </w:r>
        </w:p>
      </w:sdtContent>
    </w:sdt>
    <w:p w14:paraId="15A79B79">
      <w:pPr>
        <w:spacing w:before="320" w:after="160"/>
        <w:outlineLvl w:val="0"/>
        <w:rPr>
          <w:rFonts w:ascii="微软雅黑" w:hAnsi="微软雅黑" w:eastAsia="微软雅黑"/>
          <w:b/>
          <w:color w:val="auto"/>
          <w:sz w:val="32"/>
        </w:rPr>
      </w:pPr>
      <w:bookmarkStart w:id="0" w:name="_Toc19344"/>
    </w:p>
    <w:p w14:paraId="168858A3">
      <w:pPr>
        <w:spacing w:before="320" w:after="160"/>
        <w:outlineLvl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一、目标问题与意义价值</w:t>
      </w:r>
      <w:bookmarkEnd w:id="0"/>
    </w:p>
    <w:p w14:paraId="28AA7266">
      <w:pPr>
        <w:spacing w:before="0" w:after="120" w:line="264" w:lineRule="auto"/>
      </w:pPr>
      <w:r>
        <w:rPr>
          <w:rFonts w:ascii="微软雅黑" w:hAnsi="微软雅黑" w:eastAsia="微软雅黑"/>
          <w:b w:val="0"/>
          <w:sz w:val="22"/>
        </w:rPr>
        <w:t>AutoMind 面向“智网意图”场景，关注业务用户以自然语言提出网络质量保障需求后，如何将模糊业务语言转化为可校验、可审计、可执行的网络策略执行闭环。系统当前不直接接入真实物理网络设备或生产流量，而是在软件模拟环境中完成意图解析、多智能体协同、MCP 工具调用、SLA 遥测评估、异常注入与自愈恢复演示。</w:t>
      </w:r>
    </w:p>
    <w:p w14:paraId="501FDE1B">
      <w:pPr>
        <w:spacing w:after="80" w:line="264" w:lineRule="auto"/>
        <w:ind w:left="360" w:hanging="173"/>
      </w:pPr>
      <w:r>
        <w:rPr>
          <w:rFonts w:ascii="微软雅黑" w:hAnsi="微软雅黑" w:eastAsia="微软雅黑"/>
          <w:sz w:val="22"/>
        </w:rPr>
        <w:t>· 应用领域：面向企业专线、跨域园区网、教育直播、金融结算、制造视觉巡检等需要确定性网络服务质量的场景。</w:t>
      </w:r>
    </w:p>
    <w:p w14:paraId="0CA6FBB8">
      <w:pPr>
        <w:spacing w:after="80" w:line="264" w:lineRule="auto"/>
        <w:ind w:left="360" w:hanging="173"/>
      </w:pPr>
      <w:r>
        <w:rPr>
          <w:rFonts w:ascii="微软雅黑" w:hAnsi="微软雅黑" w:eastAsia="微软雅黑"/>
          <w:sz w:val="22"/>
        </w:rPr>
        <w:t>· 关注问题：传统网络配置依赖人工理解业务目标、手工检索拓扑与资源状态，策略下发与 SLA 验证之间缺少连续审计链路。</w:t>
      </w:r>
    </w:p>
    <w:p w14:paraId="6C59371A">
      <w:pPr>
        <w:spacing w:after="80" w:line="264" w:lineRule="auto"/>
        <w:ind w:left="360" w:hanging="173"/>
      </w:pPr>
      <w:r>
        <w:rPr>
          <w:rFonts w:ascii="微软雅黑" w:hAnsi="微软雅黑" w:eastAsia="微软雅黑"/>
          <w:sz w:val="22"/>
        </w:rPr>
        <w:t>· 实现目标：通过 Supervisor、Planner、Executor、Monitor 多智能体完成 Plan-Execute-Verify 闭环，使自然语言意图转化为结构化计划、模拟策略执行、SLA 验证和自愈重规划。</w:t>
      </w:r>
    </w:p>
    <w:p w14:paraId="535CB94A">
      <w:pPr>
        <w:spacing w:after="80" w:line="264" w:lineRule="auto"/>
        <w:ind w:left="360" w:hanging="173"/>
      </w:pPr>
      <w:r>
        <w:rPr>
          <w:rFonts w:ascii="微软雅黑" w:hAnsi="微软雅黑" w:eastAsia="微软雅黑"/>
          <w:sz w:val="22"/>
        </w:rPr>
        <w:t>· 应用价值：降低业务侧表达网络需求的门槛，提高跨域网络调度的可解释性、可追踪性和演示验证效率，为后续接入真实 SDN 控制器或网络仿真平台预留工程边界。</w:t>
      </w:r>
    </w:p>
    <w:p w14:paraId="238BF27E">
      <w:pPr>
        <w:spacing w:before="320" w:after="160"/>
        <w:outlineLvl w:val="0"/>
        <w:rPr>
          <w:color w:val="auto"/>
        </w:rPr>
      </w:pPr>
      <w:bookmarkStart w:id="1" w:name="_Toc27584"/>
      <w:r>
        <w:rPr>
          <w:rFonts w:ascii="微软雅黑" w:hAnsi="微软雅黑" w:eastAsia="微软雅黑"/>
          <w:b/>
          <w:color w:val="auto"/>
          <w:sz w:val="32"/>
        </w:rPr>
        <w:t>二、设计思路与方案</w:t>
      </w:r>
      <w:bookmarkEnd w:id="1"/>
    </w:p>
    <w:p w14:paraId="64E1B833">
      <w:pPr>
        <w:spacing w:before="240" w:after="120"/>
        <w:outlineLvl w:val="1"/>
        <w:rPr>
          <w:color w:val="auto"/>
        </w:rPr>
      </w:pPr>
      <w:bookmarkStart w:id="2" w:name="_Toc3635"/>
      <w:r>
        <w:rPr>
          <w:rFonts w:ascii="微软雅黑" w:hAnsi="微软雅黑" w:eastAsia="微软雅黑"/>
          <w:b/>
          <w:color w:val="auto"/>
          <w:sz w:val="26"/>
        </w:rPr>
        <w:t>2.1 总体技术路线</w:t>
      </w:r>
      <w:bookmarkEnd w:id="2"/>
    </w:p>
    <w:p w14:paraId="7B3C8886">
      <w:pPr>
        <w:spacing w:before="0" w:after="120" w:line="264" w:lineRule="auto"/>
      </w:pPr>
      <w:r>
        <w:rPr>
          <w:rFonts w:ascii="微软雅黑" w:hAnsi="微软雅黑" w:eastAsia="微软雅黑"/>
          <w:b w:val="0"/>
          <w:sz w:val="22"/>
        </w:rPr>
        <w:t>系统采用 Maven 多模块单体与独立模拟器进程结合的方案：AutoMind-service 作为智能编排与业务 API 中心，AutoMind-common 承载通用异常、上下文、响应模型和工具能力，AutoMind-simulator 作为独立遥测与 SLA 数据生成进程。主服务端口为 9090，模拟器端口为 9091，二者通过内部令牌保护的 HTTP 接口传递实时 SLA 事件。</w:t>
      </w:r>
    </w:p>
    <w:p w14:paraId="4551EDDE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1. 意图入口：用户通过 /intent-request/submit 提交自然语言需求，系统记录租户、用户、角色和 traceId。</w:t>
      </w:r>
    </w:p>
    <w:p w14:paraId="21C2B31E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2. 智能编排：Supervisor 解析意图并输出置信度；Planner 生成路径与资源计划；Executor 通过 MCP 调用模拟控制能力；Monitor 读取遥测并形成 SLA 结论。</w:t>
      </w:r>
    </w:p>
    <w:p w14:paraId="35F5D7ED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3. 管控闭环：低置信度、跨域降级、高风险 MCP 操作或高风险计划进入审批队列，审批通过后自动恢复编排。</w:t>
      </w:r>
    </w:p>
    <w:p w14:paraId="33F4156F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4. 运行验证：模拟器按周期生成正常遥测、按需注入异常，服务端通过 SLA 记录、实时事件流和自愈记录呈现运行效果。</w:t>
      </w:r>
    </w:p>
    <w:p w14:paraId="022B80FA">
      <w:pPr>
        <w:pStyle w:val="23"/>
        <w:bidi w:val="0"/>
        <w:ind w:left="720" w:leftChars="0" w:hanging="360" w:firstLineChars="0"/>
        <w:outlineLvl w:val="9"/>
      </w:pPr>
      <w:r>
        <w:t>2.2 架构组成</w:t>
      </w:r>
    </w:p>
    <w:tbl>
      <w:tblPr>
        <w:tblStyle w:val="34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1100B8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854A">
            <w:r>
              <w:rPr>
                <w:rFonts w:ascii="微软雅黑" w:hAnsi="微软雅黑" w:eastAsia="微软雅黑"/>
                <w:b/>
                <w:sz w:val="21"/>
              </w:rPr>
              <w:t>层次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3CD8">
            <w:r>
              <w:rPr>
                <w:rFonts w:ascii="微软雅黑" w:hAnsi="微软雅黑" w:eastAsia="微软雅黑"/>
                <w:b/>
                <w:sz w:val="21"/>
              </w:rPr>
              <w:t>核心组件</w:t>
            </w:r>
          </w:p>
        </w:tc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BF8D">
            <w:r>
              <w:rPr>
                <w:rFonts w:ascii="微软雅黑" w:hAnsi="微软雅黑" w:eastAsia="微软雅黑"/>
                <w:b/>
                <w:sz w:val="21"/>
              </w:rPr>
              <w:t>设计说明</w:t>
            </w:r>
          </w:p>
        </w:tc>
      </w:tr>
      <w:tr w14:paraId="6130022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1C6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用户与管理入口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26E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用户认证、意图提交、审批队列、拓扑与 SLA 查询接口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A42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区分业务用户、管理员、运维和审计角色，接口通过租户上下文进行数据隔离。</w:t>
            </w:r>
          </w:p>
        </w:tc>
      </w:tr>
      <w:tr w14:paraId="2D0A6D8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7D4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Intelligence Plane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AC3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Supervisor、Planner、Executor、Monitor、PEV 状态机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F0F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围绕意图生命周期组织 Agent 任务，记录输入、输出、置信度、错误码和执行时间。</w:t>
            </w:r>
          </w:p>
        </w:tc>
      </w:tr>
      <w:tr w14:paraId="592E5EF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3A8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工具与控制层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C0B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MCP Client、Mock MCP Server、get_topo / set_qos / block_flow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D6F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使用标准化工具注册、角色校验、超时分类、重试熔断和调用日志模拟 SDN 控制器能力。</w:t>
            </w:r>
          </w:p>
        </w:tc>
      </w:tr>
      <w:tr w14:paraId="1CB9FE6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0AF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跨域协同层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9FB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A2A Message、Sender/Receiver、FallbackGuard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C75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用于跨网络域交换链路状态；通信失败时进入本域自治降级，并保留审计消息。</w:t>
            </w:r>
          </w:p>
        </w:tc>
      </w:tr>
      <w:tr w14:paraId="65AB375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C652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监控与自愈层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B6F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SLA Evaluator、HealingEngine、SSE 实时推送、Simulator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E25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检测 SLA 违约、MCP 超时、A2A 降级等事件，触发有限重规划或人工接管。</w:t>
            </w:r>
          </w:p>
        </w:tc>
      </w:tr>
      <w:tr w14:paraId="39362F3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DA1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数据与审计层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102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MySQL、Redis、mcp_call_log、agent_task、approval_record、healing_record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37D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将意图、任务、审批、工具调用、SLA 和遥测数据用 traceId 与 intentId 关联。</w:t>
            </w:r>
          </w:p>
        </w:tc>
      </w:tr>
    </w:tbl>
    <w:p w14:paraId="7E6D9D69">
      <w:pPr>
        <w:spacing w:before="0" w:after="40" w:line="264" w:lineRule="auto"/>
      </w:pPr>
    </w:p>
    <w:p w14:paraId="5852388E">
      <w:pPr>
        <w:spacing w:before="240" w:after="120"/>
        <w:outlineLvl w:val="1"/>
        <w:rPr>
          <w:color w:val="auto"/>
        </w:rPr>
      </w:pPr>
      <w:bookmarkStart w:id="3" w:name="_Toc4353"/>
      <w:r>
        <w:rPr>
          <w:rFonts w:ascii="微软雅黑" w:hAnsi="微软雅黑" w:eastAsia="微软雅黑"/>
          <w:b/>
          <w:color w:val="auto"/>
          <w:sz w:val="26"/>
        </w:rPr>
        <w:t>2.3 关键流程</w:t>
      </w:r>
      <w:bookmarkEnd w:id="3"/>
    </w:p>
    <w:p w14:paraId="7BE1FCBA">
      <w:pPr>
        <w:spacing w:before="0" w:after="120" w:line="264" w:lineRule="auto"/>
      </w:pPr>
      <w:r>
        <w:rPr>
          <w:rFonts w:ascii="微软雅黑" w:hAnsi="微软雅黑" w:eastAsia="微软雅黑"/>
          <w:b w:val="0"/>
          <w:sz w:val="22"/>
        </w:rPr>
        <w:t>核心业务流程可概括为“自然语言意图 -&gt; 结构化解析 -&gt; 路径规划 -&gt; 工具执行 -&gt; SLA 验证 -&gt; 自愈/完成”。当 Supervisor 发现字段缺失或置信度低于阈值，系统进入补充信息流程；当 Planner 产生高风险方案或跨域降级结果，系统进入审批流程；当 Monitor 判定 SLA 违约，HealingEngine 根据触发源执行有限次数重规划，超过最大次数后进入人工接管。</w:t>
      </w:r>
    </w:p>
    <w:tbl>
      <w:tblPr>
        <w:tblStyle w:val="34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C05AE6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4391">
            <w:r>
              <w:rPr>
                <w:rFonts w:ascii="微软雅黑" w:hAnsi="微软雅黑" w:eastAsia="微软雅黑"/>
                <w:b/>
                <w:sz w:val="21"/>
              </w:rPr>
              <w:t>流程阶段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BA30">
            <w:r>
              <w:rPr>
                <w:rFonts w:ascii="微软雅黑" w:hAnsi="微软雅黑" w:eastAsia="微软雅黑"/>
                <w:b/>
                <w:sz w:val="21"/>
              </w:rPr>
              <w:t>输入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7CCB">
            <w:r>
              <w:rPr>
                <w:rFonts w:ascii="微软雅黑" w:hAnsi="微软雅黑" w:eastAsia="微软雅黑"/>
                <w:b/>
                <w:sz w:val="21"/>
              </w:rPr>
              <w:t>处理动作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1F57">
            <w:r>
              <w:rPr>
                <w:rFonts w:ascii="微软雅黑" w:hAnsi="微软雅黑" w:eastAsia="微软雅黑"/>
                <w:b/>
                <w:sz w:val="21"/>
              </w:rPr>
              <w:t>输出/状态</w:t>
            </w:r>
          </w:p>
        </w:tc>
      </w:tr>
      <w:tr w14:paraId="3CD62CF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1A6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意图提交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589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自然语言需求、用户/租户上下文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0C5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写入 intent_request，异步启动编排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F3D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SUBMITTED / traceId</w:t>
            </w:r>
          </w:p>
        </w:tc>
      </w:tr>
      <w:tr w14:paraId="486FC7F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577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Supervisor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432C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原始文本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1FF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抽取带宽、时延、时间、链路等字段并判断置信度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D2D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ParsedIntent / SUPERVISED</w:t>
            </w:r>
          </w:p>
        </w:tc>
      </w:tr>
      <w:tr w14:paraId="69E5827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B70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Planner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04C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结构化意图、拓扑、资源状态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940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生成主备路径与资源预留计划，识别风险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F17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PlanDecision / AWAIT_APPROVAL 或继续执行</w:t>
            </w:r>
          </w:p>
        </w:tc>
      </w:tr>
      <w:tr w14:paraId="7128440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9915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Executor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0AD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计划结果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743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调用 MCP 工具模拟查询拓扑、设置 QoS、阻断流量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CB8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ExecutionResult / MCP 审计日志</w:t>
            </w:r>
          </w:p>
        </w:tc>
      </w:tr>
      <w:tr w14:paraId="46533A7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B25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Monitor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48E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执行结果、遥测数据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E30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评估 LATENCY、JITTER、LOSS、BANDWIDTH 指标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76C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SlaVerdict / COMPLETED 或 HEALING</w:t>
            </w:r>
          </w:p>
        </w:tc>
      </w:tr>
      <w:tr w14:paraId="29C53C2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E1D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Healing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5FB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SLA 违约、MCP 超时、A2A 降级事件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B7A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有限次数重规划，本域降级或人工接管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4ED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healing_record / HANDOFF_HUMAN</w:t>
            </w:r>
          </w:p>
        </w:tc>
      </w:tr>
    </w:tbl>
    <w:p w14:paraId="3784F14D">
      <w:pPr>
        <w:spacing w:before="0" w:after="40" w:line="264" w:lineRule="auto"/>
      </w:pPr>
    </w:p>
    <w:p w14:paraId="3905F296">
      <w:pPr>
        <w:numPr>
          <w:ilvl w:val="0"/>
          <w:numId w:val="7"/>
        </w:numPr>
        <w:spacing w:before="320" w:after="160"/>
        <w:outlineLvl w:val="0"/>
        <w:rPr>
          <w:rFonts w:ascii="微软雅黑" w:hAnsi="微软雅黑" w:eastAsia="微软雅黑"/>
          <w:b/>
          <w:color w:val="auto"/>
          <w:sz w:val="32"/>
        </w:rPr>
      </w:pPr>
      <w:bookmarkStart w:id="4" w:name="_Toc12437"/>
      <w:r>
        <w:rPr>
          <w:rFonts w:ascii="微软雅黑" w:hAnsi="微软雅黑" w:eastAsia="微软雅黑"/>
          <w:b/>
          <w:color w:val="auto"/>
          <w:sz w:val="32"/>
        </w:rPr>
        <w:t>方案实现</w:t>
      </w:r>
      <w:bookmarkEnd w:id="4"/>
    </w:p>
    <w:p w14:paraId="14733C9D">
      <w:pPr>
        <w:spacing w:before="240" w:after="120"/>
        <w:outlineLvl w:val="1"/>
        <w:rPr>
          <w:rFonts w:hint="default" w:ascii="微软雅黑" w:hAnsi="微软雅黑" w:eastAsia="微软雅黑"/>
          <w:b/>
          <w:color w:val="auto"/>
          <w:sz w:val="32"/>
          <w:lang w:val="en-US" w:eastAsia="zh-CN"/>
        </w:rPr>
      </w:pPr>
      <w:bookmarkStart w:id="5" w:name="_Toc26262"/>
      <w:r>
        <w:rPr>
          <w:rFonts w:ascii="微软雅黑" w:hAnsi="微软雅黑" w:eastAsia="微软雅黑"/>
          <w:b/>
          <w:color w:val="auto"/>
          <w:sz w:val="26"/>
        </w:rPr>
        <w:t>3</w:t>
      </w:r>
      <w:r>
        <w:rPr>
          <w:rFonts w:hint="eastAsia"/>
          <w:b/>
          <w:color w:val="auto"/>
          <w:sz w:val="26"/>
          <w:lang w:val="en-US" w:eastAsia="zh-CN"/>
        </w:rPr>
        <w:t>.1</w:t>
      </w:r>
      <w:r>
        <w:rPr>
          <w:rFonts w:ascii="微软雅黑" w:hAnsi="微软雅黑" w:eastAsia="微软雅黑"/>
          <w:b/>
          <w:color w:val="auto"/>
          <w:sz w:val="26"/>
        </w:rPr>
        <w:t xml:space="preserve"> </w:t>
      </w:r>
      <w:r>
        <w:rPr>
          <w:rFonts w:hint="eastAsia"/>
          <w:b/>
          <w:color w:val="auto"/>
          <w:sz w:val="26"/>
          <w:lang w:val="en-US" w:eastAsia="zh-CN"/>
        </w:rPr>
        <w:t>软件技术与集成方法</w:t>
      </w:r>
      <w:bookmarkEnd w:id="5"/>
    </w:p>
    <w:tbl>
      <w:tblPr>
        <w:tblStyle w:val="34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7B3D41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E552">
            <w:r>
              <w:rPr>
                <w:rFonts w:ascii="微软雅黑" w:hAnsi="微软雅黑" w:eastAsia="微软雅黑"/>
                <w:b/>
                <w:sz w:val="21"/>
              </w:rPr>
              <w:t>类别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783D">
            <w:r>
              <w:rPr>
                <w:rFonts w:ascii="微软雅黑" w:hAnsi="微软雅黑" w:eastAsia="微软雅黑"/>
                <w:b/>
                <w:sz w:val="21"/>
              </w:rPr>
              <w:t>选型/实现</w:t>
            </w:r>
          </w:p>
        </w:tc>
        <w:tc>
          <w:tcPr>
            <w:tcW w:w="403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531B"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 w14:paraId="6B45E1C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286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后端框架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580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Java 17、Spring Boot 3.4.3、Spring AI 1.1.0、Spring AI Alibaba 1.1.0.0-RC2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872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支撑 REST API、多智能体编排、DashScope/Qwen-plus 兼容调用和结构化输出。</w:t>
            </w:r>
          </w:p>
        </w:tc>
      </w:tr>
      <w:tr w14:paraId="506D09D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3A7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数据访问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AE1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MyBatis-Plus 3.5.7、MySQL 8.0、H2 测试库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DD0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管理网络域、节点、链路、意图、审计、SLA 和遥测数据。</w:t>
            </w:r>
          </w:p>
        </w:tc>
      </w:tr>
      <w:tr w14:paraId="4A367D4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399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可靠性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EC2A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Resilience4j Retry/CircuitBreaker、异步线程池、traceId MDC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89C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处理 AI/MCP 调用超时、有限重试、熔断和链路追踪。</w:t>
            </w:r>
          </w:p>
        </w:tc>
      </w:tr>
      <w:tr w14:paraId="324026A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586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模拟与验证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B38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AutoMind-simulator、周期调度、异常注入、SSE 实时事件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53B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提供不依赖真实设备的可演示运行环境。</w:t>
            </w:r>
          </w:p>
        </w:tc>
      </w:tr>
      <w:tr w14:paraId="4617DA3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471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接口文档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DA5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SpringDoc OpenAPI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4FA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通过 /swagger-ui.html 和 /v3/api-docs 查看接口契约。</w:t>
            </w:r>
          </w:p>
        </w:tc>
      </w:tr>
    </w:tbl>
    <w:p w14:paraId="188E4CB6">
      <w:pPr>
        <w:spacing w:before="0" w:after="40" w:line="264" w:lineRule="auto"/>
      </w:pPr>
    </w:p>
    <w:p w14:paraId="7A03F0F6">
      <w:pPr>
        <w:keepNext w:val="0"/>
        <w:keepLines w:val="0"/>
        <w:widowControl/>
        <w:suppressLineNumbers w:val="0"/>
        <w:spacing w:before="240" w:beforeAutospacing="0" w:after="120" w:afterAutospacing="0" w:line="273" w:lineRule="auto"/>
        <w:ind w:left="0" w:right="0"/>
        <w:jc w:val="left"/>
        <w:outlineLvl w:val="1"/>
        <w:rPr>
          <w:rFonts w:hint="default"/>
          <w:color w:val="auto"/>
          <w:lang w:val="en-US"/>
        </w:rPr>
      </w:pPr>
      <w:bookmarkStart w:id="6" w:name="_Toc8266"/>
      <w:r>
        <w:rPr>
          <w:rFonts w:hint="eastAsia" w:cs="Times New Roman"/>
          <w:b/>
          <w:bCs w:val="0"/>
          <w:kern w:val="0"/>
          <w:sz w:val="26"/>
          <w:szCs w:val="26"/>
          <w:lang w:val="en-US" w:eastAsia="zh-CN" w:bidi="ar"/>
        </w:rPr>
        <w:t>3.2</w:t>
      </w:r>
      <w:r>
        <w:rPr>
          <w:rFonts w:hint="eastAsia" w:ascii="微软雅黑" w:hAnsi="微软雅黑" w:eastAsia="微软雅黑" w:cs="Times New Roman"/>
          <w:b/>
          <w:bCs w:val="0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eastAsia" w:cs="Times New Roman"/>
          <w:b/>
          <w:bCs w:val="0"/>
          <w:kern w:val="0"/>
          <w:sz w:val="26"/>
          <w:szCs w:val="26"/>
          <w:lang w:val="en-US" w:eastAsia="zh-CN" w:bidi="ar"/>
        </w:rPr>
        <w:t>功能模块实现</w:t>
      </w:r>
      <w:bookmarkEnd w:id="6"/>
    </w:p>
    <w:tbl>
      <w:tblPr>
        <w:tblStyle w:val="34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1C223C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3D5B"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FB9C">
            <w:r>
              <w:rPr>
                <w:rFonts w:ascii="微软雅黑" w:hAnsi="微软雅黑" w:eastAsia="微软雅黑"/>
                <w:b/>
                <w:sz w:val="21"/>
              </w:rPr>
              <w:t>当前实现内容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D463">
            <w:r>
              <w:rPr>
                <w:rFonts w:ascii="微软雅黑" w:hAnsi="微软雅黑" w:eastAsia="微软雅黑"/>
                <w:b/>
                <w:sz w:val="21"/>
              </w:rPr>
              <w:t>对应代码事实</w:t>
            </w:r>
          </w:p>
        </w:tc>
      </w:tr>
      <w:tr w14:paraId="3FD2C95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F0AF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意图与用户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E5E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登录、注册、意图提交、意图状态查询、全链路追踪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9EE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/user、/intent-request、/intent-request/{id}/trace、/trace/{traceId}</w:t>
            </w:r>
          </w:p>
        </w:tc>
      </w:tr>
      <w:tr w14:paraId="4010E97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6F0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多智能体编排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7E5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Supervisor/Planner/Executor/Monitor 任务记录、PEV 状态推进、审批恢复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34E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IntentOrchestrationService、BaseAgent、ApprovalResumeListener</w:t>
            </w:r>
          </w:p>
        </w:tc>
      </w:tr>
      <w:tr w14:paraId="35A0B11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D37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审批与审计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7A3B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待审批列表、审批历史、批准、拒绝、拒绝并要求修改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FCB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/approvals/pending、/approvals/history、/approve、/reject-with-modification</w:t>
            </w:r>
          </w:p>
        </w:tc>
      </w:tr>
      <w:tr w14:paraId="627242F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756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MCP 工具调用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EE8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工具注册、角色校验、超时重试、错误分类、调用日志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EE39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McpClient、McpToolRegistry、MockMcpServerController、mcp_call_log</w:t>
            </w:r>
          </w:p>
        </w:tc>
      </w:tr>
      <w:tr w14:paraId="59593A3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339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A2A 协同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FF9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跨域消息、消息审计、通信降级事件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1C9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A2aMessageSender、A2aMessageReceiver、A2aFallbackGuard、/a2a-messages</w:t>
            </w:r>
          </w:p>
        </w:tc>
      </w:tr>
      <w:tr w14:paraId="55BE320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FF0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SLA 与实时监控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26B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SLA 仪表盘、单次评估、历史记录、SSE 订阅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AC6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/sla/dashboard、/sla/evaluate、/sla/records、/realtime/sla/stream</w:t>
            </w:r>
          </w:p>
        </w:tc>
      </w:tr>
      <w:tr w14:paraId="042ED54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75B3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模拟器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E2A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正常遥测周期生成、SLA 周期评估、手动异常注入、过期数据清理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C83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/simulator/status、/start、/stop、/anomaly/generate、/cleanup/run</w:t>
            </w:r>
          </w:p>
        </w:tc>
      </w:tr>
    </w:tbl>
    <w:p w14:paraId="446E8D57">
      <w:pPr>
        <w:keepNext w:val="0"/>
        <w:keepLines w:val="0"/>
        <w:widowControl/>
        <w:suppressLineNumbers w:val="0"/>
        <w:spacing w:before="240" w:beforeAutospacing="0" w:after="120" w:afterAutospacing="0" w:line="273" w:lineRule="auto"/>
        <w:ind w:left="0" w:right="0"/>
        <w:jc w:val="left"/>
        <w:outlineLvl w:val="1"/>
        <w:rPr>
          <w:rFonts w:hint="default" w:ascii="微软雅黑" w:hAnsi="微软雅黑" w:eastAsia="微软雅黑"/>
          <w:b/>
          <w:color w:val="auto"/>
          <w:sz w:val="26"/>
          <w:lang w:val="en-US"/>
        </w:rPr>
      </w:pPr>
      <w:bookmarkStart w:id="7" w:name="_Toc21050"/>
      <w:r>
        <w:rPr>
          <w:rFonts w:hint="eastAsia" w:cs="Times New Roman"/>
          <w:b/>
          <w:bCs w:val="0"/>
          <w:kern w:val="0"/>
          <w:sz w:val="26"/>
          <w:szCs w:val="26"/>
          <w:lang w:val="en-US" w:eastAsia="zh-CN" w:bidi="ar"/>
        </w:rPr>
        <w:t>3</w:t>
      </w:r>
      <w:r>
        <w:rPr>
          <w:rFonts w:hint="eastAsia" w:ascii="微软雅黑" w:hAnsi="微软雅黑" w:eastAsia="微软雅黑" w:cs="Times New Roman"/>
          <w:b/>
          <w:bCs w:val="0"/>
          <w:kern w:val="0"/>
          <w:sz w:val="26"/>
          <w:szCs w:val="26"/>
          <w:lang w:val="en-US" w:eastAsia="zh-CN" w:bidi="ar"/>
        </w:rPr>
        <w:t xml:space="preserve">.3 </w:t>
      </w:r>
      <w:r>
        <w:rPr>
          <w:rFonts w:hint="eastAsia" w:cs="Times New Roman"/>
          <w:b/>
          <w:bCs w:val="0"/>
          <w:kern w:val="0"/>
          <w:sz w:val="26"/>
          <w:szCs w:val="26"/>
          <w:lang w:val="en-US" w:eastAsia="zh-CN" w:bidi="ar"/>
        </w:rPr>
        <w:t>数据模型与审计链路</w:t>
      </w:r>
      <w:bookmarkEnd w:id="7"/>
    </w:p>
    <w:p w14:paraId="71BC7B9F">
      <w:pPr>
        <w:spacing w:before="240" w:after="120"/>
        <w:rPr>
          <w:rFonts w:ascii="微软雅黑" w:hAnsi="微软雅黑" w:eastAsia="微软雅黑"/>
          <w:b/>
          <w:color w:val="2E74B5"/>
          <w:sz w:val="26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53735" cy="3589020"/>
            <wp:effectExtent l="0" t="0" r="12065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589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1C8920">
      <w:pPr>
        <w:spacing w:before="0" w:after="120" w:line="264" w:lineRule="auto"/>
      </w:pPr>
      <w:r>
        <w:rPr>
          <w:rFonts w:ascii="微软雅黑" w:hAnsi="微软雅黑" w:eastAsia="微软雅黑"/>
          <w:b w:val="0"/>
          <w:sz w:val="22"/>
        </w:rPr>
        <w:t>数据设计围绕 intentId、agentTaskId 和 traceId 建立可追踪关系。核心表包括 user、person、intent_request、agent_task、approval_record、mcp_call_log、a2a_message、audit_log、network_domain、network_node、network_link、network_link_resource、network_resource_reservation、telemetry_data、sla_record、healing_record 等。为了支撑实时 SLA 查询，系统补充了 telemetry_data(time)、telemetry_data(tenant_id, link_id, time)、sla_record(evaluated_at)、sla_record(tenant_id, link_id, evaluated_at) 等索引。</w:t>
      </w:r>
    </w:p>
    <w:p w14:paraId="3F2016A1">
      <w:pPr>
        <w:spacing w:after="80" w:line="264" w:lineRule="auto"/>
        <w:ind w:left="360" w:hanging="173"/>
      </w:pPr>
      <w:r>
        <w:rPr>
          <w:rFonts w:ascii="微软雅黑" w:hAnsi="微软雅黑" w:eastAsia="微软雅黑"/>
          <w:sz w:val="22"/>
        </w:rPr>
        <w:t>· 租户隔离：UserContext 在请求与 Agent 执行链中携带 tenantId、role、userId，核心查询按租户过滤，admin 租户可查看全量。</w:t>
      </w:r>
    </w:p>
    <w:p w14:paraId="064AD21D">
      <w:pPr>
        <w:spacing w:after="80" w:line="264" w:lineRule="auto"/>
        <w:ind w:left="360" w:hanging="173"/>
      </w:pPr>
      <w:r>
        <w:rPr>
          <w:rFonts w:ascii="微软雅黑" w:hAnsi="微软雅黑" w:eastAsia="微软雅黑"/>
          <w:sz w:val="22"/>
        </w:rPr>
        <w:t>· 审计留痕：MCP 调用记录包含工具名、版本、参数、响应码、错误类型、耗时、尝试次数和高风险标记。</w:t>
      </w:r>
    </w:p>
    <w:p w14:paraId="0CC46245">
      <w:pPr>
        <w:spacing w:after="80" w:line="264" w:lineRule="auto"/>
        <w:ind w:left="360" w:hanging="173"/>
      </w:pPr>
      <w:r>
        <w:rPr>
          <w:rFonts w:ascii="微软雅黑" w:hAnsi="微软雅黑" w:eastAsia="微软雅黑"/>
          <w:sz w:val="22"/>
        </w:rPr>
        <w:t>· 实时关联：模拟器生成 telemetry_data 和 sla_record 后，通过 /internal/sla-events 推送事件，前端或管理端可订阅 /realtime/sla/stream。</w:t>
      </w:r>
    </w:p>
    <w:p w14:paraId="547EF50C">
      <w:pPr>
        <w:spacing w:before="320" w:after="160"/>
        <w:outlineLvl w:val="0"/>
        <w:rPr>
          <w:color w:val="auto"/>
        </w:rPr>
      </w:pPr>
      <w:bookmarkStart w:id="8" w:name="_Toc2230"/>
      <w:r>
        <w:rPr>
          <w:rFonts w:ascii="微软雅黑" w:hAnsi="微软雅黑" w:eastAsia="微软雅黑"/>
          <w:b/>
          <w:color w:val="auto"/>
          <w:sz w:val="32"/>
        </w:rPr>
        <w:t>四、运行结果/应用效果</w:t>
      </w:r>
      <w:bookmarkEnd w:id="8"/>
    </w:p>
    <w:p w14:paraId="5E50D7F0">
      <w:pPr>
        <w:spacing w:before="0" w:after="120" w:line="264" w:lineRule="auto"/>
      </w:pPr>
      <w:r>
        <w:rPr>
          <w:rFonts w:ascii="微软雅黑" w:hAnsi="微软雅黑" w:eastAsia="微软雅黑"/>
          <w:b w:val="0"/>
          <w:sz w:val="22"/>
        </w:rPr>
        <w:t>当前作品已形成可运行的软件演示闭环：主服务负责意图、Agent、审批、MCP、A2A、SLA 与自愈；模拟器负责生成遥测和异常注入。默认配置下主服务运行在 9090 端口，模拟器运行在 9091 端口；模拟器每 5 秒生成一轮正常遥测，每 8 秒评估 SLA，每 30 秒执行过期数据清理，默认评估窗口为 5 分钟。</w:t>
      </w:r>
    </w:p>
    <w:tbl>
      <w:tblPr>
        <w:tblStyle w:val="34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C23CB6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5E36">
            <w:r>
              <w:rPr>
                <w:rFonts w:ascii="微软雅黑" w:hAnsi="微软雅黑" w:eastAsia="微软雅黑"/>
                <w:b/>
                <w:sz w:val="21"/>
              </w:rPr>
              <w:t>验证项</w:t>
            </w:r>
          </w:p>
        </w:tc>
        <w:tc>
          <w:tcPr>
            <w:tcW w:w="16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10B7">
            <w:r>
              <w:rPr>
                <w:rFonts w:ascii="微软雅黑" w:hAnsi="微软雅黑" w:eastAsia="微软雅黑"/>
                <w:b/>
                <w:sz w:val="21"/>
              </w:rPr>
              <w:t>结果</w:t>
            </w:r>
          </w:p>
        </w:tc>
        <w:tc>
          <w:tcPr>
            <w:tcW w:w="55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FE1E"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 w14:paraId="16457A3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4E3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服务端单元/集成测试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624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12/13 通过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B2CD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mvn test 中 ApprovalAspect、StageFourEndToEnd、StructuredOutput、SSE 控制器等测试通过；InternalSlaEventControllerTest 有 1 个用例因测试构造未注入 IPersonService 触发 NPE，属于待修复测试问题。</w:t>
            </w:r>
          </w:p>
        </w:tc>
      </w:tr>
      <w:tr w14:paraId="097CB61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4E3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模拟器测试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F11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5/5 通过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CA4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mvn test -pl AutoMind-simulator -am 通过，覆盖异常注入、清理、SLA 评估、遥测样本生成。</w:t>
            </w:r>
          </w:p>
        </w:tc>
      </w:tr>
      <w:tr w14:paraId="1D818D1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6512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SLA 实时能力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0866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9977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内部事件接口 /internal/sla-events 校验令牌后发布 SSE 事件，订阅入口为 /realtime/sla/stream?token=...。</w:t>
            </w:r>
          </w:p>
        </w:tc>
      </w:tr>
      <w:tr w14:paraId="4894072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4608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异常演示能力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36D1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E75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通过 /simulator/anomaly/generate 手动生成异常突发样本，并触发 SLA 记录生成。</w:t>
            </w:r>
          </w:p>
        </w:tc>
      </w:tr>
      <w:tr w14:paraId="015BADF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3524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可审计链路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E660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已实现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061E">
            <w:pPr>
              <w:spacing w:after="0" w:line="252" w:lineRule="auto"/>
            </w:pPr>
            <w:r>
              <w:rPr>
                <w:rFonts w:ascii="微软雅黑" w:hAnsi="微软雅黑" w:eastAsia="微软雅黑"/>
                <w:sz w:val="20"/>
              </w:rPr>
              <w:t>意图、Agent 任务、MCP 调用、审批、A2A 消息、SLA 记录和自愈记录可通过 traceId / intentId 关联。</w:t>
            </w:r>
          </w:p>
        </w:tc>
      </w:tr>
    </w:tbl>
    <w:p w14:paraId="1691F7D8">
      <w:pPr>
        <w:spacing w:before="0" w:after="40" w:line="264" w:lineRule="auto"/>
      </w:pPr>
    </w:p>
    <w:p w14:paraId="4AB6FEE3">
      <w:pPr>
        <w:spacing w:before="0" w:after="120" w:line="264" w:lineRule="auto"/>
      </w:pPr>
      <w:r>
        <w:rPr>
          <w:rFonts w:ascii="微软雅黑" w:hAnsi="微软雅黑" w:eastAsia="微软雅黑"/>
          <w:b w:val="0"/>
          <w:sz w:val="22"/>
        </w:rPr>
        <w:t>应用效果上，系统能够把“保障某业务链路低时延/低丢包/带宽质量”的自然语言需求拆解为结构化意图，并通过多智能体任务、MCP 工具调用和 SLA 评估记录呈现全过程。对于异常链路，系统可通过模拟器注入高时延、高丢包或高带宽占用样本，在 SLA 评估中形成违约记录，并触发重规划或人工接管流程。</w:t>
      </w:r>
    </w:p>
    <w:p w14:paraId="4D65056E">
      <w:pPr>
        <w:spacing w:before="320" w:after="160"/>
        <w:outlineLvl w:val="0"/>
        <w:rPr>
          <w:color w:val="auto"/>
        </w:rPr>
      </w:pPr>
      <w:bookmarkStart w:id="9" w:name="_Toc1035"/>
      <w:r>
        <w:rPr>
          <w:rFonts w:ascii="微软雅黑" w:hAnsi="微软雅黑" w:eastAsia="微软雅黑"/>
          <w:b/>
          <w:color w:val="auto"/>
          <w:sz w:val="32"/>
        </w:rPr>
        <w:t>五、创新与特色</w:t>
      </w:r>
      <w:bookmarkEnd w:id="9"/>
    </w:p>
    <w:p w14:paraId="4E5A80BD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1. 面向智网意图的 PEV 多智能体闭环：将自然语言意图解析、路径规划、策略执行和 SLA 验证拆成四类 Agent，既保留大模型理解能力，又通过任务表和状态机控制执行边界。</w:t>
      </w:r>
    </w:p>
    <w:p w14:paraId="667F7DFC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2. MCP 工具调用与网络控制审计结合：使用工具注册、角色校验、高风险标记、超时重试和调用日志，把模拟 SDN 控制动作纳入可追踪、可解释的工程链路。</w:t>
      </w:r>
    </w:p>
    <w:p w14:paraId="080B4BD3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3. A2A 跨域协同与降级自治：通过跨域消息交换链路状态，当跨域通信失败时进入本域自治模式，并通过降级事件触发后续自愈流程。</w:t>
      </w:r>
    </w:p>
    <w:p w14:paraId="1B9A77CA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4. 独立模拟器支撑可演示验证：将遥测生成、SLA 周期评估、异常注入和数据清理放入独立进程，避免主服务承载演示数据压力，也便于后续替换为真实仿真环境。</w:t>
      </w:r>
    </w:p>
    <w:p w14:paraId="095AD1F9">
      <w:pPr>
        <w:spacing w:after="80" w:line="264" w:lineRule="auto"/>
        <w:ind w:left="432" w:hanging="259"/>
      </w:pPr>
      <w:r>
        <w:rPr>
          <w:rFonts w:ascii="微软雅黑" w:hAnsi="微软雅黑" w:eastAsia="微软雅黑"/>
          <w:sz w:val="22"/>
        </w:rPr>
        <w:t>5. 全链路安全与可观测设计：从用户认证、租户隔离、审批队列、审计日志到 traceId 串联，形成从提交、决策、执行、验证到恢复的证据链。</w:t>
      </w:r>
    </w:p>
    <w:p w14:paraId="439CA7CE">
      <w:pPr>
        <w:spacing w:before="320" w:after="160"/>
        <w:outlineLvl w:val="0"/>
        <w:rPr>
          <w:color w:val="auto"/>
        </w:rPr>
      </w:pPr>
      <w:bookmarkStart w:id="10" w:name="_Toc27298"/>
      <w:r>
        <w:rPr>
          <w:rFonts w:ascii="微软雅黑" w:hAnsi="微软雅黑" w:eastAsia="微软雅黑"/>
          <w:b/>
          <w:color w:val="auto"/>
          <w:sz w:val="32"/>
        </w:rPr>
        <w:t>六、后续完善方向</w:t>
      </w:r>
      <w:bookmarkEnd w:id="10"/>
    </w:p>
    <w:p w14:paraId="5B6E3B03">
      <w:pPr>
        <w:spacing w:before="0" w:after="120" w:line="264" w:lineRule="auto"/>
      </w:pPr>
      <w:r>
        <w:rPr>
          <w:rFonts w:ascii="微软雅黑" w:hAnsi="微软雅黑" w:eastAsia="微软雅黑"/>
          <w:b w:val="0"/>
          <w:sz w:val="22"/>
        </w:rPr>
        <w:t>作品当前以软件模拟和演示验证为主，后续可沿三条路径增强：第一，修复 InternalSlaEventControllerTest 的测试构造问题并补齐核心 Service 单元测试；第二，将 staging/prod 配置、密钥外部注入和 CI/CD 流水线纳入工程化交付；第三，将 Mock MCP Server 逐步替换为真实 SDN 控制器或网络仿真平台适配器，验证跨域调度在更接近真实网络环境中的效果。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7784B">
    <w:pPr>
      <w:pStyle w:val="24"/>
      <w:jc w:val="center"/>
    </w:pPr>
    <w:r>
      <w:rPr>
        <w:rFonts w:ascii="微软雅黑" w:hAnsi="微软雅黑" w:eastAsia="微软雅黑"/>
        <w:color w:val="646464"/>
        <w:sz w:val="18"/>
      </w:rPr>
      <w:t>AutoMind 作品设计文档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08EA4"/>
    <w:multiLevelType w:val="singleLevel"/>
    <w:tmpl w:val="8AD08EA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856AD5"/>
    <w:rsid w:val="0C937D2A"/>
    <w:rsid w:val="34CC177B"/>
    <w:rsid w:val="6809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3100</Words>
  <Characters>5217</Characters>
  <Lines>1</Lines>
  <Paragraphs>1</Paragraphs>
  <TotalTime>14</TotalTime>
  <ScaleCrop>false</ScaleCrop>
  <LinksUpToDate>false</LinksUpToDate>
  <CharactersWithSpaces>5502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WPS_1601804634</cp:lastModifiedBy>
  <dcterms:modified xsi:type="dcterms:W3CDTF">2026-06-18T15:14:23Z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eyJoZGlkIjoiMDM5OTZmMmRjZTlkMmZjNGU3NDRiOGZjY2MzMjM5NjciLCJ1c2VySWQiOiIxMTI3Mjg5MTQ3In0=</vt:lpwstr>
  </property>
  <property fmtid="{D5CDD505-2E9C-101B-9397-08002B2CF9AE}" pid="3" name="KSOProductBuildVer">
    <vt:lpwstr>2052-12.1.0.26375</vt:lpwstr>
  </property>
  <property fmtid="{D5CDD505-2E9C-101B-9397-08002B2CF9AE}" pid="4" name="ICV">
    <vt:lpwstr>FF7F8DCB65234066A6079EA175ECA4D0_12</vt:lpwstr>
  </property>
</Properties>
</file>