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196F3">
      <w:pPr>
        <w:spacing w:after="200" w:line="276" w:lineRule="auto"/>
      </w:pPr>
    </w:p>
    <w:p w14:paraId="300D3916">
      <w:pPr>
        <w:spacing w:after="200" w:line="276" w:lineRule="auto"/>
        <w:jc w:val="center"/>
      </w:pPr>
      <w:r>
        <w:drawing>
          <wp:inline distT="0" distB="0" distL="0" distR="0">
            <wp:extent cx="2095500" cy="1428750"/>
            <wp:effectExtent l="0" t="0" r="0" b="6350"/>
            <wp:docPr id="2" name="HUTLOGO" descr="HUTLOGO" title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UTLOGO" descr="HUTLOGO" title="HUT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85B9">
      <w:pPr>
        <w:spacing w:after="200" w:line="276" w:lineRule="auto"/>
      </w:pPr>
    </w:p>
    <w:p w14:paraId="733BC786">
      <w:pPr>
        <w:spacing w:after="200"/>
        <w:jc w:val="center"/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湖南工业大学包装工程学院</w:t>
      </w:r>
    </w:p>
    <w:p w14:paraId="33062378">
      <w:pPr>
        <w:spacing w:after="0"/>
      </w:pPr>
    </w:p>
    <w:p w14:paraId="28191D60">
      <w:pPr>
        <w:spacing w:after="200"/>
        <w:jc w:val="center"/>
        <w:rPr>
          <w:rFonts w:ascii="Arial" w:hAnsi="Arial" w:eastAsia="微软雅黑"/>
          <w:b/>
          <w:bCs/>
          <w:i w:val="0"/>
          <w:iCs w:val="0"/>
          <w:sz w:val="32"/>
          <w:szCs w:val="32"/>
        </w:rPr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可行性分析报告</w:t>
      </w:r>
    </w:p>
    <w:p w14:paraId="416C16F2">
      <w:pPr>
        <w:spacing w:after="0"/>
      </w:pPr>
    </w:p>
    <w:p w14:paraId="04B3D18B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项目名称：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BluePrint Copilot（蓝图构思助手）</w:t>
      </w:r>
    </w:p>
    <w:p w14:paraId="359629E4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2025-2026-2</w:t>
      </w:r>
    </w:p>
    <w:p w14:paraId="23C4E2C5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专业班级：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数媒2402</w:t>
      </w:r>
    </w:p>
    <w:p w14:paraId="5A8B22A7">
      <w:pPr>
        <w:spacing w:after="160"/>
        <w:jc w:val="center"/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学生姓名：</w:t>
      </w:r>
      <w:r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  <w:t>胡扬健</w:t>
      </w:r>
    </w:p>
    <w:p w14:paraId="1CA1CB10">
      <w:pPr>
        <w:spacing w:after="160"/>
        <w:jc w:val="center"/>
        <w:rPr>
          <w:rFonts w:hint="default" w:ascii="Arial" w:hAnsi="Arial" w:eastAsia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号：</w:t>
      </w:r>
      <w:r>
        <w:rPr>
          <w:rFonts w:hint="eastAsia"/>
          <w:b/>
          <w:bCs/>
          <w:i w:val="0"/>
          <w:iCs w:val="0"/>
          <w:sz w:val="28"/>
          <w:szCs w:val="28"/>
          <w:u w:val="single"/>
          <w:lang w:val="en-US" w:eastAsia="zh-CN"/>
        </w:rPr>
        <w:t>2408090602033</w:t>
      </w:r>
    </w:p>
    <w:p w14:paraId="2EB535F2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指导教师：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钟云飞</w:t>
      </w:r>
    </w:p>
    <w:p w14:paraId="04F58E4F">
      <w:pPr>
        <w:spacing w:after="200" w:line="276" w:lineRule="auto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提交日期：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2026 年 6 月  </w:t>
      </w:r>
      <w:r>
        <w:rPr>
          <w:rFonts w:hint="eastAsia"/>
          <w:b w:val="0"/>
          <w:bCs w:val="0"/>
          <w:i w:val="0"/>
          <w:iCs w:val="0"/>
          <w:sz w:val="28"/>
          <w:szCs w:val="28"/>
          <w:lang w:val="en-US" w:eastAsia="zh-CN"/>
        </w:rPr>
        <w:t>26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  日</w:t>
      </w:r>
    </w:p>
    <w:p w14:paraId="38F8DBC5">
      <w:pPr>
        <w:spacing w:after="200" w:line="276" w:lineRule="auto"/>
      </w:pPr>
    </w:p>
    <w:p w14:paraId="6C8C3BAB">
      <w:pPr>
        <w:spacing w:after="200" w:line="276" w:lineRule="auto"/>
      </w:pPr>
    </w:p>
    <w:p w14:paraId="62EDD0A2">
      <w:pPr>
        <w:spacing w:after="200" w:line="276" w:lineRule="auto"/>
      </w:pPr>
    </w:p>
    <w:p w14:paraId="72666F1D">
      <w:pPr>
        <w:spacing w:after="200" w:line="276" w:lineRule="auto"/>
      </w:pPr>
    </w:p>
    <w:p w14:paraId="050AC427">
      <w:pPr>
        <w:spacing w:after="200" w:line="276" w:lineRule="auto"/>
      </w:pPr>
    </w:p>
    <w:p w14:paraId="3DBA1541">
      <w:r>
        <w:br w:type="page"/>
      </w:r>
    </w:p>
    <w:p w14:paraId="3660B02B">
      <w:pPr>
        <w:pStyle w:val="2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  <w:t>一、项目背景与目标</w:t>
      </w:r>
    </w:p>
    <w:p w14:paraId="69FE5C74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1.1 项目背景</w:t>
      </w:r>
    </w:p>
    <w:p w14:paraId="0D9D53A6">
      <w:pPr>
        <w:spacing w:after="120" w:line="276" w:lineRule="auto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随着</w:t>
      </w:r>
      <w:r>
        <w:rPr>
          <w:rFonts w:hint="default" w:ascii="Times New Roman" w:hAnsi="Times New Roman" w:eastAsia="华文宋体" w:cs="Times New Roman"/>
          <w:b w:val="0"/>
          <w:bCs w:val="0"/>
          <w:sz w:val="21"/>
          <w:szCs w:val="21"/>
        </w:rPr>
        <w:t>Unreal Engine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在游戏开发、影视制作、建筑可视化等领域的广泛应用，蓝图</w:t>
      </w:r>
      <w:r>
        <w:rPr>
          <w:rFonts w:hint="default" w:ascii="Times New Roman" w:hAnsi="Times New Roman" w:eastAsia="华文宋体" w:cs="Times New Roman"/>
          <w:b w:val="0"/>
          <w:bCs w:val="0"/>
          <w:sz w:val="21"/>
          <w:szCs w:val="21"/>
        </w:rPr>
        <w:t>（Blueprint）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可视化脚本系统已成为UE开发的核心工具。然而，蓝图学习曲线陡峭，策划与程序之间的沟通成本高，快速原型验证效率低。</w:t>
      </w:r>
      <w:r>
        <w:rPr>
          <w:rFonts w:hint="default" w:ascii="Times New Roman" w:hAnsi="Times New Roman" w:eastAsia="华文宋体" w:cs="Times New Roman"/>
          <w:b w:val="0"/>
          <w:bCs w:val="0"/>
          <w:sz w:val="21"/>
          <w:szCs w:val="21"/>
        </w:rPr>
        <w:t>BluePrint Copilot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旨在通过大语言模型</w:t>
      </w:r>
      <w:r>
        <w:rPr>
          <w:rFonts w:hint="default" w:ascii="Times New Roman" w:hAnsi="Times New Roman" w:eastAsia="华文宋体" w:cs="Times New Roman"/>
          <w:b w:val="0"/>
          <w:bCs w:val="0"/>
          <w:sz w:val="21"/>
          <w:szCs w:val="21"/>
        </w:rPr>
        <w:t>（LLM）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技术，将自然语言需求转化为</w:t>
      </w:r>
      <w:r>
        <w:rPr>
          <w:rFonts w:hint="default" w:ascii="Times New Roman" w:hAnsi="Times New Roman" w:eastAsia="华文宋体" w:cs="Times New Roman"/>
          <w:b w:val="0"/>
          <w:bCs w:val="0"/>
          <w:sz w:val="21"/>
          <w:szCs w:val="21"/>
        </w:rPr>
        <w:t>UE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蓝图节点拓扑图，降低蓝图使用门槛，提升团队协作效率。</w:t>
      </w:r>
    </w:p>
    <w:p w14:paraId="16B09D9D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1.2 项目目标</w:t>
      </w:r>
    </w:p>
    <w:p w14:paraId="4AFEDC4B">
      <w:pPr>
        <w:spacing w:after="120" w:line="276" w:lineRule="auto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短期目标：实现</w:t>
      </w:r>
      <w:r>
        <w:rPr>
          <w:rFonts w:hint="eastAsia" w:ascii="Times New Roman" w:hAnsi="Times New Roman" w:eastAsia="华文宋体" w:cs="Times New Roman"/>
          <w:b w:val="0"/>
          <w:bCs w:val="0"/>
          <w:sz w:val="21"/>
          <w:szCs w:val="21"/>
        </w:rPr>
        <w:t>MVP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版本，支持自然语言输入生成基础蓝图节点图（事件、函数、变量、流程控制、运算节点）</w:t>
      </w:r>
    </w:p>
    <w:p w14:paraId="2F87DB62">
      <w:pPr>
        <w:spacing w:after="120" w:line="276" w:lineRule="auto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中期目标：支持交互式编辑、模板库、多格式导出</w:t>
      </w:r>
    </w:p>
    <w:p w14:paraId="2A86C600">
      <w:pPr>
        <w:spacing w:after="120" w:line="276" w:lineRule="auto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长期目标：支持多蓝图协作、版本对比、</w:t>
      </w:r>
      <w:r>
        <w:rPr>
          <w:rFonts w:hint="eastAsia" w:ascii="Times New Roman" w:hAnsi="Times New Roman" w:eastAsia="华文宋体" w:cs="Times New Roman"/>
          <w:b w:val="0"/>
          <w:bCs w:val="0"/>
          <w:sz w:val="21"/>
          <w:szCs w:val="21"/>
        </w:rPr>
        <w:t>UE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编辑器插件集成</w:t>
      </w:r>
    </w:p>
    <w:p w14:paraId="1967DCF3">
      <w:pPr>
        <w:pStyle w:val="2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  <w:t>二、技术可行性分析</w:t>
      </w:r>
    </w:p>
    <w:p w14:paraId="3698CBF2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2.1 技术栈成熟度评估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2"/>
        <w:gridCol w:w="1752"/>
        <w:gridCol w:w="1752"/>
        <w:gridCol w:w="1752"/>
        <w:gridCol w:w="1752"/>
      </w:tblGrid>
      <w:tr w14:paraId="5D9A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vAlign w:val="center"/>
          </w:tcPr>
          <w:p w14:paraId="01ED579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技术领域</w:t>
            </w:r>
          </w:p>
        </w:tc>
        <w:tc>
          <w:tcPr>
            <w:tcW w:w="1200" w:type="pct"/>
            <w:shd w:val="clear" w:color="auto" w:fill="1F4E79"/>
            <w:vAlign w:val="center"/>
          </w:tcPr>
          <w:p w14:paraId="791BE0F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技术方案</w:t>
            </w:r>
          </w:p>
        </w:tc>
        <w:tc>
          <w:tcPr>
            <w:tcW w:w="750" w:type="pct"/>
            <w:shd w:val="clear" w:color="auto" w:fill="1F4E79"/>
            <w:vAlign w:val="center"/>
          </w:tcPr>
          <w:p w14:paraId="171DD9E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成熟度</w:t>
            </w:r>
          </w:p>
        </w:tc>
        <w:tc>
          <w:tcPr>
            <w:tcW w:w="900" w:type="pct"/>
            <w:shd w:val="clear" w:color="auto" w:fill="1F4E79"/>
            <w:vAlign w:val="center"/>
          </w:tcPr>
          <w:p w14:paraId="5DD5D51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社区活跃度</w:t>
            </w:r>
          </w:p>
        </w:tc>
        <w:tc>
          <w:tcPr>
            <w:tcW w:w="750" w:type="pct"/>
            <w:shd w:val="clear" w:color="auto" w:fill="1F4E79"/>
            <w:vAlign w:val="center"/>
          </w:tcPr>
          <w:p w14:paraId="754F4D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结论</w:t>
            </w:r>
          </w:p>
        </w:tc>
      </w:tr>
      <w:tr w14:paraId="0D9B4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vAlign w:val="center"/>
          </w:tcPr>
          <w:p w14:paraId="51F93B6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LLM大语言模型</w:t>
            </w:r>
          </w:p>
        </w:tc>
        <w:tc>
          <w:tcPr>
            <w:tcW w:w="1200" w:type="pct"/>
            <w:shd w:val="clear" w:color="auto" w:fill="FFFFFF"/>
            <w:vAlign w:val="center"/>
          </w:tcPr>
          <w:p w14:paraId="76EEBCD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GPT-4/Qwen/Claude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2BCFDF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成熟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7E88C4B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活跃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7F0B63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可行</w:t>
            </w:r>
          </w:p>
        </w:tc>
      </w:tr>
      <w:tr w14:paraId="2B20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D6E4F0"/>
            <w:vAlign w:val="center"/>
          </w:tcPr>
          <w:p w14:paraId="05A0AF6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前端节点图渲染</w:t>
            </w:r>
          </w:p>
        </w:tc>
        <w:tc>
          <w:tcPr>
            <w:tcW w:w="1200" w:type="pct"/>
            <w:shd w:val="clear" w:color="auto" w:fill="D6E4F0"/>
            <w:vAlign w:val="center"/>
          </w:tcPr>
          <w:p w14:paraId="18F5EF2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React Flow + Dagre</w:t>
            </w:r>
          </w:p>
        </w:tc>
        <w:tc>
          <w:tcPr>
            <w:tcW w:w="750" w:type="pct"/>
            <w:shd w:val="clear" w:color="auto" w:fill="D6E4F0"/>
            <w:vAlign w:val="center"/>
          </w:tcPr>
          <w:p w14:paraId="4E8E2D3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成熟</w:t>
            </w:r>
          </w:p>
        </w:tc>
        <w:tc>
          <w:tcPr>
            <w:tcW w:w="900" w:type="pct"/>
            <w:shd w:val="clear" w:color="auto" w:fill="D6E4F0"/>
            <w:vAlign w:val="center"/>
          </w:tcPr>
          <w:p w14:paraId="405B576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活跃</w:t>
            </w:r>
          </w:p>
        </w:tc>
        <w:tc>
          <w:tcPr>
            <w:tcW w:w="750" w:type="pct"/>
            <w:shd w:val="clear" w:color="auto" w:fill="D6E4F0"/>
            <w:vAlign w:val="center"/>
          </w:tcPr>
          <w:p w14:paraId="23AD29E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可行</w:t>
            </w:r>
          </w:p>
        </w:tc>
      </w:tr>
      <w:tr w14:paraId="06B34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vAlign w:val="center"/>
          </w:tcPr>
          <w:p w14:paraId="5868336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后端API服务</w:t>
            </w:r>
          </w:p>
        </w:tc>
        <w:tc>
          <w:tcPr>
            <w:tcW w:w="1200" w:type="pct"/>
            <w:shd w:val="clear" w:color="auto" w:fill="FFFFFF"/>
            <w:vAlign w:val="center"/>
          </w:tcPr>
          <w:p w14:paraId="32C51BB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Node.js + Express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088C21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成熟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491991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活跃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1939DDF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可行</w:t>
            </w:r>
          </w:p>
        </w:tc>
      </w:tr>
      <w:tr w14:paraId="79CF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D6E4F0"/>
            <w:vAlign w:val="center"/>
          </w:tcPr>
          <w:p w14:paraId="0D09383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数据校验</w:t>
            </w:r>
          </w:p>
        </w:tc>
        <w:tc>
          <w:tcPr>
            <w:tcW w:w="1200" w:type="pct"/>
            <w:shd w:val="clear" w:color="auto" w:fill="D6E4F0"/>
            <w:vAlign w:val="center"/>
          </w:tcPr>
          <w:p w14:paraId="058B437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 Schema</w:t>
            </w:r>
          </w:p>
        </w:tc>
        <w:tc>
          <w:tcPr>
            <w:tcW w:w="750" w:type="pct"/>
            <w:shd w:val="clear" w:color="auto" w:fill="D6E4F0"/>
            <w:vAlign w:val="center"/>
          </w:tcPr>
          <w:p w14:paraId="20F87EA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成熟</w:t>
            </w:r>
          </w:p>
        </w:tc>
        <w:tc>
          <w:tcPr>
            <w:tcW w:w="900" w:type="pct"/>
            <w:shd w:val="clear" w:color="auto" w:fill="D6E4F0"/>
            <w:vAlign w:val="center"/>
          </w:tcPr>
          <w:p w14:paraId="40C343B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稳定</w:t>
            </w:r>
          </w:p>
        </w:tc>
        <w:tc>
          <w:tcPr>
            <w:tcW w:w="750" w:type="pct"/>
            <w:shd w:val="clear" w:color="auto" w:fill="D6E4F0"/>
            <w:vAlign w:val="center"/>
          </w:tcPr>
          <w:p w14:paraId="686CF27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可行</w:t>
            </w:r>
          </w:p>
        </w:tc>
      </w:tr>
      <w:tr w14:paraId="66C8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vAlign w:val="center"/>
          </w:tcPr>
          <w:p w14:paraId="6E143FF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自动布局算法</w:t>
            </w:r>
          </w:p>
        </w:tc>
        <w:tc>
          <w:tcPr>
            <w:tcW w:w="1200" w:type="pct"/>
            <w:shd w:val="clear" w:color="auto" w:fill="FFFFFF"/>
            <w:vAlign w:val="center"/>
          </w:tcPr>
          <w:p w14:paraId="1CE2D40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Dagre/ELK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40CD87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成熟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13E04EC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稳定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940528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可行</w:t>
            </w:r>
          </w:p>
        </w:tc>
      </w:tr>
    </w:tbl>
    <w:p w14:paraId="1392D84E">
      <w:pPr>
        <w:spacing w:after="120" w:line="276" w:lineRule="auto"/>
      </w:pPr>
    </w:p>
    <w:p w14:paraId="7014D925">
      <w:pPr>
        <w:pStyle w:val="3"/>
        <w:keepNext w:val="0"/>
        <w:keepLines w:val="0"/>
        <w:spacing w:before="240" w:after="120" w:line="276" w:lineRule="auto"/>
        <w:jc w:val="left"/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2.2 团队能力匹配分析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2190"/>
        <w:gridCol w:w="2190"/>
        <w:gridCol w:w="2190"/>
      </w:tblGrid>
      <w:tr w14:paraId="7EF8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vAlign w:val="center"/>
          </w:tcPr>
          <w:p w14:paraId="44F071E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能力维度</w:t>
            </w:r>
          </w:p>
        </w:tc>
        <w:tc>
          <w:tcPr>
            <w:tcW w:w="1500" w:type="pct"/>
            <w:shd w:val="clear" w:color="auto" w:fill="1F4E79"/>
            <w:vAlign w:val="center"/>
          </w:tcPr>
          <w:p w14:paraId="3106AA6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所需技能</w:t>
            </w:r>
          </w:p>
        </w:tc>
        <w:tc>
          <w:tcPr>
            <w:tcW w:w="1500" w:type="pct"/>
            <w:shd w:val="clear" w:color="auto" w:fill="1F4E79"/>
            <w:vAlign w:val="center"/>
          </w:tcPr>
          <w:p w14:paraId="0FA5420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团队现有能力</w:t>
            </w:r>
          </w:p>
        </w:tc>
        <w:tc>
          <w:tcPr>
            <w:tcW w:w="1000" w:type="pct"/>
            <w:shd w:val="clear" w:color="auto" w:fill="1F4E79"/>
            <w:vAlign w:val="center"/>
          </w:tcPr>
          <w:p w14:paraId="233738B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匹配度</w:t>
            </w:r>
          </w:p>
        </w:tc>
      </w:tr>
      <w:tr w14:paraId="1C89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vAlign w:val="center"/>
          </w:tcPr>
          <w:p w14:paraId="3D7642A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前端开发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5115AD8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React/React Flow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1CF177A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具备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D3E5ED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6F52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D6E4F0"/>
            <w:vAlign w:val="center"/>
          </w:tcPr>
          <w:p w14:paraId="242AC35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后端开发</w:t>
            </w:r>
          </w:p>
        </w:tc>
        <w:tc>
          <w:tcPr>
            <w:tcW w:w="1500" w:type="pct"/>
            <w:shd w:val="clear" w:color="auto" w:fill="D6E4F0"/>
            <w:vAlign w:val="center"/>
          </w:tcPr>
          <w:p w14:paraId="76BB5BA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Node.js/API设计</w:t>
            </w:r>
          </w:p>
        </w:tc>
        <w:tc>
          <w:tcPr>
            <w:tcW w:w="1500" w:type="pct"/>
            <w:shd w:val="clear" w:color="auto" w:fill="D6E4F0"/>
            <w:vAlign w:val="center"/>
          </w:tcPr>
          <w:p w14:paraId="4BD5413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具备</w:t>
            </w:r>
          </w:p>
        </w:tc>
        <w:tc>
          <w:tcPr>
            <w:tcW w:w="1000" w:type="pct"/>
            <w:shd w:val="clear" w:color="auto" w:fill="D6E4F0"/>
            <w:vAlign w:val="center"/>
          </w:tcPr>
          <w:p w14:paraId="52CF3A3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1969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vAlign w:val="center"/>
          </w:tcPr>
          <w:p w14:paraId="3522D11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AI/提示词工程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4E71124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LLM API对接/提示词优化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64233E3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具备（需学习）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BCBE6C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</w:tr>
      <w:tr w14:paraId="0EE5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D6E4F0"/>
            <w:vAlign w:val="center"/>
          </w:tcPr>
          <w:p w14:paraId="3137AC4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UE蓝图知识</w:t>
            </w:r>
          </w:p>
        </w:tc>
        <w:tc>
          <w:tcPr>
            <w:tcW w:w="1500" w:type="pct"/>
            <w:shd w:val="clear" w:color="auto" w:fill="D6E4F0"/>
            <w:vAlign w:val="center"/>
          </w:tcPr>
          <w:p w14:paraId="1FBB55A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节点类型/逻辑设计</w:t>
            </w:r>
          </w:p>
        </w:tc>
        <w:tc>
          <w:tcPr>
            <w:tcW w:w="1500" w:type="pct"/>
            <w:shd w:val="clear" w:color="auto" w:fill="D6E4F0"/>
            <w:vAlign w:val="center"/>
          </w:tcPr>
          <w:p w14:paraId="0F619E1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具备（需补充）</w:t>
            </w:r>
          </w:p>
        </w:tc>
        <w:tc>
          <w:tcPr>
            <w:tcW w:w="1000" w:type="pct"/>
            <w:shd w:val="clear" w:color="auto" w:fill="D6E4F0"/>
            <w:vAlign w:val="center"/>
          </w:tcPr>
          <w:p w14:paraId="1825DA3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</w:tr>
    </w:tbl>
    <w:p w14:paraId="5693802E">
      <w:pPr>
        <w:spacing w:after="120" w:line="276" w:lineRule="auto"/>
      </w:pPr>
    </w:p>
    <w:p w14:paraId="1ECB09D2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2.3 技术可行性结论</w:t>
      </w:r>
    </w:p>
    <w:p w14:paraId="1F304270">
      <w:pPr>
        <w:spacing w:after="120" w:line="276" w:lineRule="auto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可行。各项关键技术均有成熟开源方案，团队核心技能匹配度高，AI相关技能可通过短期学习弥补。</w:t>
      </w:r>
    </w:p>
    <w:p w14:paraId="2AC905C7">
      <w:pPr>
        <w:pStyle w:val="2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  <w:t>三、经济可行性分析</w:t>
      </w:r>
    </w:p>
    <w:p w14:paraId="18DDBD37">
      <w:pPr>
        <w:pStyle w:val="3"/>
        <w:keepNext w:val="0"/>
        <w:keepLines w:val="0"/>
        <w:spacing w:before="240" w:after="120" w:line="276" w:lineRule="auto"/>
        <w:jc w:val="left"/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3.1 开发成本估算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0"/>
        <w:gridCol w:w="2920"/>
        <w:gridCol w:w="2920"/>
      </w:tblGrid>
      <w:tr w14:paraId="2DB2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vAlign w:val="center"/>
          </w:tcPr>
          <w:p w14:paraId="482F8EA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成本项</w:t>
            </w:r>
          </w:p>
        </w:tc>
        <w:tc>
          <w:tcPr>
            <w:tcW w:w="2500" w:type="pct"/>
            <w:shd w:val="clear" w:color="auto" w:fill="1F4E79"/>
            <w:vAlign w:val="center"/>
          </w:tcPr>
          <w:p w14:paraId="5849BE0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明细</w:t>
            </w:r>
          </w:p>
        </w:tc>
        <w:tc>
          <w:tcPr>
            <w:tcW w:w="1500" w:type="pct"/>
            <w:shd w:val="clear" w:color="auto" w:fill="1F4E79"/>
            <w:vAlign w:val="center"/>
          </w:tcPr>
          <w:p w14:paraId="78CAAA5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估算金额</w:t>
            </w:r>
          </w:p>
        </w:tc>
      </w:tr>
      <w:tr w14:paraId="37CB7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vAlign w:val="center"/>
          </w:tcPr>
          <w:p w14:paraId="20BF75A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人力成本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0FB8B7A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3人团队x10周x5000元/周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36B33A5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150,000元</w:t>
            </w:r>
          </w:p>
        </w:tc>
      </w:tr>
      <w:tr w14:paraId="59BE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D6E4F0"/>
            <w:vAlign w:val="center"/>
          </w:tcPr>
          <w:p w14:paraId="0200144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云服务器</w:t>
            </w:r>
          </w:p>
        </w:tc>
        <w:tc>
          <w:tcPr>
            <w:tcW w:w="2500" w:type="pct"/>
            <w:shd w:val="clear" w:color="auto" w:fill="D6E4F0"/>
            <w:vAlign w:val="center"/>
          </w:tcPr>
          <w:p w14:paraId="7259E34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2核4Gx12个月</w:t>
            </w:r>
          </w:p>
        </w:tc>
        <w:tc>
          <w:tcPr>
            <w:tcW w:w="1500" w:type="pct"/>
            <w:shd w:val="clear" w:color="auto" w:fill="D6E4F0"/>
            <w:vAlign w:val="center"/>
          </w:tcPr>
          <w:p w14:paraId="199105D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2,400元</w:t>
            </w:r>
          </w:p>
        </w:tc>
      </w:tr>
      <w:tr w14:paraId="6BC8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vAlign w:val="center"/>
          </w:tcPr>
          <w:p w14:paraId="7E43457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LLM API调用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7261BA8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月均1000元x12个月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2309F7A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12,000元</w:t>
            </w:r>
          </w:p>
        </w:tc>
      </w:tr>
      <w:tr w14:paraId="3691E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D6E4F0"/>
            <w:vAlign w:val="center"/>
          </w:tcPr>
          <w:p w14:paraId="2B3EAD4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域名与SSL</w:t>
            </w:r>
          </w:p>
        </w:tc>
        <w:tc>
          <w:tcPr>
            <w:tcW w:w="2500" w:type="pct"/>
            <w:shd w:val="clear" w:color="auto" w:fill="D6E4F0"/>
            <w:vAlign w:val="center"/>
          </w:tcPr>
          <w:p w14:paraId="571EC41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年费</w:t>
            </w:r>
          </w:p>
        </w:tc>
        <w:tc>
          <w:tcPr>
            <w:tcW w:w="1500" w:type="pct"/>
            <w:shd w:val="clear" w:color="auto" w:fill="D6E4F0"/>
            <w:vAlign w:val="center"/>
          </w:tcPr>
          <w:p w14:paraId="3CAC08D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300元</w:t>
            </w:r>
          </w:p>
        </w:tc>
      </w:tr>
      <w:tr w14:paraId="4A87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vAlign w:val="center"/>
          </w:tcPr>
          <w:p w14:paraId="632AD74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工具与许可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70C52BB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全部开源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18D5932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0元</w:t>
            </w:r>
          </w:p>
        </w:tc>
      </w:tr>
      <w:tr w14:paraId="7DD56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D6E4F0"/>
            <w:vAlign w:val="center"/>
          </w:tcPr>
          <w:p w14:paraId="775109B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合计</w:t>
            </w:r>
          </w:p>
        </w:tc>
        <w:tc>
          <w:tcPr>
            <w:tcW w:w="2500" w:type="pct"/>
            <w:shd w:val="clear" w:color="auto" w:fill="D6E4F0"/>
            <w:vAlign w:val="center"/>
          </w:tcPr>
          <w:p w14:paraId="111444B8">
            <w:pPr>
              <w:spacing w:after="0" w:line="276" w:lineRule="auto"/>
              <w:jc w:val="center"/>
            </w:pPr>
          </w:p>
        </w:tc>
        <w:tc>
          <w:tcPr>
            <w:tcW w:w="1500" w:type="pct"/>
            <w:shd w:val="clear" w:color="auto" w:fill="D6E4F0"/>
            <w:vAlign w:val="center"/>
          </w:tcPr>
          <w:p w14:paraId="187C970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164,700元</w:t>
            </w:r>
          </w:p>
        </w:tc>
      </w:tr>
    </w:tbl>
    <w:p w14:paraId="3204C663">
      <w:pPr>
        <w:spacing w:after="120" w:line="276" w:lineRule="auto"/>
      </w:pPr>
    </w:p>
    <w:p w14:paraId="20298113">
      <w:pPr>
        <w:pStyle w:val="3"/>
        <w:keepNext w:val="0"/>
        <w:keepLines w:val="0"/>
        <w:spacing w:before="240" w:after="120" w:line="276" w:lineRule="auto"/>
        <w:jc w:val="left"/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3.2 运行成本估算（月均）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80"/>
        <w:gridCol w:w="4380"/>
      </w:tblGrid>
      <w:tr w14:paraId="04259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1F4E79"/>
            <w:vAlign w:val="center"/>
          </w:tcPr>
          <w:p w14:paraId="723D95B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成本项</w:t>
            </w:r>
          </w:p>
        </w:tc>
        <w:tc>
          <w:tcPr>
            <w:tcW w:w="2500" w:type="pct"/>
            <w:shd w:val="clear" w:color="auto" w:fill="1F4E79"/>
            <w:vAlign w:val="center"/>
          </w:tcPr>
          <w:p w14:paraId="50C417C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月均费用</w:t>
            </w:r>
          </w:p>
        </w:tc>
      </w:tr>
      <w:tr w14:paraId="5E24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vAlign w:val="center"/>
          </w:tcPr>
          <w:p w14:paraId="4E97519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云服务器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3663AA7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200元/月</w:t>
            </w:r>
          </w:p>
        </w:tc>
      </w:tr>
      <w:tr w14:paraId="1ABE8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D6E4F0"/>
            <w:vAlign w:val="center"/>
          </w:tcPr>
          <w:p w14:paraId="5AFCBBF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LLM API调用</w:t>
            </w:r>
          </w:p>
        </w:tc>
        <w:tc>
          <w:tcPr>
            <w:tcW w:w="2500" w:type="pct"/>
            <w:shd w:val="clear" w:color="auto" w:fill="D6E4F0"/>
            <w:vAlign w:val="center"/>
          </w:tcPr>
          <w:p w14:paraId="5CC87FA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500-2000元/月</w:t>
            </w:r>
          </w:p>
        </w:tc>
      </w:tr>
      <w:tr w14:paraId="20645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vAlign w:val="center"/>
          </w:tcPr>
          <w:p w14:paraId="43C72ED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域名/CDN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09F4ABD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50元/月</w:t>
            </w:r>
          </w:p>
        </w:tc>
      </w:tr>
      <w:tr w14:paraId="01D0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D6E4F0"/>
            <w:vAlign w:val="center"/>
          </w:tcPr>
          <w:p w14:paraId="3782577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月均合计</w:t>
            </w:r>
          </w:p>
        </w:tc>
        <w:tc>
          <w:tcPr>
            <w:tcW w:w="2500" w:type="pct"/>
            <w:shd w:val="clear" w:color="auto" w:fill="D6E4F0"/>
            <w:vAlign w:val="center"/>
          </w:tcPr>
          <w:p w14:paraId="16357E0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750-2250元</w:t>
            </w:r>
          </w:p>
        </w:tc>
      </w:tr>
    </w:tbl>
    <w:p w14:paraId="6F1C771F">
      <w:pPr>
        <w:spacing w:after="120" w:line="276" w:lineRule="auto"/>
      </w:pPr>
    </w:p>
    <w:p w14:paraId="52A13243">
      <w:pPr>
        <w:pStyle w:val="3"/>
        <w:keepNext w:val="0"/>
        <w:keepLines w:val="0"/>
        <w:spacing w:before="240" w:after="120" w:line="276" w:lineRule="auto"/>
        <w:jc w:val="left"/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3.3 投资回报分析</w:t>
      </w:r>
    </w:p>
    <w:p w14:paraId="7F70E036">
      <w:pPr>
        <w:pStyle w:val="17"/>
        <w:numPr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SaaS模式预估月收入5000-20000元</w:t>
      </w:r>
    </w:p>
    <w:p w14:paraId="632E2EF6">
      <w:pPr>
        <w:pStyle w:val="17"/>
        <w:numPr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预计5-8个月可收回初期开发成本</w:t>
      </w:r>
    </w:p>
    <w:p w14:paraId="7D9E4323">
      <w:pPr>
        <w:pStyle w:val="17"/>
        <w:numPr>
          <w:numId w:val="0"/>
        </w:numPr>
        <w:spacing w:after="80" w:line="276" w:lineRule="auto"/>
        <w:ind w:left="360" w:leftChars="0"/>
        <w:jc w:val="left"/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边际成本低，后续主要为API调用费用</w:t>
      </w:r>
    </w:p>
    <w:p w14:paraId="7A03CA07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3.4 经济可行性结论</w:t>
      </w:r>
    </w:p>
    <w:p w14:paraId="273F90BE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可行。投入成本可控，回报周期合理。</w:t>
      </w:r>
    </w:p>
    <w:p w14:paraId="0FB1FEE3">
      <w:pPr>
        <w:pStyle w:val="2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  <w:t>四、操作可行性分析</w:t>
      </w:r>
    </w:p>
    <w:p w14:paraId="55A3DEA4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4.1 用户接受度</w:t>
      </w:r>
    </w:p>
    <w:p w14:paraId="19A98007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Web版无需安装，打开浏览器即可使用</w:t>
      </w:r>
    </w:p>
    <w:p w14:paraId="32507943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自然语言输入方式直观友好</w:t>
      </w:r>
    </w:p>
    <w:p w14:paraId="12DD7128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节点图可视化界面贴合UE蓝图风格</w:t>
      </w:r>
    </w:p>
    <w:p w14:paraId="1A1F2222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目标用户（UE开发者、策划）学习成本低</w:t>
      </w:r>
    </w:p>
    <w:p w14:paraId="1F180698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4.2 部署环境要求</w:t>
      </w:r>
    </w:p>
    <w:p w14:paraId="0F1D6C3D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前端：任意支持现代浏览器的设备</w:t>
      </w:r>
    </w:p>
    <w:p w14:paraId="6BBA808F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后端：2核4G云服务器即可运行</w:t>
      </w:r>
    </w:p>
    <w:p w14:paraId="0923B6B3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依赖：Node.js运行时、LLM API账号</w:t>
      </w:r>
    </w:p>
    <w:p w14:paraId="7F9899A0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4.3 操作可行性结论</w:t>
      </w:r>
    </w:p>
    <w:p w14:paraId="7A4DE013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可行。用户门槛低，部署简单。</w:t>
      </w:r>
    </w:p>
    <w:p w14:paraId="29621880">
      <w:pPr>
        <w:pStyle w:val="2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  <w:t>五、法律与社会可行性分析</w:t>
      </w:r>
    </w:p>
    <w:p w14:paraId="163BBA31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5.1 版权与知识产权</w:t>
      </w:r>
    </w:p>
    <w:p w14:paraId="1C4C05F9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本产品采用全开源技术栈（React、React Flow、Dagre、Express），无版权风险</w:t>
      </w:r>
    </w:p>
    <w:p w14:paraId="6BA692AC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UE为Epic Games商业软件，本产品仅生成逻辑草图，不涉及UE底层资产修改，无侵权风险</w:t>
      </w:r>
    </w:p>
    <w:p w14:paraId="499E24D9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LLM API调用遵守服务商使用条款</w:t>
      </w:r>
    </w:p>
    <w:p w14:paraId="4193ED70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5.2 数据隐私</w:t>
      </w:r>
    </w:p>
    <w:p w14:paraId="70A333A6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不采集用户个人隐私数据</w:t>
      </w:r>
    </w:p>
    <w:p w14:paraId="5C84134B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用户输入的需求描述仅用于蓝图生成，不存储敏感信息</w:t>
      </w:r>
    </w:p>
    <w:p w14:paraId="380BF57C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LLM API传输使用HTTPS加密</w:t>
      </w:r>
    </w:p>
    <w:p w14:paraId="7B3E6A07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4"/>
          <w:szCs w:val="24"/>
        </w:rPr>
        <w:t>5.3 法律/社会可行性结论</w:t>
      </w:r>
    </w:p>
    <w:p w14:paraId="300D111C">
      <w:pPr>
        <w:pStyle w:val="17"/>
        <w:numPr>
          <w:ilvl w:val="0"/>
          <w:numId w:val="0"/>
        </w:numPr>
        <w:spacing w:after="80" w:line="276" w:lineRule="auto"/>
        <w:ind w:left="360" w:leftChars="0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可行。无版权纠纷风险，数据隐私合规。</w:t>
      </w:r>
    </w:p>
    <w:p w14:paraId="0FADFE2A">
      <w:pPr>
        <w:pStyle w:val="3"/>
        <w:keepNext w:val="0"/>
        <w:keepLines w:val="0"/>
        <w:spacing w:before="240" w:after="120" w:line="276" w:lineRule="auto"/>
        <w:jc w:val="left"/>
      </w:pPr>
      <w:r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  <w:t>六、风险分析及应对策略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2"/>
        <w:gridCol w:w="1752"/>
        <w:gridCol w:w="1752"/>
        <w:gridCol w:w="1752"/>
        <w:gridCol w:w="1752"/>
      </w:tblGrid>
      <w:tr w14:paraId="10D9F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vAlign w:val="center"/>
          </w:tcPr>
          <w:p w14:paraId="518C56E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风险类别</w:t>
            </w:r>
          </w:p>
        </w:tc>
        <w:tc>
          <w:tcPr>
            <w:tcW w:w="1000" w:type="pct"/>
            <w:shd w:val="clear" w:color="auto" w:fill="1F4E79"/>
            <w:vAlign w:val="center"/>
          </w:tcPr>
          <w:p w14:paraId="0B4CF35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600" w:type="pct"/>
            <w:shd w:val="clear" w:color="auto" w:fill="1F4E79"/>
            <w:vAlign w:val="center"/>
          </w:tcPr>
          <w:p w14:paraId="5DF7DE1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发生概率</w:t>
            </w:r>
          </w:p>
        </w:tc>
        <w:tc>
          <w:tcPr>
            <w:tcW w:w="600" w:type="pct"/>
            <w:shd w:val="clear" w:color="auto" w:fill="1F4E79"/>
            <w:vAlign w:val="center"/>
          </w:tcPr>
          <w:p w14:paraId="7D1F4CD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影响程度</w:t>
            </w:r>
          </w:p>
        </w:tc>
        <w:tc>
          <w:tcPr>
            <w:tcW w:w="1700" w:type="pct"/>
            <w:shd w:val="clear" w:color="auto" w:fill="1F4E79"/>
            <w:vAlign w:val="center"/>
          </w:tcPr>
          <w:p w14:paraId="07BB813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14:paraId="5D4B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FFFFF"/>
            <w:vAlign w:val="center"/>
          </w:tcPr>
          <w:p w14:paraId="20670FB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技术风险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52D8A6F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LLM生成准确性不足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36ABF52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5B14AAB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1700" w:type="pct"/>
            <w:shd w:val="clear" w:color="auto" w:fill="FFFFFF"/>
            <w:vAlign w:val="center"/>
          </w:tcPr>
          <w:p w14:paraId="17429FC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后处理校验+提示词优化+Few-shot微调</w:t>
            </w:r>
          </w:p>
        </w:tc>
      </w:tr>
      <w:tr w14:paraId="6AF0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D6E4F0"/>
            <w:vAlign w:val="center"/>
          </w:tcPr>
          <w:p w14:paraId="219097C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技术风险</w:t>
            </w:r>
          </w:p>
        </w:tc>
        <w:tc>
          <w:tcPr>
            <w:tcW w:w="1000" w:type="pct"/>
            <w:shd w:val="clear" w:color="auto" w:fill="D6E4F0"/>
            <w:vAlign w:val="center"/>
          </w:tcPr>
          <w:p w14:paraId="074240B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复杂图渲染性能差</w:t>
            </w:r>
          </w:p>
        </w:tc>
        <w:tc>
          <w:tcPr>
            <w:tcW w:w="600" w:type="pct"/>
            <w:shd w:val="clear" w:color="auto" w:fill="D6E4F0"/>
            <w:vAlign w:val="center"/>
          </w:tcPr>
          <w:p w14:paraId="5C7EC25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低</w:t>
            </w:r>
          </w:p>
        </w:tc>
        <w:tc>
          <w:tcPr>
            <w:tcW w:w="600" w:type="pct"/>
            <w:shd w:val="clear" w:color="auto" w:fill="D6E4F0"/>
            <w:vAlign w:val="center"/>
          </w:tcPr>
          <w:p w14:paraId="7016F70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1700" w:type="pct"/>
            <w:shd w:val="clear" w:color="auto" w:fill="D6E4F0"/>
            <w:vAlign w:val="center"/>
          </w:tcPr>
          <w:p w14:paraId="25777E6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节点数限制+懒加载+节点分组</w:t>
            </w:r>
          </w:p>
        </w:tc>
      </w:tr>
      <w:tr w14:paraId="4751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FFFFF"/>
            <w:vAlign w:val="center"/>
          </w:tcPr>
          <w:p w14:paraId="13B2536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市场风险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4E7083C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用户接受度不确定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2118FDD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12859A8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1700" w:type="pct"/>
            <w:shd w:val="clear" w:color="auto" w:fill="FFFFFF"/>
            <w:vAlign w:val="center"/>
          </w:tcPr>
          <w:p w14:paraId="1BAC0DE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MVP验证+用户试用反馈迭代</w:t>
            </w:r>
          </w:p>
        </w:tc>
      </w:tr>
      <w:tr w14:paraId="1BCA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D6E4F0"/>
            <w:vAlign w:val="center"/>
          </w:tcPr>
          <w:p w14:paraId="1FE7554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市场风险</w:t>
            </w:r>
          </w:p>
        </w:tc>
        <w:tc>
          <w:tcPr>
            <w:tcW w:w="1000" w:type="pct"/>
            <w:shd w:val="clear" w:color="auto" w:fill="D6E4F0"/>
            <w:vAlign w:val="center"/>
          </w:tcPr>
          <w:p w14:paraId="2BE2B4C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竞品出现</w:t>
            </w:r>
          </w:p>
        </w:tc>
        <w:tc>
          <w:tcPr>
            <w:tcW w:w="600" w:type="pct"/>
            <w:shd w:val="clear" w:color="auto" w:fill="D6E4F0"/>
            <w:vAlign w:val="center"/>
          </w:tcPr>
          <w:p w14:paraId="64D52C3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pct"/>
            <w:shd w:val="clear" w:color="auto" w:fill="D6E4F0"/>
            <w:vAlign w:val="center"/>
          </w:tcPr>
          <w:p w14:paraId="3065A6F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1700" w:type="pct"/>
            <w:shd w:val="clear" w:color="auto" w:fill="D6E4F0"/>
            <w:vAlign w:val="center"/>
          </w:tcPr>
          <w:p w14:paraId="20EF199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聚焦差异化价值+建立先发优势</w:t>
            </w:r>
          </w:p>
        </w:tc>
      </w:tr>
      <w:tr w14:paraId="0483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FFFFF"/>
            <w:vAlign w:val="center"/>
          </w:tcPr>
          <w:p w14:paraId="3B9A3AD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成本风险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6F236DD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LLM API调用成本过高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4CFB23A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1F5DDD3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1700" w:type="pct"/>
            <w:shd w:val="clear" w:color="auto" w:fill="FFFFFF"/>
            <w:vAlign w:val="center"/>
          </w:tcPr>
          <w:p w14:paraId="4B1E3D3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优先国产模型+缓存机制+精简输入</w:t>
            </w:r>
          </w:p>
        </w:tc>
      </w:tr>
      <w:tr w14:paraId="05571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D6E4F0"/>
            <w:vAlign w:val="center"/>
          </w:tcPr>
          <w:p w14:paraId="185579F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人员风险</w:t>
            </w:r>
          </w:p>
        </w:tc>
        <w:tc>
          <w:tcPr>
            <w:tcW w:w="1000" w:type="pct"/>
            <w:shd w:val="clear" w:color="auto" w:fill="D6E4F0"/>
            <w:vAlign w:val="center"/>
          </w:tcPr>
          <w:p w14:paraId="42C9B52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AI提示词工程经验不足</w:t>
            </w:r>
          </w:p>
        </w:tc>
        <w:tc>
          <w:tcPr>
            <w:tcW w:w="600" w:type="pct"/>
            <w:shd w:val="clear" w:color="auto" w:fill="D6E4F0"/>
            <w:vAlign w:val="center"/>
          </w:tcPr>
          <w:p w14:paraId="6F88456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pct"/>
            <w:shd w:val="clear" w:color="auto" w:fill="D6E4F0"/>
            <w:vAlign w:val="center"/>
          </w:tcPr>
          <w:p w14:paraId="7002EB2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1700" w:type="pct"/>
            <w:shd w:val="clear" w:color="auto" w:fill="D6E4F0"/>
            <w:vAlign w:val="center"/>
          </w:tcPr>
          <w:p w14:paraId="328372A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团队培训+参考社区最佳实践</w:t>
            </w:r>
          </w:p>
        </w:tc>
      </w:tr>
    </w:tbl>
    <w:p w14:paraId="7C572682">
      <w:pPr>
        <w:spacing w:after="120" w:line="276" w:lineRule="auto"/>
      </w:pPr>
    </w:p>
    <w:p w14:paraId="3B714BB4">
      <w:pPr>
        <w:pStyle w:val="3"/>
        <w:keepNext w:val="0"/>
        <w:keepLines w:val="0"/>
        <w:spacing w:before="240" w:after="120" w:line="276" w:lineRule="auto"/>
        <w:jc w:val="left"/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</w:pPr>
      <w:r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  <w:t>七、结论</w:t>
      </w:r>
    </w:p>
    <w:p w14:paraId="36CFEB81">
      <w:pPr>
        <w:spacing w:after="120" w:line="276" w:lineRule="auto"/>
        <w:jc w:val="left"/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综合技术、经济、操作、法律四个维度的分析，BluePrint Copilot项目在各方面均具备可行性，建议立项推进。采用迭代开发模式，先完成MVP验证核心价值，再逐步扩展功能。</w:t>
      </w:r>
    </w:p>
    <w:p w14:paraId="71C096DB">
      <w:pPr>
        <w:pStyle w:val="3"/>
        <w:keepNext w:val="0"/>
        <w:keepLines w:val="0"/>
        <w:spacing w:before="240" w:after="120" w:line="276" w:lineRule="auto"/>
        <w:jc w:val="left"/>
      </w:pPr>
      <w:r>
        <w:rPr>
          <w:rFonts w:hint="eastAsia" w:ascii="华文宋体" w:hAnsi="华文宋体" w:eastAsia="华文宋体" w:cs="华文宋体"/>
          <w:b/>
          <w:bCs/>
          <w:color w:val="1F4E79"/>
          <w:sz w:val="28"/>
          <w:szCs w:val="28"/>
        </w:rPr>
        <w:t>八、AI标注</w:t>
      </w:r>
      <w:bookmarkStart w:id="0" w:name="_GoBack"/>
      <w:bookmarkEnd w:id="0"/>
    </w:p>
    <w:p w14:paraId="446816C0">
      <w:pPr>
        <w:spacing w:after="120" w:line="276" w:lineRule="auto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/>
          <w:bCs/>
          <w:sz w:val="21"/>
          <w:szCs w:val="21"/>
        </w:rPr>
        <w:t>AI辅助分析说明：</w:t>
      </w:r>
    </w:p>
    <w:p w14:paraId="1A8193AF">
      <w:pPr>
        <w:spacing w:after="120" w:line="276" w:lineRule="auto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可行性分析初稿框架由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  <w:lang w:val="en-US" w:eastAsia="zh-CN"/>
        </w:rPr>
        <w:t>TREA</w:t>
      </w: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  <w:t>生成，本人对技术栈成熟度评估、团队能力匹配分析、成本数据、风险应对策略进行了修改。</w:t>
      </w:r>
    </w:p>
    <w:p w14:paraId="6BB05D3D">
      <w:pPr>
        <w:spacing w:after="120" w:line="276" w:lineRule="auto"/>
        <w:jc w:val="left"/>
        <w:rPr>
          <w:rFonts w:hint="eastAsia" w:ascii="华文宋体" w:hAnsi="华文宋体" w:eastAsia="华文宋体" w:cs="华文宋体"/>
          <w:b w:val="0"/>
          <w:bCs w:val="0"/>
          <w:sz w:val="21"/>
          <w:szCs w:val="21"/>
        </w:rPr>
      </w:pPr>
      <w:r>
        <w:rPr>
          <w:rFonts w:hint="eastAsia" w:ascii="华文宋体" w:hAnsi="华文宋体" w:eastAsia="华文宋体" w:cs="华文宋体"/>
          <w:b w:val="0"/>
          <w:bCs w:val="0"/>
          <w:sz w:val="21"/>
          <w:szCs w:val="21"/>
          <w:lang w:val="en-US" w:eastAsia="zh-CN"/>
        </w:rPr>
        <w:t>AI使用率超60%</w:t>
      </w:r>
    </w:p>
    <w:sectPr>
      <w:headerReference r:id="rId3" w:type="default"/>
      <w:pgSz w:w="11906" w:h="16838"/>
      <w:pgMar w:top="1440" w:right="1440" w:bottom="1440" w:left="172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C15AC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82261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16982261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69331D4"/>
    <w:rsid w:val="3ABF6F6C"/>
    <w:rsid w:val="47BA5463"/>
    <w:rsid w:val="5E1B6804"/>
    <w:rsid w:val="75E43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bidi w:val="0"/>
      <w:spacing w:before="360" w:after="200" w:line="276" w:lineRule="auto"/>
      <w:outlineLvl w:val="0"/>
    </w:pPr>
    <w:rPr>
      <w:rFonts w:ascii="微软雅黑" w:hAnsi="微软雅黑" w:eastAsia="宋体" w:cs="微软雅黑"/>
      <w:b/>
      <w:bCs/>
      <w:color w:val="1F4E79"/>
      <w:sz w:val="28"/>
      <w:szCs w:val="28"/>
    </w:rPr>
  </w:style>
  <w:style w:type="paragraph" w:styleId="3">
    <w:name w:val="heading 2"/>
    <w:next w:val="1"/>
    <w:link w:val="20"/>
    <w:qFormat/>
    <w:uiPriority w:val="0"/>
    <w:pPr>
      <w:keepNext w:val="0"/>
      <w:keepLines w:val="0"/>
      <w:bidi w:val="0"/>
      <w:spacing w:before="240" w:after="120" w:line="276" w:lineRule="auto"/>
      <w:jc w:val="left"/>
      <w:outlineLvl w:val="1"/>
    </w:pPr>
    <w:rPr>
      <w:rFonts w:ascii="微软雅黑" w:hAnsi="微软雅黑" w:eastAsia="微软雅黑" w:cs="微软雅黑"/>
      <w:b/>
      <w:bCs/>
      <w:color w:val="1F4E79"/>
      <w:sz w:val="24"/>
      <w:szCs w:val="24"/>
    </w:rPr>
  </w:style>
  <w:style w:type="paragraph" w:styleId="4">
    <w:name w:val="heading 3"/>
    <w:next w:val="1"/>
    <w:qFormat/>
    <w:uiPriority w:val="0"/>
    <w:pPr>
      <w:spacing w:before="200" w:after="100" w:line="276" w:lineRule="auto"/>
    </w:pPr>
    <w:rPr>
      <w:rFonts w:ascii="微软雅黑" w:hAnsi="微软雅黑" w:eastAsia="微软雅黑" w:cs="微软雅黑"/>
      <w:b/>
      <w:bCs/>
      <w:color w:val="1F4E79"/>
      <w:sz w:val="21"/>
      <w:szCs w:val="21"/>
    </w:rPr>
  </w:style>
  <w:style w:type="paragraph" w:styleId="5">
    <w:name w:val="heading 4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pPr>
      <w:spacing w:line="276" w:lineRule="auto"/>
    </w:pPr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pPr>
      <w:spacing w:line="276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  <w:style w:type="character" w:customStyle="1" w:styleId="20">
    <w:name w:val="标题 2 Char"/>
    <w:link w:val="3"/>
    <w:uiPriority w:val="0"/>
    <w:rPr>
      <w:rFonts w:ascii="微软雅黑" w:hAnsi="微软雅黑" w:eastAsia="微软雅黑" w:cs="微软雅黑"/>
      <w:b/>
      <w:bCs/>
      <w:color w:val="1F4E79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1402</Words>
  <Characters>1764</Characters>
  <TotalTime>12</TotalTime>
  <ScaleCrop>false</ScaleCrop>
  <LinksUpToDate>false</LinksUpToDate>
  <CharactersWithSpaces>1799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2026-06-26T00:19:00Z</dcterms:created>
  <dc:creator>BluePrint Copilot Team</dc:creator>
  <dc:description>可行性分析报告 V1.0</dc:description>
  <cp:lastModifiedBy>胡扬健</cp:lastModifiedBy>
  <dcterms:modified xsi:type="dcterms:W3CDTF">2026-06-26T02:53:41Z</dcterms:modified>
  <dc:title>BluePrint Copilot（蓝图构思助手）可行性分析报告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eyJoZGlkIjoiYTk3MzhmNmU1MGNlMmJhOTA2OTU5MDBjNWE0ZTFhYTciLCJ1c2VySWQiOiIxNjM5ODEwODQ4In0=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B5282CD16A404160BF6F83DF204C45B0_12</vt:lpwstr>
  </property>
</Properties>
</file>