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(</w:t>
      </w:r>
      <w:r>
        <w:rPr>
          <w:b w:val="false"/>
          <w:bCs w:val="false"/>
          <w:i/>
          <w:iCs/>
          <w:sz w:val="24"/>
        </w:rPr>
        <w:t>electronic gold</w:t>
      </w:r>
      <w:r>
        <w:rPr>
          <w:b w:val="false"/>
          <w:bCs w:val="false"/>
          <w:sz w:val="24"/>
        </w:rPr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b w:val="false"/>
          <w:bCs w:val="false"/>
          <w:i/>
          <w:iCs/>
          <w:sz w:val="24"/>
        </w:rPr>
        <w:t>electronic mail</w:t>
      </w:r>
      <w:r>
        <w:rPr>
          <w:b w:val="false"/>
          <w:bCs w:val="false"/>
          <w:sz w:val="24"/>
        </w:rPr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трат. E-mail письма, что немаловажно, дружелюбны к окружающей среде и не требуют использования природных ресурсов. Также и </w:t>
      </w: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позиционируется, как экологическая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альтернатива</w:t>
      </w:r>
      <w:r>
        <w:rPr>
          <w:b w:val="false"/>
          <w:bCs w:val="false"/>
          <w:sz w:val="24"/>
        </w:rPr>
        <w:t xml:space="preserve"> физическому золоту и бумажным деньгам с значительными преимуществами над ними, схожими с преимуществами E-mail писем над бумажными.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25 мая 2020г. </w:t>
      </w:r>
      <w:r>
        <w:rPr>
          <w:b/>
          <w:bCs/>
          <w:sz w:val="24"/>
        </w:rPr>
        <w:t xml:space="preserve">100 </w:t>
      </w:r>
      <w:r>
        <w:rPr>
          <w:b w:val="false"/>
          <w:bCs w:val="false"/>
          <w:sz w:val="24"/>
        </w:rPr>
        <w:t>монет</w:t>
      </w:r>
      <w:r>
        <w:rPr>
          <w:b/>
          <w:bCs/>
          <w:sz w:val="24"/>
        </w:rPr>
        <w:t xml:space="preserve"> eGOLD = 1.73$ </w:t>
      </w:r>
      <w:r>
        <w:rPr>
          <w:b w:val="false"/>
          <w:bCs w:val="false"/>
          <w:sz w:val="24"/>
        </w:rPr>
        <w:t>или</w:t>
      </w:r>
      <w:r>
        <w:rPr>
          <w:b/>
          <w:bCs/>
          <w:sz w:val="24"/>
        </w:rPr>
        <w:t xml:space="preserve"> 124.60 руб.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самая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</w:t>
      </w:r>
      <w:r>
        <w:rPr>
          <w:b w:val="false"/>
          <w:bCs w:val="false"/>
          <w:sz w:val="24"/>
        </w:rPr>
        <w:t>к</w:t>
      </w:r>
      <w:r>
        <w:rPr>
          <w:b w:val="false"/>
          <w:bCs w:val="false"/>
          <w:sz w:val="24"/>
        </w:rPr>
        <w:t xml:space="preserve">ак и в </w:t>
      </w:r>
      <w:r>
        <w:rPr>
          <w:b w:val="false"/>
          <w:bCs w:val="false"/>
          <w:sz w:val="24"/>
        </w:rPr>
        <w:t>некоторых</w:t>
      </w:r>
      <w:r>
        <w:rPr>
          <w:b w:val="false"/>
          <w:bCs w:val="false"/>
          <w:sz w:val="24"/>
        </w:rPr>
        <w:t xml:space="preserve">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</w:t>
      </w:r>
      <w:r>
        <w:rPr>
          <w:b w:val="false"/>
          <w:bCs w:val="false"/>
          <w:sz w:val="24"/>
        </w:rPr>
        <w:t xml:space="preserve">держащих монеты на своём балансе </w:t>
      </w:r>
      <w:r>
        <w:rPr>
          <w:b w:val="false"/>
          <w:bCs w:val="false"/>
          <w:sz w:val="24"/>
        </w:rPr>
        <w:t xml:space="preserve">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</w:t>
      </w:r>
      <w:r>
        <w:rPr>
          <w:b w:val="false"/>
          <w:bCs w:val="false"/>
          <w:sz w:val="24"/>
        </w:rPr>
        <w:t>а таких пользователей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 xml:space="preserve">в среде блокчейна </w:t>
      </w:r>
      <w:r>
        <w:rPr>
          <w:b w:val="false"/>
          <w:bCs w:val="false"/>
          <w:sz w:val="24"/>
        </w:rPr>
        <w:t>называют</w:t>
      </w:r>
      <w:r>
        <w:rPr>
          <w:b w:val="false"/>
          <w:bCs w:val="false"/>
          <w:sz w:val="24"/>
        </w:rPr>
        <w:t xml:space="preserve"> </w:t>
      </w:r>
      <w:r>
        <w:rPr>
          <w:b/>
          <w:bCs/>
          <w:sz w:val="24"/>
        </w:rPr>
        <w:t>холдерам</w:t>
      </w:r>
      <w:r>
        <w:rPr>
          <w:b/>
          <w:bCs/>
          <w:sz w:val="24"/>
        </w:rPr>
        <w:t>и</w:t>
      </w:r>
      <w:r>
        <w:rPr>
          <w:b w:val="false"/>
          <w:bCs w:val="false"/>
          <w:sz w:val="24"/>
        </w:rPr>
        <w:t xml:space="preserve">. </w:t>
      </w:r>
      <w:r>
        <w:rPr>
          <w:b w:val="false"/>
          <w:bCs w:val="false"/>
          <w:sz w:val="24"/>
        </w:rPr>
        <w:t>При этом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 w:val="false"/>
          <w:bCs w:val="false"/>
          <w:sz w:val="24"/>
          <w:lang w:val="en-US"/>
        </w:rPr>
        <w:t>в eGO</w:t>
      </w:r>
      <w:r>
        <w:rPr>
          <w:b w:val="false"/>
          <w:bCs w:val="false"/>
          <w:sz w:val="24"/>
          <w:lang w:val="en-US"/>
        </w:rPr>
        <w:t>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</w:t>
      </w:r>
      <w:r>
        <w:rPr>
          <w:b w:val="false"/>
          <w:bCs w:val="false"/>
          <w:sz w:val="24"/>
        </w:rPr>
        <w:t>долго</w:t>
      </w:r>
      <w:r>
        <w:rPr>
          <w:b w:val="false"/>
          <w:bCs w:val="false"/>
          <w:sz w:val="24"/>
        </w:rPr>
        <w:t xml:space="preserve"> холдить монеты для получения прироста монет на балансе.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Более того, зачисляется ещё и</w:t>
      </w:r>
      <w:r>
        <w:rPr>
          <w:b w:val="false"/>
          <w:bCs w:val="false"/>
          <w:sz w:val="24"/>
        </w:rPr>
        <w:t xml:space="preserve">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</w:t>
      </w:r>
      <w:r>
        <w:rPr>
          <w:b w:val="false"/>
          <w:bCs w:val="false"/>
          <w:sz w:val="24"/>
        </w:rPr>
        <w:t>и есть</w:t>
      </w:r>
      <w:r>
        <w:rPr>
          <w:b w:val="false"/>
          <w:bCs w:val="false"/>
          <w:sz w:val="24"/>
        </w:rPr>
        <w:t xml:space="preserve"> реферальн</w:t>
      </w:r>
      <w:r>
        <w:rPr>
          <w:b w:val="false"/>
          <w:bCs w:val="false"/>
          <w:sz w:val="24"/>
        </w:rPr>
        <w:t>ая</w:t>
      </w:r>
      <w:r>
        <w:rPr>
          <w:b w:val="false"/>
          <w:bCs w:val="false"/>
          <w:sz w:val="24"/>
        </w:rPr>
        <w:t xml:space="preserve"> систем</w:t>
      </w:r>
      <w:r>
        <w:rPr>
          <w:b w:val="false"/>
          <w:bCs w:val="false"/>
          <w:sz w:val="24"/>
        </w:rPr>
        <w:t>а</w:t>
      </w:r>
      <w:r>
        <w:rPr>
          <w:b w:val="false"/>
          <w:bCs w:val="false"/>
          <w:sz w:val="24"/>
        </w:rPr>
        <w:t xml:space="preserve">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</w:t>
      </w:r>
      <w:r>
        <w:rPr>
          <w:b w:val="false"/>
          <w:bCs w:val="false"/>
          <w:sz w:val="24"/>
        </w:rPr>
        <w:t xml:space="preserve">относительно </w:t>
      </w:r>
      <w:r>
        <w:rPr>
          <w:b w:val="false"/>
          <w:bCs w:val="false"/>
          <w:sz w:val="24"/>
        </w:rPr>
        <w:t>её цены, чтобы дать старт всем желающим людям равномерно распределить монеты для их последующе</w:t>
      </w:r>
      <w:r>
        <w:rPr>
          <w:b w:val="false"/>
          <w:bCs w:val="false"/>
          <w:sz w:val="24"/>
        </w:rPr>
        <w:t>й</w:t>
      </w:r>
      <w:r>
        <w:rPr>
          <w:b w:val="false"/>
          <w:bCs w:val="false"/>
          <w:sz w:val="24"/>
        </w:rPr>
        <w:t xml:space="preserve"> честно</w:t>
      </w:r>
      <w:r>
        <w:rPr>
          <w:b w:val="false"/>
          <w:bCs w:val="false"/>
          <w:sz w:val="24"/>
        </w:rPr>
        <w:t>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>Если н</w:t>
      </w:r>
      <w:r>
        <w:rPr>
          <w:b w:val="false"/>
          <w:bCs w:val="false"/>
          <w:sz w:val="24"/>
        </w:rPr>
        <w:t xml:space="preserve">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 xml:space="preserve">огда </w:t>
      </w:r>
      <w:r>
        <w:rPr>
          <w:b w:val="false"/>
          <w:bCs w:val="false"/>
          <w:sz w:val="24"/>
        </w:rPr>
        <w:t xml:space="preserve">стоит </w:t>
      </w:r>
      <w:r>
        <w:rPr>
          <w:b w:val="false"/>
          <w:bCs w:val="false"/>
          <w:sz w:val="24"/>
        </w:rPr>
        <w:t>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</w:t>
      </w:r>
      <w:r>
        <w:rPr>
          <w:b w:val="false"/>
          <w:bCs w:val="false"/>
          <w:sz w:val="24"/>
        </w:rPr>
        <w:t>ть</w:t>
      </w:r>
      <w:r>
        <w:rPr>
          <w:b w:val="false"/>
          <w:bCs w:val="false"/>
          <w:sz w:val="24"/>
        </w:rPr>
        <w:t xml:space="preserve">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</w:t>
      </w:r>
      <w:r>
        <w:rPr>
          <w:b w:val="false"/>
          <w:bCs w:val="false"/>
          <w:sz w:val="24"/>
        </w:rPr>
        <w:t xml:space="preserve">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</w:t>
      </w:r>
      <w:r>
        <w:rPr>
          <w:b w:val="false"/>
          <w:bCs w:val="false"/>
          <w:sz w:val="24"/>
        </w:rPr>
        <w:t xml:space="preserve"> от сеньоража тех людей, кого пригласили 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</w:t>
      </w:r>
      <w:r>
        <w:rPr>
          <w:b w:val="false"/>
          <w:bCs w:val="false"/>
          <w:sz w:val="24"/>
        </w:rPr>
        <w:t xml:space="preserve">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</w:t>
      </w:r>
      <w:r>
        <w:rPr>
          <w:b w:val="false"/>
          <w:bCs w:val="false"/>
          <w:sz w:val="24"/>
        </w:rPr>
        <w:t xml:space="preserve"> от тех, кого они пригласят, и ещё 6.25%  </w:t>
      </w:r>
      <w:r>
        <w:rPr>
          <w:b w:val="false"/>
          <w:bCs w:val="false"/>
          <w:sz w:val="24"/>
        </w:rPr>
        <w:t xml:space="preserve">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</w:t>
      </w:r>
      <w:r>
        <w:rPr>
          <w:b w:val="false"/>
          <w:bCs w:val="false"/>
          <w:sz w:val="24"/>
        </w:rPr>
        <w:t xml:space="preserve"> от тех, кого пригласят те, с кого получа</w:t>
      </w:r>
      <w:r>
        <w:rPr>
          <w:b w:val="false"/>
          <w:bCs w:val="false"/>
          <w:sz w:val="24"/>
        </w:rPr>
        <w:t>ют</w:t>
      </w:r>
      <w:r>
        <w:rPr>
          <w:b w:val="false"/>
          <w:bCs w:val="false"/>
          <w:sz w:val="24"/>
        </w:rPr>
        <w:t xml:space="preserve">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экологической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следующего поколения</w:t>
      </w:r>
      <w:r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</w:t>
      </w:r>
      <w:r>
        <w:rPr>
          <w:b w:val="false"/>
          <w:bCs w:val="false"/>
          <w:sz w:val="24"/>
        </w:rPr>
        <w:t xml:space="preserve">веером </w:t>
      </w:r>
      <w:r>
        <w:rPr>
          <w:b w:val="false"/>
          <w:bCs w:val="false"/>
          <w:sz w:val="24"/>
        </w:rPr>
        <w:t>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отправителю.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>секунд</w:t>
      </w:r>
      <w:r>
        <w:rPr>
          <w:b/>
          <w:bCs/>
          <w:sz w:val="24"/>
          <w:lang w:val="ru-RU"/>
        </w:rPr>
        <w:t>ы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(июль 2019 года) в среднем около 300 тысяч транзакций в день, а объем базы данных блокчейна постоянно увеличивается и достиг 270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Хоть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 не ниже 7.1, библиотека PHP-BCMATH и библиотека GMP)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"walletscount":"96",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 чтобы нода заработала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общее количество кошельков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balancestart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balancefinish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nodausewalletstart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 xml:space="preserve">nodausewalletfinish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limit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all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отклонённые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(для определения транзакции) Смотрится чёткое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history_exception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"sign":"","checkhistory":"0"}]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height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 кошельки по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100000000000000000","ref1":"0","ref2":"0","ref3":"0","noda":"91.106.203.179","nodause":"91.106.203.179","balance":"11324951","date":"1567159965","height":"318"},{"wallet":"271112141960136131","ref1":"100000000000000000","ref2":"0","ref3":"0","noda":"","nodause":"91.106.203.181","balance":"49760991","date":"1567159965","height":"1339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money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signnew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signpubreg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password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{"time":"1567160163","noda":"91.106.203.179","date":"1567159991","send":"true","recipient":"G-1261-21479-1061-51551"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запросам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wallet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contacts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email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up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down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3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list($falcon_k_reg,$falcon_p_reg)= Falcon\createKeyPair(128, [случайная строка на 50 000 символов]);//создание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$str_s= [кошелёк с которого отправляем].'00'.'3'.</w:t>
      </w:r>
      <w:bookmarkStart w:id="14" w:name="__DdeLink__470_3228249704"/>
      <w:r>
        <w:rPr>
          <w:sz w:val="24"/>
        </w:rPr>
        <w:t>'</w:t>
      </w:r>
      <w:r>
        <w:rPr>
          <w:sz w:val="24"/>
          <w:lang w:val="en-US"/>
        </w:rPr>
        <w:t>0</w:t>
      </w:r>
      <w:r>
        <w:rPr>
          <w:sz w:val="24"/>
        </w:rPr>
        <w:t>'</w:t>
      </w:r>
      <w:bookmarkEnd w:id="14"/>
      <w:r>
        <w:rPr>
          <w:sz w:val="24"/>
        </w:rPr>
        <w:t>.[текущая высота с которой отправляем +1].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 IP ноды которую будем использовать]</w:t>
      </w:r>
      <w:r>
        <w:rPr>
          <w:sz w:val="24"/>
        </w:rPr>
        <w:t>.$falcon_p_reg.$falcon_s_reg;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$falcon_s= Falcon\sign($falcon_k, $str_s);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'00',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'3',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 xml:space="preserve">' =&gt;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sz w:val="24"/>
        </w:rPr>
        <w:t>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if(isset($json_send['walletnew']) &amp;&amp; strlen(preg_replace("/[^0-9]/i",'',$json_send['walletnew']))==18){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/*кошелёк создан*/</w:t>
      </w:r>
      <w:r>
        <w:rPr>
          <w:sz w:val="24"/>
        </w:rPr>
        <w:t>}</w:t>
      </w:r>
    </w:p>
    <w:p>
      <w:pPr>
        <w:pStyle w:val="Normal"/>
        <w:spacing w:lineRule="auto" w:line="240"/>
        <w:jc w:val="left"/>
        <w:rPr/>
      </w:pPr>
      <w:bookmarkStart w:id="15" w:name="__DdeLink__358_1751395113"/>
      <w:r>
        <w:rPr>
          <w:sz w:val="24"/>
        </w:rPr>
        <w:t>?&gt;</w:t>
      </w:r>
      <w:bookmarkEnd w:id="1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14104</TotalTime>
  <Application>LibreOffice/6.4.3.2$Windows_X86_64 LibreOffice_project/747b5d0ebf89f41c860ec2a39efd7cb15b54f2d8</Application>
  <Pages>15</Pages>
  <Words>4870</Words>
  <Characters>34994</Characters>
  <CharactersWithSpaces>39926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2020-05-25T20:38:20Z</dcterms:modified>
  <cp:revision>216</cp:revision>
  <dc:subject/>
  <dc:title/>
</cp:coreProperties>
</file>