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uppressAutoHyphens w:val="true"/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НАЦІОНАЛЬНИЙ УНІВЕРСИТЕТ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ЛЬВІВСЬКА ПОЛІТЕХНІКА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uppressAutoHyphens w:val="true"/>
        <w:spacing w:before="0" w:after="16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Інститут комп’ютерних технологій, автоматики та метрології </w:t>
      </w:r>
    </w:p>
    <w:p>
      <w:pPr>
        <w:suppressAutoHyphens w:val="true"/>
        <w:spacing w:before="0" w:after="16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кафедра “</w:t>
      </w:r>
      <w:r>
        <w:rPr>
          <w:rFonts w:ascii="Times New Roman" w:hAnsi="Times New Roman" w:cs="Times New Roman" w:eastAsia="Times New Roman"/>
          <w:b/>
          <w:color w:val="202122"/>
          <w:spacing w:val="0"/>
          <w:position w:val="0"/>
          <w:sz w:val="28"/>
          <w:shd w:fill="FFFFFF" w:val="clear"/>
        </w:rPr>
        <w:t xml:space="preserve">Електронних обчислювальних машин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”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09" w:dyaOrig="3514">
          <v:rect xmlns:o="urn:schemas-microsoft-com:office:office" xmlns:v="urn:schemas-microsoft-com:vml" id="rectole0000000000" style="width:200.450000pt;height:175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Звіт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 лабораторної роботи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Моделювання комп’ютерних систем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тему: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Структурний опис цифрового автомата Перевірка роботи автомата за допомогою стенда Elbert V2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Spartan3A FPGA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Варіант 15                                                                                      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Виконав: ст. гр. КІ-202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Хомин П.Л.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Прийняв: 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Козак Н.Б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     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Львів 2024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ЛАБОРАТОРНА РОБОТА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Структурний опис цифрового автомата Перевірка роботи автомата за допомогою стенда Elbert V2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Spartan3A FPGA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Мета роботи: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 базі стенда реалізувати цифровий автомат світлових ефектів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Вхідні параметри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9319" w:dyaOrig="3760">
          <v:rect xmlns:o="urn:schemas-microsoft-com:office:office" xmlns:v="urn:schemas-microsoft-com:vml" id="rectole0000000001" style="width:465.950000pt;height:188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10643" w:dyaOrig="7299">
          <v:rect xmlns:o="urn:schemas-microsoft-com:office:office" xmlns:v="urn:schemas-microsoft-com:vml" id="rectole0000000002" style="width:532.150000pt;height:364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Порядок виконання лабораторної роботи.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Інтерфейс пристрою та функціонал реалізувати згідно отриманого варіанту завдання.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Логіку переходів реалізувати з використанням мови опису апаратних засобів.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Логіку формування вихідних сигналів реалізувати з використанням мови опису апаратних засобів.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Згенерувати символи для описів логіки переходів та логіки формування вихідних сигналів.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Зінтегрувати всі компоненти логіку переходів логіку формування вихідних сигналів та пам’ять станів в єдину систему. Пам’ять станів реалізувати за допомогою графічних компонентів з бібліотеки. 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Промоделювати роботу окремих частин автомата та автомата вцілому за допомогою симулятора ISim.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Інтегрувати створений автомат зі стендом додати подільник частоти для вхідного тактовового сигналу призначити фізичні виводи на FPGA.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Згенерувати файал та перевірити роботу за допомогою стенда Elbert V2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Spartan3A FPGA.</w:t>
      </w:r>
    </w:p>
    <w:p>
      <w:pPr>
        <w:numPr>
          <w:ilvl w:val="0"/>
          <w:numId w:val="13"/>
        </w:numPr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Підготувати і захистити звіт.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Виконання лабораторної роботи:</w:t>
      </w:r>
    </w:p>
    <w:tbl>
      <w:tblPr/>
      <w:tblGrid>
        <w:gridCol w:w="1160"/>
        <w:gridCol w:w="1654"/>
        <w:gridCol w:w="1654"/>
        <w:gridCol w:w="1654"/>
        <w:gridCol w:w="1556"/>
        <w:gridCol w:w="1556"/>
        <w:gridCol w:w="1556"/>
      </w:tblGrid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MODE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CURR_STATE(2)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CURR_STATE(1)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CURR_STATE(0)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NEXT_STATE(2)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NEXT_STATE(1)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8"/>
                <w:shd w:fill="auto" w:val="clear"/>
              </w:rPr>
              <w:t xml:space="preserve">NEXT_STATE(0)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6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1</w:t>
            </w:r>
          </w:p>
        </w:tc>
        <w:tc>
          <w:tcPr>
            <w:tcW w:w="15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0</w:t>
            </w:r>
          </w:p>
        </w:tc>
      </w:tr>
    </w:tbl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Рис.1.1 (Логіка переходів для всіх станів автомата)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Логіка переходів на мові VHDL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NEXT_STATE(0) = not(CURR_STATE(0));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NEXT_STATE(1) = ((not(MODE) and not(CURR_STATE(1)) and CURR_STATE(0)) or (not(MODE) and CURR_STATE(1) and not(CURR_STATE(0))) or (MODE and not(CURR_STATE(1)) and not(CURR_STATE(0))) or (MODE and CURR_STATE(1) and CURR_STATE(0)));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NEXT_STATE(2) &lt;= ((not(MODE) and CURR_STATE(2) and not(CURR_STATE(1))) or (CURR_STATE(2) and CURR_STATE(1) and not(CURR_STATE(0))) or (MODE and CURR_STATE(2) and CURR_STATE(0)) or (not(MODE) and not(CURR_STATE(2)) and CURR_STATE(1) and CURR_STATE(0)) or (MODE and not(CURR_STATE(2)) and not(CURR_STATE(1)) and not(CURR_STATE(0))));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Логіка формування вихідних сигналів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OUT_BUS(0) &lt;= (not(IN_BUS(2)) and not(IN_BUS(1)) and not(IN_BUS(0)))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OUT_BUS(1) &lt;= (not(IN_BUS(2)) and not(IN_BUS(1)))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OUT_BUS(2) &lt;= ((not(IN_BUS(2)) and not(IN_BUS(1)) and IN_BUS(0)) or (not(IN_BUS(2)) and IN_BUS(1) and not(IN_BUS(0))))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OUT_BUS(3) &lt;= (not(IN_BUS(2)) and IN_BUS(1))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OUT_BUS(4) &lt;= ((not(IN_BUS(2)) and IN_BUS(1) and IN_BUS(0)) or (IN_BUS(2) and not(IN_BUS(1)) and not(IN_BUS(0))))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OUT_BUS(5) &lt;= (IN_BUS(2) and not(IN_BUS(1)))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OUT_BUS(6) &lt;= ((IN_BUS(2) and not(IN_BUS(1)) and IN_BUS(0)) or (IN_BUS(2) and IN_BUS(1) and not(IN_BUS(0))))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OUT_BUS(7) &lt;= (IN_BUS(2) and IN_BUS(1)) after 1 ns;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412" w:dyaOrig="2033">
          <v:rect xmlns:o="urn:schemas-microsoft-com:office:office" xmlns:v="urn:schemas-microsoft-com:vml" id="rectole0000000003" style="width:270.600000pt;height:101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5161" w:dyaOrig="1729">
          <v:rect xmlns:o="urn:schemas-microsoft-com:office:office" xmlns:v="urn:schemas-microsoft-com:vml" id="rectole0000000004" style="width:258.050000pt;height:86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Рис.1.2 (Згенеровані схематичні схеми)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818" w:dyaOrig="4977">
          <v:rect xmlns:o="urn:schemas-microsoft-com:office:office" xmlns:v="urn:schemas-microsoft-com:vml" id="rectole0000000005" style="width:440.900000pt;height:248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Рис.1.3 (Інтеграція всіх створених компонентів разом з пам’ятю станів автомата)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11880" w:dyaOrig="3846">
          <v:rect xmlns:o="urn:schemas-microsoft-com:office:office" xmlns:v="urn:schemas-microsoft-com:vml" id="rectole0000000006" style="width:594.000000pt;height:192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Рис.1.4 (Автомат світлових сигналів та подільник тактового сигналу)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Демонстрація симуляції схем наведених зверху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11884" w:dyaOrig="2067">
          <v:rect xmlns:o="urn:schemas-microsoft-com:office:office" xmlns:v="urn:schemas-microsoft-com:vml" id="rectole0000000007" style="width:594.200000pt;height:103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Рис.1.5 (Результати симуляції логіки переходів в ISim)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11880" w:dyaOrig="4932">
          <v:rect xmlns:o="urn:schemas-microsoft-com:office:office" xmlns:v="urn:schemas-microsoft-com:vml" id="rectole0000000008" style="width:594.000000pt;height:246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Рис.1.6 (Результати симуляції логіки вихідних сигналів в ISim)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11880" w:dyaOrig="4918">
          <v:rect xmlns:o="urn:schemas-microsoft-com:office:office" xmlns:v="urn:schemas-microsoft-com:vml" id="rectole0000000009" style="width:594.000000pt;height:245.9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Рис.1.7 (Результати симуляції автомата (MODE = 0, RESET = 0))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11880" w:dyaOrig="4931">
          <v:rect xmlns:o="urn:schemas-microsoft-com:office:office" xmlns:v="urn:schemas-microsoft-com:vml" id="rectole0000000010" style="width:594.000000pt;height:246.5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Рис.1.8 (Результати симуляції автомата (MODE = 1, RESET = 0))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object w:dxaOrig="11880" w:dyaOrig="4892">
          <v:rect xmlns:o="urn:schemas-microsoft-com:office:office" xmlns:v="urn:schemas-microsoft-com:vml" id="rectole0000000011" style="width:594.000000pt;height:244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Рис.1.9 (Результати симуляції автомата (MODE = 0, RESET = 1))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object w:dxaOrig="11880" w:dyaOrig="4899">
          <v:rect xmlns:o="urn:schemas-microsoft-com:office:office" xmlns:v="urn:schemas-microsoft-com:vml" id="rectole0000000012" style="width:594.000000pt;height:244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Рис.2.1 (Результати симуляції автомата (MODE = 1, RESET = 1))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object w:dxaOrig="11880" w:dyaOrig="4957">
          <v:rect xmlns:o="urn:schemas-microsoft-com:office:office" xmlns:v="urn:schemas-microsoft-com:vml" id="rectole0000000013" style="width:594.000000pt;height:247.8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Рис.2.1.1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  <w:t xml:space="preserve">Р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езультати симуляції фінальної схеми (MODE = 0, RESET = 0, SPEED = 0))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  <w:r>
        <w:object w:dxaOrig="11880" w:dyaOrig="4956">
          <v:rect xmlns:o="urn:schemas-microsoft-com:office:office" xmlns:v="urn:schemas-microsoft-com:vml" id="rectole0000000014" style="width:594.000000pt;height:247.8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Рис.2.1.2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  <w:t xml:space="preserve">Р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езультати симуляції фінальної схеми (MODE = 0, RESET = 0, SPEED = 1))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Реалізація Test Brench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object w:dxaOrig="11880" w:dyaOrig="4963">
          <v:rect xmlns:o="urn:schemas-microsoft-com:office:office" xmlns:v="urn:schemas-microsoft-com:vml" id="rectole0000000015" style="width:594.000000pt;height:248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Рис.2.2 (Часова діаграма)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object w:dxaOrig="7376" w:dyaOrig="841">
          <v:rect xmlns:o="urn:schemas-microsoft-com:office:office" xmlns:v="urn:schemas-microsoft-com:vml" id="rectole0000000016" style="width:368.800000pt;height:42.0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Рис.2.3 (Консоль під час тестування)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object w:dxaOrig="10584" w:dyaOrig="7355">
          <v:rect xmlns:o="urn:schemas-microsoft-com:office:office" xmlns:v="urn:schemas-microsoft-com:vml" id="rectole0000000017" style="width:529.200000pt;height:367.7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Рис.2.4 (Граф переходів автомата між станами)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object w:dxaOrig="11313" w:dyaOrig="6732">
          <v:rect xmlns:o="urn:schemas-microsoft-com:office:office" xmlns:v="urn:schemas-microsoft-com:vml" id="rectole0000000018" style="width:565.650000pt;height:336.6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Рис.2.2 (Призначення фізичних входів та виходів)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Висновок: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ході виконання цієї лабораторної роботи я реалізував на базі стенда Elbert V2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Spartan3A FPGA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цифровий автомат світлових ефектів згідно заданих вимог.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numbering.xml" Id="docRId38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styles.xml" Id="docRId39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