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uppressAutoHyphens w:val="true"/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uppressAutoHyphens w:val="true"/>
        <w:spacing w:before="0" w:after="16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Інститут комп’ютерних технологій, автоматики та метрології </w:t>
      </w:r>
    </w:p>
    <w:p>
      <w:pPr>
        <w:suppressAutoHyphens w:val="true"/>
        <w:spacing w:before="0" w:after="16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кафедра “</w:t>
      </w:r>
      <w:r>
        <w:rPr>
          <w:rFonts w:ascii="Times New Roman" w:hAnsi="Times New Roman" w:cs="Times New Roman" w:eastAsia="Times New Roman"/>
          <w:b/>
          <w:color w:val="202122"/>
          <w:spacing w:val="0"/>
          <w:position w:val="0"/>
          <w:sz w:val="28"/>
          <w:shd w:fill="FFFFFF" w:val="clear"/>
        </w:rPr>
        <w:t xml:space="preserve">Електронних обчислювальних машин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”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49" w:dyaOrig="3563">
          <v:rect xmlns:o="urn:schemas-microsoft-com:office:office" xmlns:v="urn:schemas-microsoft-com:vml" id="rectole0000000000" style="width:202.450000pt;height:178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Звіт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Моделювання комп’ютерних систем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тему: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Структурний опис цифрового автомата Перевірка роботи автомата за допомогою стенда Elbert V2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Spartan3A FPGA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Варіант 27                                                                                      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Виконав: ст. гр. КІ-202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Хомин П.Л.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Прийняв: 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Козак Н.Б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Львів 2024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 РОБОТА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Структурний опис цифрового автомата Перевірка роботи автомата за допомогою стенда Elbert V2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Spartan3A FPGA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Мета роботи: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базі стенда реалізувати цифровий автомат світлових ефектів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Вхідні параметри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9435" w:dyaOrig="3806">
          <v:rect xmlns:o="urn:schemas-microsoft-com:office:office" xmlns:v="urn:schemas-microsoft-com:vml" id="rectole0000000001" style="width:471.750000pt;height:190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0771" w:dyaOrig="7390">
          <v:rect xmlns:o="urn:schemas-microsoft-com:office:office" xmlns:v="urn:schemas-microsoft-com:vml" id="rectole0000000002" style="width:538.550000pt;height:369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Порядок виконання лабораторної роботи.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Інтерфейс пристрою та функціонал реалізувати згідно отриманого варіанту завдання.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Логіку переходів реалізувати з використанням мови опису апаратних засобів.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Логіку формування вихідних сигналів реалізувати з використанням мови опису апаратних засобів.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Згенерувати символи для описів логіки переходів та логіки формування вихідних сигналів.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Зінтегрувати всі компоненти логіку переходів логіку формування вихідних сигналів та пам’ять станів в єдину систему. Пам’ять станів реалізувати за допомогою графічних компонентів з бібліотеки. 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Промоделювати роботу окремих частин автомата та автомата вцілому за допомогою симулятора ISim.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Інтегрувати створений автомат зі стендом додати подільник частоти для вхідного тактовового сигналу призначити фізичні виводи на FPGA.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Згенерувати файал та перевірити роботу за допомогою стенда Elbert V2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Spartan3A FPGA.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Підготувати і захистити звіт.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Виконання лабораторної роботи:</w:t>
      </w:r>
    </w:p>
    <w:tbl>
      <w:tblPr/>
      <w:tblGrid>
        <w:gridCol w:w="1160"/>
        <w:gridCol w:w="1654"/>
        <w:gridCol w:w="1654"/>
        <w:gridCol w:w="1654"/>
        <w:gridCol w:w="1556"/>
        <w:gridCol w:w="1556"/>
        <w:gridCol w:w="1556"/>
      </w:tblGrid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MODE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CURR_STATE(2)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CURR_STATE(1)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CURR_STATE(0)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NEXT_STATE(2)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NEXT_STATE(1)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NEXT_STATE(0)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</w:tbl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Рис.1.1 (Логіка переходів для всіх станів автомата)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Логіка переходів на мові VHDL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NEXT_STATE(0) = not(CURR_STATE(0));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NEXT_STATE(1) = ((not(MODE) and not(CURR_STATE(1)) and CURR_STATE(0)) or (not(MODE) and CURR_STATE(1) and not(CURR_STATE(0))) or (MODE and not(CURR_STATE(1)) and not(CURR_STATE(0))) or (MODE and CURR_STATE(1) and CURR_STATE(0)));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NEXT_STATE(2) &lt;= ((not(MODE) and CURR_STATE(2) and not(CURR_STATE(1))) or (CURR_STATE(2) and CURR_STATE(1) and not(CURR_STATE(0))) or (MODE and CURR_STATE(2) and CURR_STATE(0)) or (not(MODE) and not(CURR_STATE(2)) and CURR_STATE(1) and CURR_STATE(0)) or (MODE and not(CURR_STATE(2)) and not(CURR_STATE(1)) and not(CURR_STATE(0))));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Логіка формування вихідних сигналів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OUT_BUS(0) &lt;= (not(IN_BUS(2)) and not(IN_BUS(1)) and not(IN_BUS(0)))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OUT_BUS(1) &lt;= (not(IN_BUS(2)) and not(IN_BUS(1)))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OUT_BUS(2) &lt;= ((not(IN_BUS(2)) and not(IN_BUS(1)) and IN_BUS(0)) or (not(IN_BUS(2)) and IN_BUS(1) and not(IN_BUS(0))))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OUT_BUS(3) &lt;= (not(IN_BUS(2)) and IN_BUS(1))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OUT_BUS(4) &lt;= ((not(IN_BUS(2)) and IN_BUS(1) and IN_BUS(0)) or (IN_BUS(2) and not(IN_BUS(1)) and not(IN_BUS(0))))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OUT_BUS(5) &lt;= (IN_BUS(2) and not(IN_BUS(1)))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OUT_BUS(6) &lt;= ((IN_BUS(2) and not(IN_BUS(1)) and IN_BUS(0)) or (IN_BUS(2) and IN_BUS(1) and not(IN_BUS(0))))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OUT_BUS(7) &lt;= (IN_BUS(2) and IN_BUS(1))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487" w:dyaOrig="2065">
          <v:rect xmlns:o="urn:schemas-microsoft-com:office:office" xmlns:v="urn:schemas-microsoft-com:vml" id="rectole0000000003" style="width:274.350000pt;height:103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5223" w:dyaOrig="1741">
          <v:rect xmlns:o="urn:schemas-microsoft-com:office:office" xmlns:v="urn:schemas-microsoft-com:vml" id="rectole0000000004" style="width:261.150000pt;height:87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Рис.1.2 (Згенеровані схематичні схеми)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29" w:dyaOrig="5041">
          <v:rect xmlns:o="urn:schemas-microsoft-com:office:office" xmlns:v="urn:schemas-microsoft-com:vml" id="rectole0000000005" style="width:446.450000pt;height:252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Рис.1.3 (Інтеграція всіх створених компонентів разом з пам’ятю станів автомата)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12026" w:dyaOrig="3887">
          <v:rect xmlns:o="urn:schemas-microsoft-com:office:office" xmlns:v="urn:schemas-microsoft-com:vml" id="rectole0000000006" style="width:601.300000pt;height:194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Рис.1.4 (Автомат світлових сигналів та подільник тактового сигналу)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Демонстрація симуляції схем наведених зверху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12026" w:dyaOrig="2085">
          <v:rect xmlns:o="urn:schemas-microsoft-com:office:office" xmlns:v="urn:schemas-microsoft-com:vml" id="rectole0000000007" style="width:601.300000pt;height:104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Рис.1.5 (Результати симуляції логіки переходів в ISim)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12026" w:dyaOrig="5000">
          <v:rect xmlns:o="urn:schemas-microsoft-com:office:office" xmlns:v="urn:schemas-microsoft-com:vml" id="rectole0000000008" style="width:601.300000pt;height:250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Рис.1.6 (Результати симуляції логіки вихідних сигналів в ISim)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12026" w:dyaOrig="4981">
          <v:rect xmlns:o="urn:schemas-microsoft-com:office:office" xmlns:v="urn:schemas-microsoft-com:vml" id="rectole0000000009" style="width:601.300000pt;height:249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Рис.1.7 (Результати симуляції автомата (MODE = 0, RESET = 0))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12026" w:dyaOrig="5000">
          <v:rect xmlns:o="urn:schemas-microsoft-com:office:office" xmlns:v="urn:schemas-microsoft-com:vml" id="rectole0000000010" style="width:601.300000pt;height:250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Рис.1.8 (Результати симуляції автомата (MODE = 1, RESET = 0))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12026" w:dyaOrig="4960">
          <v:rect xmlns:o="urn:schemas-microsoft-com:office:office" xmlns:v="urn:schemas-microsoft-com:vml" id="rectole0000000011" style="width:601.300000pt;height:248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Рис.1.9 (Результати симуляції автомата (MODE = 0, RESET = 1))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12026" w:dyaOrig="4960">
          <v:rect xmlns:o="urn:schemas-microsoft-com:office:office" xmlns:v="urn:schemas-microsoft-com:vml" id="rectole0000000012" style="width:601.300000pt;height:248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Рис.2.1 (Результати симуляції автомата (MODE = 1, RESET = 1))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12026" w:dyaOrig="5021">
          <v:rect xmlns:o="urn:schemas-microsoft-com:office:office" xmlns:v="urn:schemas-microsoft-com:vml" id="rectole0000000013" style="width:601.300000pt;height:251.0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Рис.2.1.1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Р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езультати симуляції фінальної схеми (MODE = 0, RESET = 0, SPEED = 0))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  <w:r>
        <w:object w:dxaOrig="12026" w:dyaOrig="5021">
          <v:rect xmlns:o="urn:schemas-microsoft-com:office:office" xmlns:v="urn:schemas-microsoft-com:vml" id="rectole0000000014" style="width:601.300000pt;height:251.0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Рис.2.1.2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Р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езультати симуляції фінальної схеми (MODE = 0, RESET = 0, SPEED = 1))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Реалізація Test Brench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12026" w:dyaOrig="5021">
          <v:rect xmlns:o="urn:schemas-microsoft-com:office:office" xmlns:v="urn:schemas-microsoft-com:vml" id="rectole0000000015" style="width:601.300000pt;height:251.0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Рис.2.2 (Часова діаграма)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7471" w:dyaOrig="850">
          <v:rect xmlns:o="urn:schemas-microsoft-com:office:office" xmlns:v="urn:schemas-microsoft-com:vml" id="rectole0000000016" style="width:373.550000pt;height:42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Рис.2.3 (Консоль під час тестування)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10710" w:dyaOrig="7451">
          <v:rect xmlns:o="urn:schemas-microsoft-com:office:office" xmlns:v="urn:schemas-microsoft-com:vml" id="rectole0000000017" style="width:535.500000pt;height:372.5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Рис.2.4 (Граф переходів автомата між станами)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11459" w:dyaOrig="6823">
          <v:rect xmlns:o="urn:schemas-microsoft-com:office:office" xmlns:v="urn:schemas-microsoft-com:vml" id="rectole0000000018" style="width:572.950000pt;height:341.1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Рис.2.2 (Призначення фізичних входів та виходів)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Висновок: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ході виконання цієї лабораторної роботи я реалізував на базі стенда Elbert V2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Spartan3A FPGA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цифровий автомат світлових ефектів згідно заданих вимог.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