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4520B7" w:rsidRDefault="00A06778" w:rsidP="00106EF3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3F0437">
        <w:rPr>
          <w:rFonts w:cstheme="minorHAnsi"/>
          <w:b/>
          <w:bCs/>
          <w:color w:val="000000" w:themeColor="text1"/>
        </w:rPr>
        <w:t>онлайн-школе</w:t>
      </w:r>
      <w:proofErr w:type="spellEnd"/>
      <w:r w:rsidR="003F043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Tutor</w:t>
      </w:r>
      <w:r w:rsidR="003F0437" w:rsidRPr="004520B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 Mark: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Phone Number: Для оперативной связи.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 IDs: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: </w:t>
      </w:r>
      <w:r w:rsidR="000E7325">
        <w:rPr>
          <w:rFonts w:cstheme="minorHAnsi"/>
          <w:bCs/>
          <w:iCs/>
          <w:color w:val="000000"/>
          <w:kern w:val="0"/>
          <w:sz w:val="28"/>
          <w:szCs w:val="28"/>
        </w:rPr>
        <w:t>список присутствующих на занятии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lastRenderedPageBreak/>
        <w:t>Processing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ученика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 (необязательно) -&gt; (вх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од: учебная деятельность ученик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а) 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преподаватель оценивает ученика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оценки учеников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 w:rsidRPr="000E7325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Поставщики: студент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lastRenderedPageBreak/>
        <w:t xml:space="preserve">Входы: информация о студенте, заявка на посещение конкретного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предоставляет отчет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>) студент заполняет регистрационную таблицу -&gt; руководитель проверяет регистрационную таблицу -&gt; руководитель направляет студента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Выход: Отчет руководителя, список студентов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5457B8" w:rsidRPr="000E7325" w:rsidRDefault="000E7325" w:rsidP="000E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</w:pPr>
      <w:r w:rsidRPr="00927405"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0.5pt">
            <v:imagedata r:id="rId5" o:title="Use_case_fix"/>
          </v:shape>
        </w:pict>
      </w:r>
    </w:p>
    <w:sectPr w:rsidR="005457B8" w:rsidRPr="000E7325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0E7325"/>
    <w:rsid w:val="00106EF3"/>
    <w:rsid w:val="00110B97"/>
    <w:rsid w:val="00191CA5"/>
    <w:rsid w:val="00314ADF"/>
    <w:rsid w:val="00340133"/>
    <w:rsid w:val="003A2640"/>
    <w:rsid w:val="003F0437"/>
    <w:rsid w:val="0045204E"/>
    <w:rsid w:val="004520B7"/>
    <w:rsid w:val="004C3815"/>
    <w:rsid w:val="00514892"/>
    <w:rsid w:val="00543CC4"/>
    <w:rsid w:val="005457B8"/>
    <w:rsid w:val="00573507"/>
    <w:rsid w:val="005A039D"/>
    <w:rsid w:val="005B51B3"/>
    <w:rsid w:val="005F550A"/>
    <w:rsid w:val="00615F27"/>
    <w:rsid w:val="0068776E"/>
    <w:rsid w:val="0069793C"/>
    <w:rsid w:val="006A6F16"/>
    <w:rsid w:val="00721109"/>
    <w:rsid w:val="00752E2E"/>
    <w:rsid w:val="00762EC0"/>
    <w:rsid w:val="00805A02"/>
    <w:rsid w:val="00900219"/>
    <w:rsid w:val="00903528"/>
    <w:rsid w:val="00927405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707D"/>
    <w:rsid w:val="00C9080B"/>
    <w:rsid w:val="00CD445D"/>
    <w:rsid w:val="00D32327"/>
    <w:rsid w:val="00D840CC"/>
    <w:rsid w:val="00DE6C28"/>
    <w:rsid w:val="00E065A1"/>
    <w:rsid w:val="00E55354"/>
    <w:rsid w:val="00E7625E"/>
    <w:rsid w:val="00E812D8"/>
    <w:rsid w:val="00EE68D2"/>
    <w:rsid w:val="00F4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10</cp:revision>
  <dcterms:created xsi:type="dcterms:W3CDTF">2024-04-11T01:09:00Z</dcterms:created>
  <dcterms:modified xsi:type="dcterms:W3CDTF">2024-10-28T11:12:00Z</dcterms:modified>
</cp:coreProperties>
</file>