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43C8C"/>
          <w:sz w:val="40"/>
        </w:rPr>
        <w:t>Cold-Start Experiment Design Report</w:t>
      </w:r>
    </w:p>
    <w:p>
      <w:pPr>
        <w:jc w:val="center"/>
      </w:pPr>
      <w:r>
        <w:rPr>
          <w:rFonts w:ascii="Times New Roman" w:hAnsi="Times New Roman"/>
          <w:i/>
          <w:color w:val="646464"/>
          <w:sz w:val="24"/>
        </w:rPr>
        <w:t>(LLM-Augmented Recommendation Benchmark — ML-20M)</w:t>
      </w:r>
    </w:p>
    <w:p>
      <w:pPr>
        <w:jc w:val="center"/>
      </w:pPr>
      <w:r>
        <w:rPr>
          <w:rFonts w:ascii="Times New Roman" w:hAnsi="Times New Roman"/>
          <w:color w:val="646464"/>
          <w:sz w:val="20"/>
        </w:rPr>
        <w:t>NeurIPS D&amp;B Track  |  Generated April 16, 2026</w:t>
      </w:r>
    </w:p>
    <w:p/>
    <w:p>
      <w:pPr>
        <w:jc w:val="both"/>
      </w:pPr>
      <w:r>
        <w:rPr>
          <w:rFonts w:ascii="Times New Roman" w:hAnsi="Times New Roman"/>
          <w:color w:val="000000"/>
          <w:sz w:val="22"/>
        </w:rPr>
        <w:t>This report documents the root cause of near-zero cold-start metrics under the paper's evaluation protocol, and provides three concrete solutions ranked by implementation effort and NeurIPS D&amp;B Track contribution strength.</w:t>
      </w:r>
    </w:p>
    <w:p>
      <w:pPr>
        <w:spacing w:before="280" w:after="80"/>
        <w:pBdr>
          <w:bottom w:val="single" w:sz="6" w:space="2" w:color="1E3C8C"/>
        </w:pBdr>
      </w:pPr>
      <w:r>
        <w:rPr>
          <w:rFonts w:ascii="Times New Roman" w:hAnsi="Times New Roman"/>
          <w:b/>
          <w:color w:val="143C8C"/>
          <w:sz w:val="30"/>
        </w:rPr>
        <w:t>1  Current Evaluation Protocol</w:t>
      </w:r>
    </w:p>
    <w:p>
      <w:pPr>
        <w:jc w:val="both"/>
      </w:pPr>
      <w:r>
        <w:rPr>
          <w:rFonts w:ascii="Times New Roman" w:hAnsi="Times New Roman"/>
          <w:color w:val="000000"/>
          <w:sz w:val="22"/>
        </w:rPr>
        <w:t>The paper applies the following data preprocessing pipeline to ML-20M (20,000,263 ratings, 138,493 users, 27,278 movies):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b/>
          <w:sz w:val="22"/>
        </w:rPr>
        <w:t xml:space="preserve">Step 1: </w:t>
      </w:r>
      <w:r>
        <w:rPr>
          <w:rFonts w:ascii="Times New Roman" w:hAnsi="Times New Roman"/>
          <w:sz w:val="22"/>
        </w:rPr>
        <w:t>Restrict to 10,381 genome-covered movies (preserves 99% of ratings).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b/>
          <w:sz w:val="22"/>
        </w:rPr>
        <w:t xml:space="preserve">Step 2: </w:t>
      </w:r>
      <w:r>
        <w:rPr>
          <w:rFonts w:ascii="Times New Roman" w:hAnsi="Times New Roman"/>
          <w:sz w:val="22"/>
        </w:rPr>
        <w:t>Convert to implicit feedback: keep interactions with rating &gt;= 3.5.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b/>
          <w:sz w:val="22"/>
        </w:rPr>
        <w:t xml:space="preserve">Step 3: </w:t>
      </w:r>
      <w:r>
        <w:rPr>
          <w:rFonts w:ascii="Times New Roman" w:hAnsi="Times New Roman"/>
          <w:sz w:val="22"/>
        </w:rPr>
        <w:t>Apply iterative 10-core filtering. Result: 11,499,778 interactions, 127,371 users, 9,906 items.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b/>
          <w:sz w:val="22"/>
        </w:rPr>
        <w:t xml:space="preserve">Step 4: </w:t>
      </w:r>
      <w:r>
        <w:rPr>
          <w:rFonts w:ascii="Times New Roman" w:hAnsi="Times New Roman"/>
          <w:sz w:val="22"/>
        </w:rPr>
        <w:t>Temporal split by timestamp.</w:t>
      </w:r>
    </w:p>
    <w:p>
      <w:pPr>
        <w:spacing w:before="160" w:after="60"/>
      </w:pPr>
      <w:r>
        <w:rPr>
          <w:rFonts w:ascii="Times New Roman" w:hAnsi="Times New Roman"/>
          <w:b/>
          <w:color w:val="1E1E1E"/>
          <w:sz w:val="24"/>
        </w:rPr>
        <w:t>1.1  Temporal Split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701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Split</w:t>
            </w:r>
          </w:p>
        </w:tc>
        <w:tc>
          <w:tcPr>
            <w:tcW w:type="dxa" w:w="235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3685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Period</w:t>
            </w:r>
          </w:p>
        </w:tc>
        <w:tc>
          <w:tcPr>
            <w:tcW w:type="dxa" w:w="235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268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Interactions</w:t>
            </w:r>
          </w:p>
        </w:tc>
        <w:tc>
          <w:tcPr>
            <w:tcW w:type="dxa" w:w="235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701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Fraction</w:t>
            </w:r>
          </w:p>
        </w:tc>
      </w:tr>
      <w:tr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70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Train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3685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before 2014-01-01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26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~11.5 M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70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99.0 %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70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Validation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3685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2014-01-01 to 2014-07-01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26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~49.7 K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70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0.4 %</w:t>
            </w:r>
          </w:p>
        </w:tc>
      </w:tr>
      <w:tr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70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Test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3685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after 2014-07-01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26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~67.5 K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70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0.6 %</w:t>
            </w:r>
          </w:p>
        </w:tc>
      </w:tr>
    </w:tbl>
    <w:p/>
    <w:p>
      <w:pPr>
        <w:spacing w:before="160" w:after="60"/>
      </w:pPr>
      <w:r>
        <w:rPr>
          <w:rFonts w:ascii="Times New Roman" w:hAnsi="Times New Roman"/>
          <w:b/>
          <w:color w:val="1E1E1E"/>
          <w:sz w:val="24"/>
        </w:rPr>
        <w:t>1.2  Cold-Start Bucket Definition</w:t>
      </w:r>
    </w:p>
    <w:p>
      <w:pPr>
        <w:jc w:val="both"/>
      </w:pPr>
      <w:r>
        <w:rPr>
          <w:rFonts w:ascii="Times New Roman" w:hAnsi="Times New Roman"/>
          <w:color w:val="000000"/>
          <w:sz w:val="22"/>
        </w:rPr>
        <w:t>Items are stratified by their training-period interaction count (before 2014-01-01):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701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Bucket</w:t>
            </w:r>
          </w:p>
        </w:tc>
        <w:tc>
          <w:tcPr>
            <w:tcW w:type="dxa" w:w="235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551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Train interactions</w:t>
            </w:r>
          </w:p>
        </w:tc>
        <w:tc>
          <w:tcPr>
            <w:tcW w:type="dxa" w:w="235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701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Items</w:t>
            </w:r>
          </w:p>
        </w:tc>
        <w:tc>
          <w:tcPr>
            <w:tcW w:type="dxa" w:w="235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% of catalog</w:t>
            </w:r>
          </w:p>
        </w:tc>
      </w:tr>
      <w:tr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70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Cold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55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&lt; 10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70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112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1.1 %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70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Medium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55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10–50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70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1,872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18.9 %</w:t>
            </w:r>
          </w:p>
        </w:tc>
      </w:tr>
      <w:tr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70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Warm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55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&gt; 50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70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7,922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80.0 %</w:t>
            </w:r>
          </w:p>
        </w:tc>
      </w:tr>
    </w:tbl>
    <w:p/>
    <w:p>
      <w:pPr>
        <w:spacing w:before="160" w:after="60"/>
      </w:pPr>
      <w:r>
        <w:rPr>
          <w:rFonts w:ascii="Times New Roman" w:hAnsi="Times New Roman"/>
          <w:b/>
          <w:color w:val="1E1E1E"/>
          <w:sz w:val="24"/>
        </w:rPr>
        <w:t>1.3  Evaluation Metrics</w:t>
      </w:r>
    </w:p>
    <w:p>
      <w:pPr>
        <w:jc w:val="both"/>
      </w:pPr>
      <w:r>
        <w:rPr>
          <w:rFonts w:ascii="Times New Roman" w:hAnsi="Times New Roman"/>
          <w:color w:val="000000"/>
          <w:sz w:val="22"/>
        </w:rPr>
        <w:t>Full-ranking evaluation: for each test user, score all 9,906 items, mask training items, then compute NDCG@K and Recall@K for K in {10, 20, 50}, plus MRR. Bucket metrics are computed separately per bucket, as stated in the paper: 'isolating content feature value in data-sparse regimes.'</w:t>
      </w:r>
    </w:p>
    <w:p>
      <w:pPr>
        <w:spacing w:before="280" w:after="80"/>
        <w:pBdr>
          <w:bottom w:val="single" w:sz="6" w:space="2" w:color="1E3C8C"/>
        </w:pBdr>
      </w:pPr>
      <w:r>
        <w:rPr>
          <w:rFonts w:ascii="Times New Roman" w:hAnsi="Times New Roman"/>
          <w:b/>
          <w:color w:val="143C8C"/>
          <w:sz w:val="30"/>
        </w:rPr>
        <w:t>2  Root Cause: Why Cold and Medium Buckets Return 0.0000</w:t>
      </w:r>
    </w:p>
    <w:p>
      <w:pPr>
        <w:spacing w:before="160" w:after="60"/>
      </w:pPr>
      <w:r>
        <w:rPr>
          <w:rFonts w:ascii="Times New Roman" w:hAnsi="Times New Roman"/>
          <w:b/>
          <w:color w:val="1E1E1E"/>
          <w:sz w:val="24"/>
        </w:rPr>
        <w:t>2.1  The Ranking Competition Problem</w:t>
      </w:r>
    </w:p>
    <w:p>
      <w:pPr>
        <w:jc w:val="both"/>
      </w:pPr>
      <w:r>
        <w:rPr>
          <w:rFonts w:ascii="Times New Roman" w:hAnsi="Times New Roman"/>
          <w:color w:val="000000"/>
          <w:sz w:val="22"/>
        </w:rPr>
        <w:t>Full-ranking evaluation places all 9,906 items in competition. Cold items (112 items, 1.1% of catalog) must rank in the top 0.1% of all items to appear in a user's top-10 list. Warm items (80% of catalog) carry the bulk of training signal and occupy virtually every slot in any model's top-K output.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417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Bucket</w:t>
            </w:r>
          </w:p>
        </w:tc>
        <w:tc>
          <w:tcPr>
            <w:tcW w:type="dxa" w:w="188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417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Items</w:t>
            </w:r>
          </w:p>
        </w:tc>
        <w:tc>
          <w:tcPr>
            <w:tcW w:type="dxa" w:w="188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P(in top-10)</w:t>
            </w:r>
          </w:p>
        </w:tc>
        <w:tc>
          <w:tcPr>
            <w:tcW w:type="dxa" w:w="188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P(in top-50)</w:t>
            </w:r>
          </w:p>
        </w:tc>
        <w:tc>
          <w:tcPr>
            <w:tcW w:type="dxa" w:w="188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551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Expected hits</w:t>
            </w:r>
          </w:p>
        </w:tc>
      </w:tr>
      <w:tr>
        <w:tc>
          <w:tcPr>
            <w:tcW w:type="dxa" w:w="188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417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Cold</w:t>
            </w:r>
          </w:p>
        </w:tc>
        <w:tc>
          <w:tcPr>
            <w:tcW w:type="dxa" w:w="188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417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112</w:t>
            </w:r>
          </w:p>
        </w:tc>
        <w:tc>
          <w:tcPr>
            <w:tcW w:type="dxa" w:w="188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0.1 %</w:t>
            </w:r>
          </w:p>
        </w:tc>
        <w:tc>
          <w:tcPr>
            <w:tcW w:type="dxa" w:w="188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0.5 %</w:t>
            </w:r>
          </w:p>
        </w:tc>
        <w:tc>
          <w:tcPr>
            <w:tcW w:type="dxa" w:w="188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55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~0.06 per query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417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Medium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417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1,872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1.9 %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9.3 %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55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~0.09 per query</w:t>
            </w:r>
          </w:p>
        </w:tc>
      </w:tr>
      <w:tr>
        <w:tc>
          <w:tcPr>
            <w:tcW w:type="dxa" w:w="188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417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Warm</w:t>
            </w:r>
          </w:p>
        </w:tc>
        <w:tc>
          <w:tcPr>
            <w:tcW w:type="dxa" w:w="188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417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7,922</w:t>
            </w:r>
          </w:p>
        </w:tc>
        <w:tc>
          <w:tcPr>
            <w:tcW w:type="dxa" w:w="188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79.9 %</w:t>
            </w:r>
          </w:p>
        </w:tc>
        <w:tc>
          <w:tcPr>
            <w:tcW w:type="dxa" w:w="188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79.9 %</w:t>
            </w:r>
          </w:p>
        </w:tc>
        <w:tc>
          <w:tcPr>
            <w:tcW w:type="dxa" w:w="188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55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~7.99 per query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color w:val="000000"/>
          <w:sz w:val="22"/>
        </w:rPr>
        <w:t>Even a perfect model that assigns the highest possible score to a cold item cannot guarantee it appears in top-10 when 7,922 warm items may all be scored higher. This is a structural property of the evaluation setup, not a model failure.</w:t>
      </w:r>
    </w:p>
    <w:p>
      <w:pPr>
        <w:spacing w:before="160" w:after="60"/>
      </w:pPr>
      <w:r>
        <w:rPr>
          <w:rFonts w:ascii="Times New Roman" w:hAnsi="Times New Roman"/>
          <w:b/>
          <w:color w:val="1E1E1E"/>
          <w:sz w:val="24"/>
        </w:rPr>
        <w:t>2.2  Effect of 10-Core Filtering on Cold-Start Items</w:t>
      </w:r>
    </w:p>
    <w:p>
      <w:pPr>
        <w:jc w:val="both"/>
      </w:pPr>
      <w:r>
        <w:rPr>
          <w:rFonts w:ascii="Times New Roman" w:hAnsi="Times New Roman"/>
          <w:color w:val="000000"/>
          <w:sz w:val="22"/>
        </w:rPr>
        <w:t>The 10-core filter guarantees every item has at least 10 total interactions across the entire dataset. There are therefore no truly zero-interaction cold items. The 112 items in the cold bucket survived k-core because most of their interactions fall in the test period (after 2014-07-01), not in the training period. They are temporally cold, not globally cold.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551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Item type</w:t>
            </w:r>
          </w:p>
        </w:tc>
        <w:tc>
          <w:tcPr>
            <w:tcW w:type="dxa" w:w="235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154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Total interactions</w:t>
            </w:r>
          </w:p>
        </w:tc>
        <w:tc>
          <w:tcPr>
            <w:tcW w:type="dxa" w:w="235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154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Train interactions</w:t>
            </w:r>
          </w:p>
        </w:tc>
        <w:tc>
          <w:tcPr>
            <w:tcW w:type="dxa" w:w="235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494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Has ID embedding?</w:t>
            </w:r>
          </w:p>
        </w:tc>
      </w:tr>
      <w:tr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55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Warm item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15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&gt; 60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15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&gt; 50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49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 — strong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55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Medium item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15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10–60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15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10–50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49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 — moderate</w:t>
            </w:r>
          </w:p>
        </w:tc>
      </w:tr>
      <w:tr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55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Cold item (our bucket)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15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&gt;= 10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15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&lt; 10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49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 — very weak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55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True cold item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15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15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49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No — removed by k-core</w:t>
            </w:r>
          </w:p>
        </w:tc>
      </w:tr>
    </w:tbl>
    <w:p/>
    <w:p>
      <w:pPr>
        <w:spacing w:before="160" w:after="60"/>
      </w:pPr>
      <w:r>
        <w:rPr>
          <w:rFonts w:ascii="Times New Roman" w:hAnsi="Times New Roman"/>
          <w:b/>
          <w:color w:val="1E1E1E"/>
          <w:sz w:val="24"/>
        </w:rPr>
        <w:t>2.3  Consequence for the Paper</w:t>
      </w:r>
    </w:p>
    <w:p>
      <w:pPr>
        <w:jc w:val="both"/>
      </w:pPr>
      <w:r>
        <w:rPr>
          <w:rFonts w:ascii="Times New Roman" w:hAnsi="Times New Roman"/>
          <w:color w:val="000000"/>
          <w:sz w:val="22"/>
        </w:rPr>
        <w:t>Under the current full-ranking setup, all models — whether pure CF or LLM-augmented — return NDCG@10 = 0.0000 for cold and medium buckets. This makes the cold-start stratification section uninformative: it cannot demonstrate any advantage of content features over collaborative filtering on sparse items.</w:t>
      </w:r>
    </w:p>
    <w:p>
      <w:r>
        <w:br w:type="page"/>
      </w:r>
    </w:p>
    <w:p>
      <w:pPr>
        <w:spacing w:before="280" w:after="80"/>
        <w:pBdr>
          <w:bottom w:val="single" w:sz="6" w:space="2" w:color="1E3C8C"/>
        </w:pBdr>
      </w:pPr>
      <w:r>
        <w:rPr>
          <w:rFonts w:ascii="Times New Roman" w:hAnsi="Times New Roman"/>
          <w:b/>
          <w:color w:val="143C8C"/>
          <w:sz w:val="30"/>
        </w:rPr>
        <w:t>3  Recommended Solutions</w:t>
      </w:r>
    </w:p>
    <w:p>
      <w:pPr>
        <w:jc w:val="both"/>
      </w:pPr>
      <w:r>
        <w:rPr>
          <w:rFonts w:ascii="Times New Roman" w:hAnsi="Times New Roman"/>
          <w:color w:val="000000"/>
          <w:sz w:val="22"/>
        </w:rPr>
        <w:t>Three solutions are presented below, ranked by implementation effort and strength of the resulting NeurIPS D&amp;B narrative.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02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Option</w:t>
            </w:r>
          </w:p>
        </w:tc>
        <w:tc>
          <w:tcPr>
            <w:tcW w:type="dxa" w:w="235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3402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Approach</w:t>
            </w:r>
          </w:p>
        </w:tc>
        <w:tc>
          <w:tcPr>
            <w:tcW w:type="dxa" w:w="235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3061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Effort</w:t>
            </w:r>
          </w:p>
        </w:tc>
        <w:tc>
          <w:tcPr>
            <w:tcW w:type="dxa" w:w="235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871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NeurIPS value</w:t>
            </w:r>
          </w:p>
        </w:tc>
      </w:tr>
      <w:tr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02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3402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Bucket-restricted ranking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306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Low — code change only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87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Moderate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02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B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3402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Inductive item cold-start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306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Medium — re-split + retrain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87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High</w:t>
            </w:r>
          </w:p>
        </w:tc>
      </w:tr>
      <w:tr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020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3402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Few-shot recovery curve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306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High — many training runs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87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High (supplementary)</w:t>
            </w:r>
          </w:p>
        </w:tc>
      </w:tr>
    </w:tbl>
    <w:p/>
    <w:p>
      <w:pPr>
        <w:spacing w:before="160" w:after="60"/>
      </w:pPr>
      <w:r>
        <w:rPr>
          <w:rFonts w:ascii="Times New Roman" w:hAnsi="Times New Roman"/>
          <w:b/>
          <w:color w:val="1E1E1E"/>
          <w:sz w:val="24"/>
        </w:rPr>
        <w:t>3.1  Option A — Bucket-Restricted Ranking (Immediate Fix)</w:t>
      </w:r>
    </w:p>
    <w:p>
      <w:pPr>
        <w:jc w:val="both"/>
      </w:pPr>
      <w:r>
        <w:rPr>
          <w:rFonts w:ascii="Times New Roman" w:hAnsi="Times New Roman"/>
          <w:color w:val="000000"/>
          <w:sz w:val="22"/>
        </w:rPr>
        <w:t>Instead of ranking all 9,906 items together, restrict the candidate set for each bucket to items within that bucket only. Cold items compete only against other cold items; warm items against warm items. This directly reflects the paper's goal of isolating content feature value per data-sparsity regime.</w:t>
      </w:r>
    </w:p>
    <w:p>
      <w:pPr>
        <w:jc w:val="both"/>
      </w:pPr>
      <w:r>
        <w:rPr>
          <w:rFonts w:ascii="Times New Roman" w:hAnsi="Times New Roman"/>
          <w:color w:val="000000"/>
          <w:sz w:val="22"/>
        </w:rPr>
        <w:t>Evaluation logic change: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b/>
          <w:sz w:val="22"/>
        </w:rPr>
        <w:t xml:space="preserve">Current (broken): </w:t>
      </w:r>
      <w:r>
        <w:rPr>
          <w:rFonts w:ascii="Times New Roman" w:hAnsi="Times New Roman"/>
          <w:sz w:val="22"/>
        </w:rPr>
        <w:t>Score all 9,906 items — cold items never reach top-10 — NDCG@10 = 0.0000.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b/>
          <w:sz w:val="22"/>
        </w:rPr>
        <w:t xml:space="preserve">Corrected: </w:t>
      </w:r>
      <w:r>
        <w:rPr>
          <w:rFonts w:ascii="Times New Roman" w:hAnsi="Times New Roman"/>
          <w:sz w:val="22"/>
        </w:rPr>
        <w:t>For cold-bucket evaluation, rank only the 112 cold items. For medium-bucket evaluation, rank only the 1,872 medium items. Mask training items within each bucket as usual.</w:t>
      </w:r>
    </w:p>
    <w:p>
      <w:pPr>
        <w:jc w:val="both"/>
      </w:pPr>
      <w:r>
        <w:rPr>
          <w:rFonts w:ascii="Times New Roman" w:hAnsi="Times New Roman"/>
          <w:color w:val="000000"/>
          <w:sz w:val="22"/>
        </w:rPr>
        <w:t>Expected results after implementing Option 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551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Model</w:t>
            </w:r>
          </w:p>
        </w:tc>
        <w:tc>
          <w:tcPr>
            <w:tcW w:type="dxa" w:w="235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Cold NDCG@10 (before)</w:t>
            </w:r>
          </w:p>
        </w:tc>
        <w:tc>
          <w:tcPr>
            <w:tcW w:type="dxa" w:w="235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Cold NDCG@10 (after)</w:t>
            </w:r>
          </w:p>
        </w:tc>
        <w:tc>
          <w:tcPr>
            <w:tcW w:type="dxa" w:w="235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835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Interpretation</w:t>
            </w:r>
          </w:p>
        </w:tc>
      </w:tr>
      <w:tr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55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M0  BPR-MF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0.0000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&gt; 0  (baseline)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835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ID embedding works within bucket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55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M1  LightGCN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0.0000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&gt; M0 (expected)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835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Graph signal helps within bucket</w:t>
            </w:r>
          </w:p>
        </w:tc>
      </w:tr>
      <w:tr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55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M3  LightGCN-SF BERT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0.0000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&gt; M1 (expected)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835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BERT features compensate for sparsity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55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M7  LightGCN-SF LLM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0.0000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&gt; M3 (expected)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835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LLM profiles add value over BERT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color w:val="000000"/>
          <w:sz w:val="22"/>
        </w:rPr>
        <w:t>Code change required in evaluate.py:</w:t>
      </w:r>
    </w:p>
    <w:p>
      <w:pPr>
        <w:spacing w:after="0" w:before="0"/>
        <w:ind w:left="283"/>
        <w:shd w:val="clear" w:color="auto" w:fill="F0F0F0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sz w:val="17"/>
        </w:rPr>
        <w:t># New function: restrict candidate set to bucket items only</w:t>
      </w:r>
    </w:p>
    <w:p>
      <w:pPr>
        <w:spacing w:after="0" w:before="0"/>
        <w:ind w:left="283"/>
        <w:shd w:val="clear" w:color="auto" w:fill="F0F0F0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sz w:val="17"/>
        </w:rPr>
        <w:t>def compute_metrics_restricted(scores, ground_truth, train_items,</w:t>
      </w:r>
    </w:p>
    <w:p>
      <w:pPr>
        <w:spacing w:after="0" w:before="0"/>
        <w:ind w:left="283"/>
        <w:shd w:val="clear" w:color="auto" w:fill="F0F0F0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sz w:val="17"/>
        </w:rPr>
        <w:t xml:space="preserve">                               candidate_items, top_k):</w:t>
      </w:r>
    </w:p>
    <w:p>
      <w:pPr>
        <w:spacing w:after="0" w:before="0"/>
        <w:ind w:left="283"/>
        <w:shd w:val="clear" w:color="auto" w:fill="F0F0F0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sz w:val="17"/>
        </w:rPr>
        <w:t xml:space="preserve">    cand_scores = [scores[i] if i not in train_items else -inf</w:t>
      </w:r>
    </w:p>
    <w:p>
      <w:pPr>
        <w:spacing w:after="0" w:before="0"/>
        <w:ind w:left="283"/>
        <w:shd w:val="clear" w:color="auto" w:fill="F0F0F0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sz w:val="17"/>
        </w:rPr>
        <w:t xml:space="preserve">                   for i in candidate_items]</w:t>
      </w:r>
    </w:p>
    <w:p>
      <w:pPr>
        <w:spacing w:after="0" w:before="0"/>
        <w:ind w:left="283"/>
        <w:shd w:val="clear" w:color="auto" w:fill="F0F0F0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sz w:val="17"/>
        </w:rPr>
        <w:t xml:space="preserve">    # sort within candidates, compute NDCG/Recall/MRR as usual</w:t>
      </w:r>
    </w:p>
    <w:p>
      <w:pPr>
        <w:spacing w:after="0" w:before="0"/>
        <w:ind w:left="283"/>
        <w:shd w:val="clear" w:color="auto" w:fill="F0F0F0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sz w:val="17"/>
        </w:rPr>
        <w:t xml:space="preserve">    ...</w:t>
      </w:r>
    </w:p>
    <w:p>
      <w:pPr>
        <w:spacing w:after="0" w:before="0"/>
        <w:ind w:left="283"/>
        <w:shd w:val="clear" w:color="auto" w:fill="F0F0F0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  <w:ind w:left="283"/>
        <w:shd w:val="clear" w:color="auto" w:fill="F0F0F0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sz w:val="17"/>
        </w:rPr>
        <w:t># In evaluate_cold_start(): replace compute_metrics() call with:</w:t>
      </w:r>
    </w:p>
    <w:p>
      <w:pPr>
        <w:spacing w:after="0" w:before="0"/>
        <w:ind w:left="283"/>
        <w:shd w:val="clear" w:color="auto" w:fill="F0F0F0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sz w:val="17"/>
        </w:rPr>
        <w:t>user_metrics = compute_metrics_restricted(</w:t>
      </w:r>
    </w:p>
    <w:p>
      <w:pPr>
        <w:spacing w:after="0" w:before="0"/>
        <w:ind w:left="283"/>
        <w:shd w:val="clear" w:color="auto" w:fill="F0F0F0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sz w:val="17"/>
        </w:rPr>
        <w:t xml:space="preserve">    scores[i], bucket_gt, train_items,</w:t>
      </w:r>
    </w:p>
    <w:p>
      <w:pPr>
        <w:spacing w:after="0" w:before="0"/>
        <w:ind w:left="283"/>
        <w:shd w:val="clear" w:color="auto" w:fill="F0F0F0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sz w:val="17"/>
        </w:rPr>
        <w:t xml:space="preserve">    bucket_candidates[bucket_name], top_k</w:t>
      </w:r>
    </w:p>
    <w:p>
      <w:pPr>
        <w:spacing w:after="0" w:before="0"/>
        <w:ind w:left="283"/>
        <w:shd w:val="clear" w:color="auto" w:fill="F0F0F0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sz w:val="17"/>
        </w:rPr>
        <w:t>)</w:t>
      </w:r>
    </w:p>
    <w:p/>
    <w:p>
      <w:pPr>
        <w:jc w:val="both"/>
      </w:pPr>
      <w:r>
        <w:rPr>
          <w:rFonts w:ascii="Times New Roman" w:hAnsi="Times New Roman"/>
          <w:color w:val="000000"/>
          <w:sz w:val="22"/>
        </w:rPr>
        <w:t>Advantages of Option A: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sz w:val="22"/>
        </w:rPr>
        <w:t>No data changes — works with all existing checkpoints immediately.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sz w:val="22"/>
        </w:rPr>
        <w:t>Directly aligns with the paper's stated metric definition.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sz w:val="22"/>
        </w:rPr>
        <w:t>Produces meaningful, non-zero metrics within hours.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sz w:val="22"/>
        </w:rPr>
        <w:t>Warm-bucket results remain comparable to full-ranking results.</w:t>
      </w:r>
    </w:p>
    <w:p>
      <w:pPr>
        <w:jc w:val="both"/>
      </w:pPr>
      <w:r>
        <w:rPr>
          <w:rFonts w:ascii="Times New Roman" w:hAnsi="Times New Roman"/>
          <w:color w:val="000000"/>
          <w:sz w:val="22"/>
        </w:rPr>
        <w:t>Limitation: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sz w:val="22"/>
        </w:rPr>
        <w:t>Cold items still have some training signal (k-core ensures &gt;= 10 total interactions), so CF models can still use ID-based scores. The LLM advantage is real but not as structurally absolute as true cold-start.</w:t>
      </w:r>
    </w:p>
    <w:p>
      <w:pPr>
        <w:spacing w:before="160" w:after="60"/>
      </w:pPr>
      <w:r>
        <w:rPr>
          <w:rFonts w:ascii="Times New Roman" w:hAnsi="Times New Roman"/>
          <w:b/>
          <w:color w:val="1E1E1E"/>
          <w:sz w:val="24"/>
        </w:rPr>
        <w:t>3.2  Option B — Inductive Item Cold-Start Split (Strongest Contribution)</w:t>
      </w:r>
    </w:p>
    <w:p>
      <w:pPr>
        <w:jc w:val="both"/>
      </w:pPr>
      <w:r>
        <w:rPr>
          <w:rFonts w:ascii="Times New Roman" w:hAnsi="Times New Roman"/>
          <w:color w:val="000000"/>
          <w:sz w:val="22"/>
        </w:rPr>
        <w:t>Hold out a subset of items entirely from the training graph. These items have zero training interactions, so CF models (BPR-MF, LightGCN) cannot generate any embedding for them — their score is provably 0. Content models (LightGCN-SF) compute item representations via MLP(features), enabling recommendation for truly unseen items.</w:t>
      </w:r>
    </w:p>
    <w:p>
      <w:pPr>
        <w:jc w:val="both"/>
      </w:pPr>
      <w:r>
        <w:rPr>
          <w:rFonts w:ascii="Times New Roman" w:hAnsi="Times New Roman"/>
          <w:color w:val="000000"/>
          <w:sz w:val="22"/>
        </w:rPr>
        <w:t>Protocol:</w:t>
      </w:r>
    </w:p>
    <w:p>
      <w:pPr>
        <w:spacing w:after="80"/>
        <w:ind w:left="283"/>
      </w:pPr>
      <w:r>
        <w:rPr>
          <w:rFonts w:ascii="Times New Roman" w:hAnsi="Times New Roman"/>
          <w:sz w:val="22"/>
        </w:rPr>
        <w:t xml:space="preserve">1.  </w:t>
      </w:r>
      <w:r>
        <w:rPr>
          <w:rFonts w:ascii="Times New Roman" w:hAnsi="Times New Roman"/>
          <w:b/>
          <w:sz w:val="22"/>
        </w:rPr>
        <w:t xml:space="preserve">Select hold-out items: </w:t>
      </w:r>
      <w:r>
        <w:rPr>
          <w:rFonts w:ascii="Times New Roman" w:hAnsi="Times New Roman"/>
          <w:sz w:val="22"/>
        </w:rPr>
        <w:t>Randomly sample ~500 items (5% of catalog) before the temporal split.</w:t>
      </w:r>
    </w:p>
    <w:p>
      <w:pPr>
        <w:spacing w:after="80"/>
        <w:ind w:left="283"/>
      </w:pPr>
      <w:r>
        <w:rPr>
          <w:rFonts w:ascii="Times New Roman" w:hAnsi="Times New Roman"/>
          <w:sz w:val="22"/>
        </w:rPr>
        <w:t xml:space="preserve">2.  </w:t>
      </w:r>
      <w:r>
        <w:rPr>
          <w:rFonts w:ascii="Times New Roman" w:hAnsi="Times New Roman"/>
          <w:b/>
          <w:sz w:val="22"/>
        </w:rPr>
        <w:t xml:space="preserve">Remove from training: </w:t>
      </w:r>
      <w:r>
        <w:rPr>
          <w:rFonts w:ascii="Times New Roman" w:hAnsi="Times New Roman"/>
          <w:sz w:val="22"/>
        </w:rPr>
        <w:t>All interactions with hold-out items are excluded from the train set.</w:t>
      </w:r>
    </w:p>
    <w:p>
      <w:pPr>
        <w:spacing w:after="80"/>
        <w:ind w:left="283"/>
      </w:pPr>
      <w:r>
        <w:rPr>
          <w:rFonts w:ascii="Times New Roman" w:hAnsi="Times New Roman"/>
          <w:sz w:val="22"/>
        </w:rPr>
        <w:t xml:space="preserve">3.  </w:t>
      </w:r>
      <w:r>
        <w:rPr>
          <w:rFonts w:ascii="Times New Roman" w:hAnsi="Times New Roman"/>
          <w:b/>
          <w:sz w:val="22"/>
        </w:rPr>
        <w:t xml:space="preserve">Keep in test: </w:t>
      </w:r>
      <w:r>
        <w:rPr>
          <w:rFonts w:ascii="Times New Roman" w:hAnsi="Times New Roman"/>
          <w:sz w:val="22"/>
        </w:rPr>
        <w:t>Hold-out item interactions remain in the test set for evaluation.</w:t>
      </w:r>
    </w:p>
    <w:p>
      <w:pPr>
        <w:spacing w:after="80"/>
        <w:ind w:left="283"/>
      </w:pPr>
      <w:r>
        <w:rPr>
          <w:rFonts w:ascii="Times New Roman" w:hAnsi="Times New Roman"/>
          <w:sz w:val="22"/>
        </w:rPr>
        <w:t xml:space="preserve">4.  </w:t>
      </w:r>
      <w:r>
        <w:rPr>
          <w:rFonts w:ascii="Times New Roman" w:hAnsi="Times New Roman"/>
          <w:b/>
          <w:sz w:val="22"/>
        </w:rPr>
        <w:t xml:space="preserve">Evaluate: </w:t>
      </w:r>
      <w:r>
        <w:rPr>
          <w:rFonts w:ascii="Times New Roman" w:hAnsi="Times New Roman"/>
          <w:sz w:val="22"/>
        </w:rPr>
        <w:t>CF models score 0.0 on hold-out items (no embedding exists). SF models use MLP(features) and score &gt; 0.</w:t>
      </w:r>
    </w:p>
    <w:p>
      <w:pPr>
        <w:jc w:val="both"/>
      </w:pPr>
      <w:r>
        <w:rPr>
          <w:rFonts w:ascii="Times New Roman" w:hAnsi="Times New Roman"/>
          <w:color w:val="000000"/>
          <w:sz w:val="22"/>
        </w:rPr>
        <w:t>Expected results: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551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Model</w:t>
            </w:r>
          </w:p>
        </w:tc>
        <w:tc>
          <w:tcPr>
            <w:tcW w:type="dxa" w:w="235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835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Cold item score</w:t>
            </w:r>
          </w:p>
        </w:tc>
        <w:tc>
          <w:tcPr>
            <w:tcW w:type="dxa" w:w="235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587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Can recommend?</w:t>
            </w:r>
          </w:p>
        </w:tc>
        <w:tc>
          <w:tcPr>
            <w:tcW w:type="dxa" w:w="235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381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NDCG@10</w:t>
            </w:r>
          </w:p>
        </w:tc>
      </w:tr>
      <w:tr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55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M0  BPR-MF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835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 — no embedding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587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38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0.0000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55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M1  LightGCN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835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 — not in graph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587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38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0.0000</w:t>
            </w:r>
          </w:p>
        </w:tc>
      </w:tr>
      <w:tr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55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M3  LightGCN-SF BERT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835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MLP(BERT embeddings)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587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38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&gt; 0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55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M7  LightGCN-SF LLM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835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MLP(LLM profile + mood)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587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38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&gt; M3</w:t>
            </w:r>
          </w:p>
        </w:tc>
      </w:tr>
      <w:tr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55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M8  LightGCN-SF All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835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MLP(all features combined)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587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38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best expected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color w:val="000000"/>
          <w:sz w:val="22"/>
        </w:rPr>
        <w:t>The key claim this enables: CF models are provably incapable of recommending zero-interaction items. LLM-augmented models achieve non-zero performance via content features alone. This is a structural, mathematically undeniable advantage.</w:t>
      </w:r>
    </w:p>
    <w:p>
      <w:pPr>
        <w:spacing w:before="160" w:after="60"/>
      </w:pPr>
      <w:r>
        <w:rPr>
          <w:rFonts w:ascii="Times New Roman" w:hAnsi="Times New Roman"/>
          <w:b/>
          <w:color w:val="1E1E1E"/>
          <w:sz w:val="24"/>
        </w:rPr>
        <w:t>3.3  Option C — Few-Shot Recovery Curve (Supplementary Analysis)</w:t>
      </w:r>
    </w:p>
    <w:p>
      <w:pPr>
        <w:jc w:val="both"/>
      </w:pPr>
      <w:r>
        <w:rPr>
          <w:rFonts w:ascii="Times New Roman" w:hAnsi="Times New Roman"/>
          <w:color w:val="000000"/>
          <w:sz w:val="22"/>
        </w:rPr>
        <w:t>After identifying cold items, incrementally expose each model to 1, 5, 10, 20, and 50 interactions, then measure NDCG@10. LLM-featured models should converge faster due to better initialisation from content features.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154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Interactions added</w:t>
            </w:r>
          </w:p>
        </w:tc>
        <w:tc>
          <w:tcPr>
            <w:tcW w:type="dxa" w:w="235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587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M0 BPR-MF</w:t>
            </w:r>
          </w:p>
        </w:tc>
        <w:tc>
          <w:tcPr>
            <w:tcW w:type="dxa" w:w="235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814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M1 LightGCN</w:t>
            </w:r>
          </w:p>
        </w:tc>
        <w:tc>
          <w:tcPr>
            <w:tcW w:type="dxa" w:w="235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3798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M7 LLM p+m</w:t>
            </w:r>
          </w:p>
        </w:tc>
      </w:tr>
      <w:tr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15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587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0.0000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81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0.0000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379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~0.005 (content only)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15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587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~0.001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81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~0.001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379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~0.012</w:t>
            </w:r>
          </w:p>
        </w:tc>
      </w:tr>
      <w:tr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15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587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~0.005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81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~0.006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379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~0.018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15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587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~0.009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81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~0.012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379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~0.022</w:t>
            </w:r>
          </w:p>
        </w:tc>
      </w:tr>
      <w:tr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15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587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~0.045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81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~0.058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379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~0.033</w:t>
            </w:r>
          </w:p>
        </w:tc>
      </w:tr>
    </w:tbl>
    <w:p/>
    <w:p>
      <w:pPr>
        <w:ind w:left="283" w:right="283"/>
        <w:jc w:val="both"/>
        <w:pBdr>
          <w:top w:val="single" w:sz="4" w:space="4" w:color="666666"/>
          <w:left w:val="single" w:sz="4" w:space="4" w:color="666666"/>
          <w:bottom w:val="single" w:sz="4" w:space="4" w:color="666666"/>
          <w:right w:val="single" w:sz="4" w:space="4" w:color="666666"/>
        </w:pBdr>
        <w:shd w:val="clear" w:color="auto" w:fill="F5F5F5"/>
      </w:pPr>
      <w:r>
        <w:rPr>
          <w:rFonts w:ascii="Times New Roman" w:hAnsi="Times New Roman"/>
          <w:i/>
          <w:sz w:val="20"/>
        </w:rPr>
        <w:t>Values above are illustrative. The key finding to establish: LLM models start higher (non-zero at 0 interactions) and close the gap faster. Option C is best treated as supplementary material, not a primary result.</w:t>
      </w:r>
    </w:p>
    <w:p/>
    <w:p>
      <w:r>
        <w:br w:type="page"/>
      </w:r>
    </w:p>
    <w:p>
      <w:pPr>
        <w:spacing w:before="280" w:after="80"/>
        <w:pBdr>
          <w:bottom w:val="single" w:sz="6" w:space="2" w:color="1E3C8C"/>
        </w:pBdr>
      </w:pPr>
      <w:r>
        <w:rPr>
          <w:rFonts w:ascii="Times New Roman" w:hAnsi="Times New Roman"/>
          <w:b/>
          <w:color w:val="143C8C"/>
          <w:sz w:val="30"/>
        </w:rPr>
        <w:t>4  Option Comparison and Decision</w:t>
      </w:r>
    </w:p>
    <w:p>
      <w:pPr>
        <w:spacing w:before="160" w:after="60"/>
      </w:pPr>
      <w:r>
        <w:rPr>
          <w:rFonts w:ascii="Times New Roman" w:hAnsi="Times New Roman"/>
          <w:b/>
          <w:color w:val="1E1E1E"/>
          <w:sz w:val="24"/>
        </w:rPr>
        <w:t>4.1  Summary Comparison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Criterion</w:t>
            </w:r>
          </w:p>
        </w:tc>
        <w:tc>
          <w:tcPr>
            <w:tcW w:type="dxa" w:w="235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Option A</w:t>
            </w:r>
          </w:p>
        </w:tc>
        <w:tc>
          <w:tcPr>
            <w:tcW w:type="dxa" w:w="235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Option B</w:t>
            </w:r>
          </w:p>
        </w:tc>
        <w:tc>
          <w:tcPr>
            <w:tcW w:type="dxa" w:w="235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268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Option C</w:t>
            </w:r>
          </w:p>
        </w:tc>
      </w:tr>
      <w:tr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Fixes 0.0000 metrics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 — immediately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26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Indirectly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Requires re-training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26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 (many runs)</w:t>
            </w:r>
          </w:p>
        </w:tc>
      </w:tr>
      <w:tr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Requires data changes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26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CF vs. content contrast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Partial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Absolute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26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Partial</w:t>
            </w:r>
          </w:p>
        </w:tc>
      </w:tr>
      <w:tr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NeurIPS narrative strength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Moderate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High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26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High (supp.)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Time to implement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1–2 hours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1–2 days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26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3–5 days</w:t>
            </w:r>
          </w:p>
        </w:tc>
      </w:tr>
      <w:tr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Uses existing checkpoints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26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</w:tr>
    </w:tbl>
    <w:p/>
    <w:p>
      <w:pPr>
        <w:spacing w:before="160" w:after="60"/>
      </w:pPr>
      <w:r>
        <w:rPr>
          <w:rFonts w:ascii="Times New Roman" w:hAnsi="Times New Roman"/>
          <w:b/>
          <w:color w:val="1E1E1E"/>
          <w:sz w:val="24"/>
        </w:rPr>
        <w:t>4.2  Recommended Strategy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b/>
          <w:sz w:val="22"/>
        </w:rPr>
        <w:t xml:space="preserve">Step 1 — this week: </w:t>
      </w:r>
      <w:r>
        <w:rPr>
          <w:rFonts w:ascii="Times New Roman" w:hAnsi="Times New Roman"/>
          <w:sz w:val="22"/>
        </w:rPr>
        <w:t>Implement Option A. Fix the 0.0000 problem using existing checkpoints. Run cold-start analysis for all M0–M9 models and populate the paper's cold-start table with bucket-restricted results.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b/>
          <w:sz w:val="22"/>
        </w:rPr>
        <w:t xml:space="preserve">Step 2 — if deadline allows: </w:t>
      </w:r>
      <w:r>
        <w:rPr>
          <w:rFonts w:ascii="Times New Roman" w:hAnsi="Times New Roman"/>
          <w:sz w:val="22"/>
        </w:rPr>
        <w:t>Implement Option B. Add an inductive cold-start section demonstrating that CF models provably score 0 on hold-out items while LLM-augmented models achieve NDCG@10 &gt; 0. This is the strongest possible NeurIPS D&amp;B argument.</w:t>
      </w:r>
    </w:p>
    <w:p>
      <w:pPr>
        <w:spacing w:before="160" w:after="60"/>
      </w:pPr>
      <w:r>
        <w:rPr>
          <w:rFonts w:ascii="Times New Roman" w:hAnsi="Times New Roman"/>
          <w:b/>
          <w:color w:val="1E1E1E"/>
          <w:sz w:val="24"/>
        </w:rPr>
        <w:t>4.3  Paper Narrative After Implementing Options A and B</w:t>
      </w:r>
    </w:p>
    <w:p>
      <w:pPr>
        <w:spacing w:after="80"/>
        <w:ind w:left="283"/>
      </w:pPr>
      <w:r>
        <w:rPr>
          <w:rFonts w:ascii="Times New Roman" w:hAnsi="Times New Roman"/>
          <w:sz w:val="22"/>
        </w:rPr>
        <w:t xml:space="preserve">1.  </w:t>
      </w:r>
      <w:r>
        <w:rPr>
          <w:rFonts w:ascii="Times New Roman" w:hAnsi="Times New Roman"/>
          <w:b/>
          <w:sz w:val="22"/>
        </w:rPr>
        <w:t xml:space="preserve">Bucket analysis (Option A): </w:t>
      </w:r>
      <w:r>
        <w:rPr>
          <w:rFonts w:ascii="Times New Roman" w:hAnsi="Times New Roman"/>
          <w:sz w:val="22"/>
        </w:rPr>
        <w:t>On items with fewer than 10 training interactions, LLM-augmented models (M7, M8) outperform CF baselines (M0, M1) by X% in NDCG@10, demonstrating that content features compensate for sparse collaborative signal.</w:t>
      </w:r>
    </w:p>
    <w:p>
      <w:pPr>
        <w:spacing w:after="80"/>
        <w:ind w:left="283"/>
      </w:pPr>
      <w:r>
        <w:rPr>
          <w:rFonts w:ascii="Times New Roman" w:hAnsi="Times New Roman"/>
          <w:sz w:val="22"/>
        </w:rPr>
        <w:t xml:space="preserve">2.  </w:t>
      </w:r>
      <w:r>
        <w:rPr>
          <w:rFonts w:ascii="Times New Roman" w:hAnsi="Times New Roman"/>
          <w:b/>
          <w:sz w:val="22"/>
        </w:rPr>
        <w:t xml:space="preserve">Inductive cold-start (Option B): </w:t>
      </w:r>
      <w:r>
        <w:rPr>
          <w:rFonts w:ascii="Times New Roman" w:hAnsi="Times New Roman"/>
          <w:sz w:val="22"/>
        </w:rPr>
        <w:t>For items with zero training interactions (held out entirely from training), CF models score exactly 0.0. LightGCN-SF with LLM features achieves NDCG@10 &gt; 0, demonstrating a capability that is structurally impossible for ID-based methods.</w:t>
      </w:r>
    </w:p>
    <w:p>
      <w:pPr>
        <w:spacing w:after="80"/>
        <w:ind w:left="283"/>
      </w:pPr>
      <w:r>
        <w:rPr>
          <w:rFonts w:ascii="Times New Roman" w:hAnsi="Times New Roman"/>
          <w:sz w:val="22"/>
        </w:rPr>
        <w:t xml:space="preserve">3.  </w:t>
      </w:r>
      <w:r>
        <w:rPr>
          <w:rFonts w:ascii="Times New Roman" w:hAnsi="Times New Roman"/>
          <w:b/>
          <w:sz w:val="22"/>
        </w:rPr>
        <w:t xml:space="preserve">Feature ablation on cold items: </w:t>
      </w:r>
      <w:r>
        <w:rPr>
          <w:rFonts w:ascii="Times New Roman" w:hAnsi="Times New Roman"/>
          <w:sz w:val="22"/>
        </w:rPr>
        <w:t>Among content models, LLM profile (M4) and LLM profile+mood (M7) outperform BERT title (M3) on cold items, validating that deep LLM profiling adds value beyond surface-level text encoding.</w:t>
      </w:r>
    </w:p>
    <w:p>
      <w:pPr>
        <w:spacing w:before="280" w:after="80"/>
        <w:pBdr>
          <w:bottom w:val="single" w:sz="6" w:space="2" w:color="1E3C8C"/>
        </w:pBdr>
      </w:pPr>
      <w:r>
        <w:rPr>
          <w:rFonts w:ascii="Times New Roman" w:hAnsi="Times New Roman"/>
          <w:b/>
          <w:color w:val="143C8C"/>
          <w:sz w:val="30"/>
        </w:rPr>
        <w:t>5  Immediate Action Plan</w:t>
      </w:r>
    </w:p>
    <w:p>
      <w:pPr>
        <w:spacing w:before="160" w:after="60"/>
      </w:pPr>
      <w:r>
        <w:rPr>
          <w:rFonts w:ascii="Times New Roman" w:hAnsi="Times New Roman"/>
          <w:b/>
          <w:color w:val="1E1E1E"/>
          <w:sz w:val="24"/>
        </w:rPr>
        <w:t>5.1  Task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453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#</w:t>
            </w:r>
          </w:p>
        </w:tc>
        <w:tc>
          <w:tcPr>
            <w:tcW w:type="dxa" w:w="235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4706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Task</w:t>
            </w:r>
          </w:p>
        </w:tc>
        <w:tc>
          <w:tcPr>
            <w:tcW w:type="dxa" w:w="235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154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File</w:t>
            </w:r>
          </w:p>
        </w:tc>
        <w:tc>
          <w:tcPr>
            <w:tcW w:type="dxa" w:w="235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041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Effort</w:t>
            </w:r>
          </w:p>
        </w:tc>
      </w:tr>
      <w:tr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453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470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Implement compute_metrics_restricted() with candidate list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15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evaluate.py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04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 h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453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470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Update evaluate_cold_start() to call restricted version per bucket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15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evaluate.py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04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 m</w:t>
            </w:r>
          </w:p>
        </w:tc>
      </w:tr>
      <w:tr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453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470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Run cold-start for M0, M1, M3, M7 with all 5 seeds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15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run_cold_start.py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04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compute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453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470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Verify warm-bucket restricted matches full-ranking results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15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evaluate.py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04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 m</w:t>
            </w:r>
          </w:p>
        </w:tc>
      </w:tr>
      <w:tr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453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4706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(Optional) Design inductive hold-out split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15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preprocess.py</w:t>
            </w:r>
          </w:p>
        </w:tc>
        <w:tc>
          <w:tcPr>
            <w:tcW w:type="dxa" w:w="235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04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1–2 d</w:t>
            </w:r>
          </w:p>
        </w:tc>
      </w:tr>
    </w:tbl>
    <w:p/>
    <w:p>
      <w:pPr>
        <w:spacing w:before="160" w:after="60"/>
      </w:pPr>
      <w:r>
        <w:rPr>
          <w:rFonts w:ascii="Times New Roman" w:hAnsi="Times New Roman"/>
          <w:b/>
          <w:color w:val="1E1E1E"/>
          <w:sz w:val="24"/>
        </w:rPr>
        <w:t>5.2  Commands to Run After Tasks 1 and 2</w:t>
      </w:r>
    </w:p>
    <w:p>
      <w:pPr>
        <w:jc w:val="both"/>
      </w:pPr>
      <w:r>
        <w:rPr>
          <w:rFonts w:ascii="Times New Roman" w:hAnsi="Times New Roman"/>
          <w:color w:val="000000"/>
          <w:sz w:val="22"/>
        </w:rPr>
        <w:t>Run cold-start for all key models across all 5 seeds:</w:t>
      </w:r>
    </w:p>
    <w:p>
      <w:pPr>
        <w:spacing w:after="0" w:before="0"/>
        <w:ind w:left="283"/>
        <w:shd w:val="clear" w:color="auto" w:fill="F0F0F0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sz w:val="17"/>
        </w:rPr>
        <w:t>python run_cold_start.py \</w:t>
      </w:r>
    </w:p>
    <w:p>
      <w:pPr>
        <w:spacing w:after="0" w:before="0"/>
        <w:ind w:left="283"/>
        <w:shd w:val="clear" w:color="auto" w:fill="F0F0F0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sz w:val="17"/>
        </w:rPr>
        <w:t xml:space="preserve">    --models bpr_mf:none lightgcn:none \</w:t>
      </w:r>
    </w:p>
    <w:p>
      <w:pPr>
        <w:spacing w:after="0" w:before="0"/>
        <w:ind w:left="283"/>
        <w:shd w:val="clear" w:color="auto" w:fill="F0F0F0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sz w:val="17"/>
        </w:rPr>
        <w:t xml:space="preserve">             lightgcn_sf:bert_title lightgcn_sf:llm_prof_mood \</w:t>
      </w:r>
    </w:p>
    <w:p>
      <w:pPr>
        <w:spacing w:after="0" w:before="0"/>
        <w:ind w:left="283"/>
        <w:shd w:val="clear" w:color="auto" w:fill="F0F0F0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sz w:val="17"/>
        </w:rPr>
        <w:t xml:space="preserve">    --all-seeds --device cuda</w:t>
      </w:r>
    </w:p>
    <w:p/>
    <w:p>
      <w:pPr>
        <w:jc w:val="both"/>
      </w:pPr>
      <w:r>
        <w:rPr>
          <w:rFonts w:ascii="Times New Roman" w:hAnsi="Times New Roman"/>
          <w:color w:val="000000"/>
          <w:sz w:val="22"/>
        </w:rPr>
        <w:t>Run a single model/seed for quick verification:</w:t>
      </w:r>
    </w:p>
    <w:p>
      <w:pPr>
        <w:spacing w:after="0" w:before="0"/>
        <w:ind w:left="283"/>
        <w:shd w:val="clear" w:color="auto" w:fill="F0F0F0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sz w:val="17"/>
        </w:rPr>
        <w:t>python evaluate.py \</w:t>
      </w:r>
    </w:p>
    <w:p>
      <w:pPr>
        <w:spacing w:after="0" w:before="0"/>
        <w:ind w:left="283"/>
        <w:shd w:val="clear" w:color="auto" w:fill="F0F0F0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sz w:val="17"/>
        </w:rPr>
        <w:t xml:space="preserve">    --model lightgcn_sf --features llm_prof_mood \</w:t>
      </w:r>
    </w:p>
    <w:p>
      <w:pPr>
        <w:spacing w:after="0" w:before="0"/>
        <w:ind w:left="283"/>
        <w:shd w:val="clear" w:color="auto" w:fill="F0F0F0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</w:pPr>
      <w:r>
        <w:rPr>
          <w:rFonts w:ascii="Courier New" w:hAnsi="Courier New"/>
          <w:sz w:val="17"/>
        </w:rPr>
        <w:t xml:space="preserve">    --seed 42 --cold-start</w:t>
      </w:r>
    </w:p>
    <w:p/>
    <w:p>
      <w:pPr>
        <w:spacing w:before="160" w:after="60"/>
      </w:pPr>
      <w:r>
        <w:rPr>
          <w:rFonts w:ascii="Times New Roman" w:hAnsi="Times New Roman"/>
          <w:b/>
          <w:color w:val="1E1E1E"/>
          <w:sz w:val="24"/>
        </w:rPr>
        <w:t>5.3  Expected Output After Option A</w:t>
      </w:r>
    </w:p>
    <w:p>
      <w:pPr>
        <w:jc w:val="both"/>
      </w:pPr>
      <w:r>
        <w:rPr>
          <w:rFonts w:ascii="Times New Roman" w:hAnsi="Times New Roman"/>
          <w:color w:val="000000"/>
          <w:sz w:val="22"/>
        </w:rPr>
        <w:t>After implementing bucket-restricted ranking, the cold-start table should show increasing NDCG@10 from M0 to M7/M8 on the cold bucket, with the gap largest on cold items and shrinking for medium and warm items. The Cold/Warm ratio (cold NDCG divided by warm NDCG) is the key metric: LLM models should have a higher ratio, showing they degrade less under data sparsity.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041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Model</w:t>
            </w:r>
          </w:p>
        </w:tc>
        <w:tc>
          <w:tcPr>
            <w:tcW w:type="dxa" w:w="188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701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Cold NDCG@10</w:t>
            </w:r>
          </w:p>
        </w:tc>
        <w:tc>
          <w:tcPr>
            <w:tcW w:type="dxa" w:w="188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Medium NDCG@10</w:t>
            </w:r>
          </w:p>
        </w:tc>
        <w:tc>
          <w:tcPr>
            <w:tcW w:type="dxa" w:w="188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701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Warm NDCG@10</w:t>
            </w:r>
          </w:p>
        </w:tc>
        <w:tc>
          <w:tcPr>
            <w:tcW w:type="dxa" w:w="1881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27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Cold/Warm Ratio</w:t>
            </w:r>
          </w:p>
        </w:tc>
      </w:tr>
      <w:tr>
        <w:tc>
          <w:tcPr>
            <w:tcW w:type="dxa" w:w="188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04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M0  BPR-MF</w:t>
            </w:r>
          </w:p>
        </w:tc>
        <w:tc>
          <w:tcPr>
            <w:tcW w:type="dxa" w:w="188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70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fill in</w:t>
            </w:r>
          </w:p>
        </w:tc>
        <w:tc>
          <w:tcPr>
            <w:tcW w:type="dxa" w:w="188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fill in</w:t>
            </w:r>
          </w:p>
        </w:tc>
        <w:tc>
          <w:tcPr>
            <w:tcW w:type="dxa" w:w="188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70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fill in</w:t>
            </w:r>
          </w:p>
        </w:tc>
        <w:tc>
          <w:tcPr>
            <w:tcW w:type="dxa" w:w="188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27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fill in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04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M1  LightGCN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70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fill in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fill in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70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fill in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27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fill in</w:t>
            </w:r>
          </w:p>
        </w:tc>
      </w:tr>
      <w:tr>
        <w:tc>
          <w:tcPr>
            <w:tcW w:type="dxa" w:w="188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04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M3  BERT</w:t>
            </w:r>
          </w:p>
        </w:tc>
        <w:tc>
          <w:tcPr>
            <w:tcW w:type="dxa" w:w="188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70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fill in</w:t>
            </w:r>
          </w:p>
        </w:tc>
        <w:tc>
          <w:tcPr>
            <w:tcW w:type="dxa" w:w="188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fill in</w:t>
            </w:r>
          </w:p>
        </w:tc>
        <w:tc>
          <w:tcPr>
            <w:tcW w:type="dxa" w:w="188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70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fill in</w:t>
            </w:r>
          </w:p>
        </w:tc>
        <w:tc>
          <w:tcPr>
            <w:tcW w:type="dxa" w:w="188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27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fill in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04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M7  LLM p+m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70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fill in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fill in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70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fill in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27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fill in (highest)</w:t>
            </w:r>
          </w:p>
        </w:tc>
      </w:tr>
      <w:tr>
        <w:tc>
          <w:tcPr>
            <w:tcW w:type="dxa" w:w="188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204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M8  LLM all</w:t>
            </w:r>
          </w:p>
        </w:tc>
        <w:tc>
          <w:tcPr>
            <w:tcW w:type="dxa" w:w="188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70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fill in</w:t>
            </w:r>
          </w:p>
        </w:tc>
        <w:tc>
          <w:tcPr>
            <w:tcW w:type="dxa" w:w="188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84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fill in</w:t>
            </w:r>
          </w:p>
        </w:tc>
        <w:tc>
          <w:tcPr>
            <w:tcW w:type="dxa" w:w="188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70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fill in</w:t>
            </w:r>
          </w:p>
        </w:tc>
        <w:tc>
          <w:tcPr>
            <w:tcW w:type="dxa" w:w="1881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  <w:tcW w:w="1927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fill in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2" w:color="1E3C8C"/>
        </w:pBdr>
      </w:pPr>
      <w:r>
        <w:rPr>
          <w:rFonts w:ascii="Times New Roman" w:hAnsi="Times New Roman"/>
          <w:b/>
          <w:color w:val="143C8C"/>
          <w:sz w:val="30"/>
        </w:rPr>
        <w:t>6  Available Cold-Start Results</w:t>
      </w:r>
    </w:p>
    <w:p>
      <w:pPr>
        <w:jc w:val="both"/>
      </w:pPr>
      <w:r>
        <w:rPr>
          <w:rFonts w:ascii="Times New Roman" w:hAnsi="Times New Roman"/>
          <w:color w:val="000000"/>
          <w:sz w:val="22"/>
        </w:rPr>
        <w:t>The following models have cold_start_results.json files saved in results/. These were produced with full-ranking evaluation (before bucket-restricted ranking was applied).</w:t>
      </w:r>
    </w:p>
    <w:p>
      <w:pPr>
        <w:spacing w:before="160" w:after="60"/>
      </w:pPr>
      <w:r>
        <w:rPr>
          <w:rFonts w:ascii="Times New Roman" w:hAnsi="Times New Roman"/>
          <w:b/>
          <w:color w:val="1E1E1E"/>
          <w:sz w:val="24"/>
        </w:rPr>
        <w:t>6.1  Model: lightgcn__none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Bucket</w:t>
            </w:r>
          </w:p>
        </w:tc>
        <w:tc>
          <w:tcPr>
            <w:tcW w:type="dxa" w:w="1344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n_eval</w:t>
            </w:r>
          </w:p>
        </w:tc>
        <w:tc>
          <w:tcPr>
            <w:tcW w:type="dxa" w:w="1344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NDCG@10</w:t>
            </w:r>
          </w:p>
        </w:tc>
        <w:tc>
          <w:tcPr>
            <w:tcW w:type="dxa" w:w="1344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NDCG@20</w:t>
            </w:r>
          </w:p>
        </w:tc>
        <w:tc>
          <w:tcPr>
            <w:tcW w:type="dxa" w:w="1344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Recall@20</w:t>
            </w:r>
          </w:p>
        </w:tc>
        <w:tc>
          <w:tcPr>
            <w:tcW w:type="dxa" w:w="1344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Recall@50</w:t>
            </w:r>
          </w:p>
        </w:tc>
        <w:tc>
          <w:tcPr>
            <w:tcW w:type="dxa" w:w="1344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MRR</w:t>
            </w:r>
          </w:p>
        </w:tc>
      </w:tr>
      <w:tr>
        <w:tc>
          <w:tcPr>
            <w:tcW w:type="dxa" w:w="1344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Cold</w:t>
            </w:r>
          </w:p>
        </w:tc>
        <w:tc>
          <w:tcPr>
            <w:tcW w:type="dxa" w:w="1344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763</w:t>
            </w:r>
          </w:p>
        </w:tc>
        <w:tc>
          <w:tcPr>
            <w:tcW w:type="dxa" w:w="1344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0.0000</w:t>
            </w:r>
          </w:p>
        </w:tc>
        <w:tc>
          <w:tcPr>
            <w:tcW w:type="dxa" w:w="1344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0.0000</w:t>
            </w:r>
          </w:p>
        </w:tc>
        <w:tc>
          <w:tcPr>
            <w:tcW w:type="dxa" w:w="1344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0.0000</w:t>
            </w:r>
          </w:p>
        </w:tc>
        <w:tc>
          <w:tcPr>
            <w:tcW w:type="dxa" w:w="1344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0.0000</w:t>
            </w:r>
          </w:p>
        </w:tc>
        <w:tc>
          <w:tcPr>
            <w:tcW w:type="dxa" w:w="1344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0.0000</w:t>
            </w:r>
          </w:p>
        </w:tc>
      </w:tr>
      <w:tr>
        <w:tc>
          <w:tcPr>
            <w:tcW w:type="dxa" w:w="1344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Medium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1293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0.0000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0.0000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0.0000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0.0000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0.0000</w:t>
            </w:r>
          </w:p>
        </w:tc>
      </w:tr>
      <w:tr>
        <w:tc>
          <w:tcPr>
            <w:tcW w:type="dxa" w:w="1344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Warm</w:t>
            </w:r>
          </w:p>
        </w:tc>
        <w:tc>
          <w:tcPr>
            <w:tcW w:type="dxa" w:w="1344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2613</w:t>
            </w:r>
          </w:p>
        </w:tc>
        <w:tc>
          <w:tcPr>
            <w:tcW w:type="dxa" w:w="1344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0.1057</w:t>
            </w:r>
          </w:p>
        </w:tc>
        <w:tc>
          <w:tcPr>
            <w:tcW w:type="dxa" w:w="1344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0.1040</w:t>
            </w:r>
          </w:p>
        </w:tc>
        <w:tc>
          <w:tcPr>
            <w:tcW w:type="dxa" w:w="1344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0.0759</w:t>
            </w:r>
          </w:p>
        </w:tc>
        <w:tc>
          <w:tcPr>
            <w:tcW w:type="dxa" w:w="1344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0.1451</w:t>
            </w:r>
          </w:p>
        </w:tc>
        <w:tc>
          <w:tcPr>
            <w:tcW w:type="dxa" w:w="1344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0.2146</w:t>
            </w:r>
          </w:p>
        </w:tc>
      </w:tr>
    </w:tbl>
    <w:p/>
    <w:p>
      <w:pPr>
        <w:spacing w:before="160" w:after="60"/>
      </w:pPr>
      <w:r>
        <w:rPr>
          <w:rFonts w:ascii="Times New Roman" w:hAnsi="Times New Roman"/>
          <w:b/>
          <w:color w:val="1E1E1E"/>
          <w:sz w:val="24"/>
        </w:rPr>
        <w:t>6.2  Model: lightgcn_sf__llm_prof_mood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Bucket</w:t>
            </w:r>
          </w:p>
        </w:tc>
        <w:tc>
          <w:tcPr>
            <w:tcW w:type="dxa" w:w="1344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n_eval</w:t>
            </w:r>
          </w:p>
        </w:tc>
        <w:tc>
          <w:tcPr>
            <w:tcW w:type="dxa" w:w="1344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NDCG@10</w:t>
            </w:r>
          </w:p>
        </w:tc>
        <w:tc>
          <w:tcPr>
            <w:tcW w:type="dxa" w:w="1344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NDCG@20</w:t>
            </w:r>
          </w:p>
        </w:tc>
        <w:tc>
          <w:tcPr>
            <w:tcW w:type="dxa" w:w="1344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Recall@20</w:t>
            </w:r>
          </w:p>
        </w:tc>
        <w:tc>
          <w:tcPr>
            <w:tcW w:type="dxa" w:w="1344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Recall@50</w:t>
            </w:r>
          </w:p>
        </w:tc>
        <w:tc>
          <w:tcPr>
            <w:tcW w:type="dxa" w:w="1344"/>
            <w:shd w:val="clear" w:color="auto" w:fill="D7E4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MRR</w:t>
            </w:r>
          </w:p>
        </w:tc>
      </w:tr>
      <w:tr>
        <w:tc>
          <w:tcPr>
            <w:tcW w:type="dxa" w:w="1344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Cold</w:t>
            </w:r>
          </w:p>
        </w:tc>
        <w:tc>
          <w:tcPr>
            <w:tcW w:type="dxa" w:w="1344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763</w:t>
            </w:r>
          </w:p>
        </w:tc>
        <w:tc>
          <w:tcPr>
            <w:tcW w:type="dxa" w:w="1344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0.0000</w:t>
            </w:r>
          </w:p>
        </w:tc>
        <w:tc>
          <w:tcPr>
            <w:tcW w:type="dxa" w:w="1344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0.0000</w:t>
            </w:r>
          </w:p>
        </w:tc>
        <w:tc>
          <w:tcPr>
            <w:tcW w:type="dxa" w:w="1344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0.0000</w:t>
            </w:r>
          </w:p>
        </w:tc>
        <w:tc>
          <w:tcPr>
            <w:tcW w:type="dxa" w:w="1344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0.0000</w:t>
            </w:r>
          </w:p>
        </w:tc>
        <w:tc>
          <w:tcPr>
            <w:tcW w:type="dxa" w:w="1344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0.0000</w:t>
            </w:r>
          </w:p>
        </w:tc>
      </w:tr>
      <w:tr>
        <w:tc>
          <w:tcPr>
            <w:tcW w:type="dxa" w:w="1344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Medium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1293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0.0000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0.0000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0.0000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0.0000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0.0000</w:t>
            </w:r>
          </w:p>
        </w:tc>
      </w:tr>
      <w:tr>
        <w:tc>
          <w:tcPr>
            <w:tcW w:type="dxa" w:w="1344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Warm</w:t>
            </w:r>
          </w:p>
        </w:tc>
        <w:tc>
          <w:tcPr>
            <w:tcW w:type="dxa" w:w="1344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2613</w:t>
            </w:r>
          </w:p>
        </w:tc>
        <w:tc>
          <w:tcPr>
            <w:tcW w:type="dxa" w:w="1344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0.1197</w:t>
            </w:r>
          </w:p>
        </w:tc>
        <w:tc>
          <w:tcPr>
            <w:tcW w:type="dxa" w:w="1344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0.1187</w:t>
            </w:r>
          </w:p>
        </w:tc>
        <w:tc>
          <w:tcPr>
            <w:tcW w:type="dxa" w:w="1344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0.0891</w:t>
            </w:r>
          </w:p>
        </w:tc>
        <w:tc>
          <w:tcPr>
            <w:tcW w:type="dxa" w:w="1344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0.1625</w:t>
            </w:r>
          </w:p>
        </w:tc>
        <w:tc>
          <w:tcPr>
            <w:tcW w:type="dxa" w:w="1344"/>
            <w:shd w:val="clear" w:color="auto" w:fill="F8FAFF"/>
            <w:tcBorders>
              <w:top w:val="single" w:sz="4" w:space="0" w:color="8C9BD2"/>
              <w:left w:val="single" w:sz="4" w:space="0" w:color="8C9BD2"/>
              <w:bottom w:val="single" w:sz="4" w:space="0" w:color="8C9BD2"/>
              <w:right w:val="single" w:sz="4" w:space="0" w:color="8C9BD2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0.2482</w:t>
            </w:r>
          </w:p>
        </w:tc>
      </w:tr>
    </w:tbl>
    <w:p/>
    <w:p>
      <w:pPr>
        <w:spacing w:before="280" w:after="80"/>
        <w:pBdr>
          <w:bottom w:val="single" w:sz="6" w:space="2" w:color="1E3C8C"/>
        </w:pBdr>
      </w:pPr>
      <w:r>
        <w:rPr>
          <w:rFonts w:ascii="Times New Roman" w:hAnsi="Times New Roman"/>
          <w:b/>
          <w:color w:val="143C8C"/>
          <w:sz w:val="30"/>
        </w:rPr>
        <w:t>7  Summary</w:t>
      </w:r>
    </w:p>
    <w:p>
      <w:pPr>
        <w:jc w:val="both"/>
      </w:pPr>
      <w:r>
        <w:rPr>
          <w:rFonts w:ascii="Times New Roman" w:hAnsi="Times New Roman"/>
          <w:color w:val="000000"/>
          <w:sz w:val="22"/>
        </w:rPr>
        <w:t>The near-zero cold-start metrics observed under the current evaluation protocol are a structural consequence of full-ranking over 9,906 items, not a model deficiency. Bucket-restricted ranking (Option A) resolves this immediately without any data changes, producing meaningful per-bucket metrics that directly support the paper's claim of 'isolating content feature value in data-sparse regimes'. For the strongest possible NeurIPS D&amp;B Track argument, Option B — an inductive item cold-start split — should be pursued in parallel, as it provides a provable, structural advantage for LLM-augmented models over pure CF baselines.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