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ywyj1vh7vy2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Анализ архитектуры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Масштабируемость: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поддерживать увеличение объёмов данных и модели. Для обучения больших моделей TIGAS рекомендуется распараллеливать процесс обучения. В PyTorch для этого используется бэкэнд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torch.distributed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позволяющий эффективно обучать модель сразу на нескольких GPU. Такой подход упрощает перенос проекта в облако и позволяет масштабировать вычисления с ростом требований и размера датасета. Наличие поддержки распределенного обучения и переносимость на облачные сервисы обеспечивают гибкое масштабирование в будущем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Пригодность к CI/CD: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надежной поставки продукта следует внедрить непрерывную интеграцию и доставку. Например, можно настроить GitHub Actions так, чтобы по событию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созданию тега автоматически выполнялся прогон тестов, сборка pip-пакета и публикация его на PyPI. Автоматизация сборки и тестирования гарантирует, что ошибки выявляются до релиза, ускоряет выпуск новых версий и облегчает поддержку качества кода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fvgu6ddmx37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Зависимости и ограничения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Языки и фреймворки: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разрабатывается на Python. Для нейросети целесообразно использовать известные ML-библиотеки: TensorFlow или PyTorch. TensorFlow представляет собой «комплексную, гибкую экосистему инструментов и библиотек для машинного обучения», а PyTorch предлагает богатые средства для компьютерного зрения и масштабируемого обучения. Дополнительные зависимости: NumPy/SciPy, Pillow/OpenCV (обработка изображений), средства работы с текстом. Для сборки пакета будут использоваться setuptools или pyproject.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Платформы и инфраструктура: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нейросети часто требует GPU-ускорения. Нужны соответствующие драйверы (CUDA) и библиотеки (cuDNN) для NVIDIA GPU. Модель TIGAS должна работать в доступной памяти (CPU/GPU); при необходимости на маломощных машинах она может падать обратно на CPU. Для инференса в продакшене система должна корректно обрабатывать одиночные запросы (text+image) и выдавать метрику. Пакет распространяется через PyPI, значит необходимо обеспечить совместимость с используемыми версиями Python и зависимостями (например, указать версии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и/или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setup.py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Юридические аспекты: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сторонние компоненты и данные должны иметь совместимые лицензии. Рекомендуется выбрать открытые лицензии (MIT/Apache); при использовании библиотеки с «жесткой» GPL-зависимостью придётся применить GPL ко всему проекту. Датасет с изображениями должен собираться из легальных источников. Необходимо тщательно проверять лицензионные соглашения подключаемых библиотек и ограничения на обработку контента, чтобы избежать юридических проблем.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изначально рассчитана на вычисление одной метрики качества: расширение функциональности потребует модульного добавления новых метрик. Интерфейс оценки фиксирован (вход – пара текст+изображение, выход – число метрики), что ограничивает возможные сценарии. Требуется обеспечить переносимость кода между разными ОС (Linux/Windows) и совместимость с типовыми средами CI (GitHub Actions, Docker-контейнерами). Важно учитывать объём памяти и время выполнения: слишком тяжёлая модель или очень большие пакеты данных могут не поместиться в ограниченные ресурсы CI-среды.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eyrxpah1ee6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Риски проекта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Технические риски: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TIGAS: неполнота или несбалансированность датасета (недостаток данных или их низкое качество приведут к низкой эффективности модели) и переобучение модели (overfitting) – когда нейросеть запоминает тренировочные примеры, но плохо обобщает на новые данные. Переобучение и ошибки реализации алгоритма могут снизить точность вычисляемой метрики и потребовать дополнительных усилий по регуляризации и валидации модели. Также к техническим рискам относятся ошибки интеграции внешних библиотек, несовместимость версий, недостаток вычислительных ресурсов при обучении.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Управленческие риски: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Риски, связанные с управлением проектом, включают неверную оценку сроков и трудозатрат (особенно при сборе и аннотации данных, обучении модели). Без надёжного CI/CD-процесса возможен выпуск нестабильной версии пакета (например, тесты могут не запуститься автоматически). Изменение требований в процессе разработки или перерасход бюджета времени также угрожает соблюдению графика.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Организационные риски: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проекта от ключевых участников (специалистов по ML или DevOps) может замедлить работу при их недоступности. Отсутствие оформленной документации и согласованных процессов может привести к недоразумениям. Кроме того, зависимость от внешних библиотек с ограничительными лицензиями создает риск юридической несовместимости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Внешние риски: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внешним рискам относятся изменения в законодательстве (регулирование использования изображений), новые требования к безопасности и конфиденциальности, а также быстрое развитие сферы CV. Например, могут появиться новые стандарты оценки качества генерации изображений или поправки в законах об авторском праве, что повлияет на датасет. Чтобы снизить такие риски, необходимо обеспечивать юридическую проверку используемых данных и мониторить отраслевые стандарты.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