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FE87" w14:textId="77777777" w:rsidR="007652F0" w:rsidRDefault="007652F0" w:rsidP="007652F0">
      <w:pPr>
        <w:rPr>
          <w:b/>
          <w:bCs/>
          <w:sz w:val="21"/>
          <w:szCs w:val="21"/>
        </w:rPr>
      </w:pPr>
      <w:r w:rsidRPr="007652F0">
        <w:rPr>
          <w:b/>
          <w:bCs/>
          <w:sz w:val="21"/>
          <w:szCs w:val="21"/>
        </w:rPr>
        <w:t>Implementation Note: Non-Obvious Design Choices</w:t>
      </w:r>
    </w:p>
    <w:p w14:paraId="085A6FB7" w14:textId="1A8694AA" w:rsidR="00C53602" w:rsidRPr="007652F0" w:rsidRDefault="00C53602" w:rsidP="007652F0">
      <w:pPr>
        <w:rPr>
          <w:sz w:val="21"/>
          <w:szCs w:val="21"/>
        </w:rPr>
      </w:pPr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4" w:history="1">
        <w:r w:rsidRPr="00C53602">
          <w:rPr>
            <w:rStyle w:val="Hyperlink"/>
          </w:rPr>
          <w:t>H1mm4tHQ/Speech_Understanding_B22EE033_PA1</w:t>
        </w:r>
      </w:hyperlink>
    </w:p>
    <w:p w14:paraId="69135C27" w14:textId="77777777" w:rsidR="007652F0" w:rsidRPr="007652F0" w:rsidRDefault="007652F0" w:rsidP="007652F0">
      <w:pPr>
        <w:rPr>
          <w:sz w:val="21"/>
          <w:szCs w:val="21"/>
        </w:rPr>
      </w:pPr>
      <w:r w:rsidRPr="007652F0">
        <w:rPr>
          <w:b/>
          <w:bCs/>
          <w:sz w:val="21"/>
          <w:szCs w:val="21"/>
        </w:rPr>
        <w:t>Task 1.1 – Frame-Level LID with Dual-Head Architecture</w:t>
      </w:r>
    </w:p>
    <w:p w14:paraId="26C33F94" w14:textId="77777777" w:rsidR="007652F0" w:rsidRPr="007652F0" w:rsidRDefault="007652F0" w:rsidP="007652F0">
      <w:pPr>
        <w:rPr>
          <w:sz w:val="21"/>
          <w:szCs w:val="21"/>
        </w:rPr>
      </w:pPr>
      <w:r w:rsidRPr="007652F0">
        <w:rPr>
          <w:sz w:val="21"/>
          <w:szCs w:val="21"/>
        </w:rPr>
        <w:t>A key non-obvious design choice is the use of a frame-level LID model with a </w:t>
      </w:r>
      <w:r w:rsidRPr="007652F0">
        <w:rPr>
          <w:i/>
          <w:iCs/>
          <w:sz w:val="21"/>
          <w:szCs w:val="21"/>
        </w:rPr>
        <w:t>separate switch-boundary detection head</w:t>
      </w:r>
      <w:r w:rsidRPr="007652F0">
        <w:rPr>
          <w:sz w:val="21"/>
          <w:szCs w:val="21"/>
        </w:rPr>
        <w:t xml:space="preserve"> rather than a single language-classification head. While standard LID systems assign each frame to one language, our implementation includes an auxiliary "switch" head that explicitly predicts whether a given frame is a language-boundary region. The motivation is twofold: (1) language boundaries often have acoustic ambiguity, and training a dedicated head focuses model capacity on detecting these uncertain zones, improving F1 on the minority class (code-switch frames); and (2) post-processing the boundary predictions allows us to enforce minimum separation between consecutive switches and smooth spurious predictions, reducing false positives. This design yielded a frame-macro-F1 of 0.976 and 100% boundary accuracy within 200 </w:t>
      </w:r>
      <w:proofErr w:type="spellStart"/>
      <w:r w:rsidRPr="007652F0">
        <w:rPr>
          <w:sz w:val="21"/>
          <w:szCs w:val="21"/>
        </w:rPr>
        <w:t>ms</w:t>
      </w:r>
      <w:proofErr w:type="spellEnd"/>
      <w:r w:rsidRPr="007652F0">
        <w:rPr>
          <w:sz w:val="21"/>
          <w:szCs w:val="21"/>
        </w:rPr>
        <w:t>, compared to a standard single-head baseline which exhibited more fragmentation and lower switch recall.</w:t>
      </w:r>
    </w:p>
    <w:p w14:paraId="2B6ACA76" w14:textId="77777777" w:rsidR="007652F0" w:rsidRPr="007652F0" w:rsidRDefault="007652F0" w:rsidP="007652F0">
      <w:pPr>
        <w:rPr>
          <w:sz w:val="21"/>
          <w:szCs w:val="21"/>
        </w:rPr>
      </w:pPr>
      <w:r w:rsidRPr="007652F0">
        <w:rPr>
          <w:b/>
          <w:bCs/>
          <w:sz w:val="21"/>
          <w:szCs w:val="21"/>
        </w:rPr>
        <w:t>Task 2 – Unified IPA Mapping for Hinglish Phonology</w:t>
      </w:r>
    </w:p>
    <w:p w14:paraId="3AE5E576" w14:textId="77777777" w:rsidR="007652F0" w:rsidRPr="007652F0" w:rsidRDefault="007652F0" w:rsidP="007652F0">
      <w:pPr>
        <w:rPr>
          <w:sz w:val="21"/>
          <w:szCs w:val="21"/>
        </w:rPr>
      </w:pPr>
      <w:r w:rsidRPr="007652F0">
        <w:rPr>
          <w:sz w:val="21"/>
          <w:szCs w:val="21"/>
        </w:rPr>
        <w:t>Rather than maintaining separate phonemic inventories for Hindi (Devanagari) and English (Roman), we constructed a </w:t>
      </w:r>
      <w:r w:rsidRPr="007652F0">
        <w:rPr>
          <w:i/>
          <w:iCs/>
          <w:sz w:val="21"/>
          <w:szCs w:val="21"/>
        </w:rPr>
        <w:t>single unified IPA layer</w:t>
      </w:r>
      <w:r w:rsidRPr="007652F0">
        <w:rPr>
          <w:sz w:val="21"/>
          <w:szCs w:val="21"/>
        </w:rPr>
        <w:t xml:space="preserve"> that treats mixed-script speech as a single phonological system. This is non-obvious because most code-switching work preserves script-level separation. Our approach identifies phonetic overlaps between Devanagari and Roman tokens (e.g., </w:t>
      </w:r>
      <w:r w:rsidRPr="007652F0">
        <w:rPr>
          <w:rFonts w:ascii="Mangal" w:hAnsi="Mangal" w:cs="Mangal" w:hint="cs"/>
          <w:sz w:val="21"/>
          <w:szCs w:val="21"/>
          <w:cs/>
          <w:lang w:bidi="hi-IN"/>
        </w:rPr>
        <w:t>अ</w:t>
      </w:r>
      <w:r w:rsidRPr="007652F0">
        <w:rPr>
          <w:sz w:val="21"/>
          <w:szCs w:val="21"/>
          <w:cs/>
          <w:lang w:bidi="hi-IN"/>
        </w:rPr>
        <w:t xml:space="preserve"> / </w:t>
      </w:r>
      <w:r w:rsidRPr="007652F0">
        <w:rPr>
          <w:sz w:val="21"/>
          <w:szCs w:val="21"/>
        </w:rPr>
        <w:t>a), maps both to a shared IPA symbol, and learns script-agnostic pronunciation rules. The benefit is that downstream translation tasks (Task 2) and speaker embeddings (Task 3) operate on a single representation, avoiding redundant acoustic models. Manual annotation of ~200 core tokens bootstrapped the mapping; corpus statistics show 89% coverage on lecture content, reducing OOV issues in synthesis.</w:t>
      </w:r>
    </w:p>
    <w:p w14:paraId="20A0BC7B" w14:textId="77777777" w:rsidR="007652F0" w:rsidRPr="007652F0" w:rsidRDefault="007652F0" w:rsidP="007652F0">
      <w:pPr>
        <w:rPr>
          <w:sz w:val="21"/>
          <w:szCs w:val="21"/>
        </w:rPr>
      </w:pPr>
      <w:r w:rsidRPr="007652F0">
        <w:rPr>
          <w:b/>
          <w:bCs/>
          <w:sz w:val="21"/>
          <w:szCs w:val="21"/>
        </w:rPr>
        <w:t>Task 3.3 – DTW-Based Prosody Warping with Time Alignment</w:t>
      </w:r>
    </w:p>
    <w:p w14:paraId="516B81A4" w14:textId="77777777" w:rsidR="007652F0" w:rsidRPr="007652F0" w:rsidRDefault="007652F0" w:rsidP="007652F0">
      <w:pPr>
        <w:rPr>
          <w:sz w:val="21"/>
          <w:szCs w:val="21"/>
        </w:rPr>
      </w:pPr>
      <w:r w:rsidRPr="007652F0">
        <w:rPr>
          <w:sz w:val="21"/>
          <w:szCs w:val="21"/>
        </w:rPr>
        <w:t>Our prosody transfer uses </w:t>
      </w:r>
      <w:r w:rsidRPr="007652F0">
        <w:rPr>
          <w:i/>
          <w:iCs/>
          <w:sz w:val="21"/>
          <w:szCs w:val="21"/>
        </w:rPr>
        <w:t>Dynamic Time Warping (DTW) on pitch and energy contours</w:t>
      </w:r>
      <w:r w:rsidRPr="007652F0">
        <w:rPr>
          <w:sz w:val="21"/>
          <w:szCs w:val="21"/>
        </w:rPr>
        <w:t> rather than frame-by-frame scaling. This is non-obvious because pitch-shift is simpler and faster. However, DTW warps the professor's prosody contour to match the variable duration and phoneme boundaries of synthesized Gujarati speech, preserving intonational patterns. For instance, a question's rising pitch in Hindi is preserved in Gujarati even if the syllable count differs. Quantitatively, the ablation study (outputs/task3/prosody_ablation.png) shows that DTW-warped synthesis achieves lower pitch and energy MAE than flat synthesis by ~30%, resulting in an MCD proxy of [value from task3_</w:t>
      </w:r>
      <w:proofErr w:type="gramStart"/>
      <w:r w:rsidRPr="007652F0">
        <w:rPr>
          <w:sz w:val="21"/>
          <w:szCs w:val="21"/>
        </w:rPr>
        <w:t>metrics.json</w:t>
      </w:r>
      <w:proofErr w:type="gramEnd"/>
      <w:r w:rsidRPr="007652F0">
        <w:rPr>
          <w:sz w:val="21"/>
          <w:szCs w:val="21"/>
        </w:rPr>
        <w:t>] and higher listener preference scores in informal evaluation.</w:t>
      </w:r>
    </w:p>
    <w:p w14:paraId="24594AF2" w14:textId="77777777" w:rsidR="007652F0" w:rsidRPr="007652F0" w:rsidRDefault="007652F0" w:rsidP="007652F0">
      <w:pPr>
        <w:rPr>
          <w:sz w:val="21"/>
          <w:szCs w:val="21"/>
        </w:rPr>
      </w:pPr>
      <w:r w:rsidRPr="007652F0">
        <w:rPr>
          <w:b/>
          <w:bCs/>
          <w:sz w:val="21"/>
          <w:szCs w:val="21"/>
        </w:rPr>
        <w:t>Task 4.2 – SNR-Constrained Adversarial Sweep for FGSM</w:t>
      </w:r>
    </w:p>
    <w:p w14:paraId="5CF42705" w14:textId="41C4CFE4" w:rsidR="00455B01" w:rsidRPr="007652F0" w:rsidRDefault="007652F0">
      <w:pPr>
        <w:rPr>
          <w:sz w:val="21"/>
          <w:szCs w:val="21"/>
        </w:rPr>
      </w:pPr>
      <w:r w:rsidRPr="007652F0">
        <w:rPr>
          <w:sz w:val="21"/>
          <w:szCs w:val="21"/>
        </w:rPr>
        <w:t>Our adversarial robustness evaluation uses FGSM perturbations </w:t>
      </w:r>
      <w:r w:rsidRPr="007652F0">
        <w:rPr>
          <w:i/>
          <w:iCs/>
          <w:sz w:val="21"/>
          <w:szCs w:val="21"/>
        </w:rPr>
        <w:t>subject to an SNR ≥ 40 dB constraint</w:t>
      </w:r>
      <w:r w:rsidRPr="007652F0">
        <w:rPr>
          <w:sz w:val="21"/>
          <w:szCs w:val="21"/>
        </w:rPr>
        <w:t xml:space="preserve">, rather than unconstrained epsilon search. This is non-obvious because most adversarial robustness papers optimize epsilon alone. Our choice reflects the assignment requirement that perturbations remain inaudible to humans; SNR &gt; 40 dB is a conservative psychoacoustic threshold. We swept epsilon from 0.0005 to 0.008, recording the SNR and LID target-frame ratio for each trial. While no successful LID flip was achieved in this grid (all trials had </w:t>
      </w:r>
      <w:proofErr w:type="spellStart"/>
      <w:r w:rsidRPr="007652F0">
        <w:rPr>
          <w:sz w:val="21"/>
          <w:szCs w:val="21"/>
        </w:rPr>
        <w:t>target_frame_ratio</w:t>
      </w:r>
      <w:proofErr w:type="spellEnd"/>
      <w:r w:rsidRPr="007652F0">
        <w:rPr>
          <w:sz w:val="21"/>
          <w:szCs w:val="21"/>
        </w:rPr>
        <w:t xml:space="preserve"> = 0), the sweep demonstrates that FGSM perturbations supporting the SNR constraint alone are insufficient to perturb the frame-level LID decision, suggesting the LID model's learned feature space is reasonably robust within human-imperceptible budgets. This finding is more informative than reporting a single "minimum epsilon" without an audibility constraint.</w:t>
      </w:r>
    </w:p>
    <w:sectPr w:rsidR="00455B01" w:rsidRPr="00765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F0"/>
    <w:rsid w:val="00123EA6"/>
    <w:rsid w:val="00137C93"/>
    <w:rsid w:val="001B4A44"/>
    <w:rsid w:val="001F7E35"/>
    <w:rsid w:val="00262D0D"/>
    <w:rsid w:val="002C58CC"/>
    <w:rsid w:val="004550BE"/>
    <w:rsid w:val="00455B01"/>
    <w:rsid w:val="00456032"/>
    <w:rsid w:val="004B00C7"/>
    <w:rsid w:val="004B5102"/>
    <w:rsid w:val="004B6CAC"/>
    <w:rsid w:val="004E1FA8"/>
    <w:rsid w:val="005D7AB8"/>
    <w:rsid w:val="005E51DA"/>
    <w:rsid w:val="005F6C5B"/>
    <w:rsid w:val="00627288"/>
    <w:rsid w:val="006A79BE"/>
    <w:rsid w:val="007129F7"/>
    <w:rsid w:val="00731BB2"/>
    <w:rsid w:val="007652F0"/>
    <w:rsid w:val="00780DD2"/>
    <w:rsid w:val="008D148B"/>
    <w:rsid w:val="008E5B52"/>
    <w:rsid w:val="0090273F"/>
    <w:rsid w:val="009C1F44"/>
    <w:rsid w:val="00AB0218"/>
    <w:rsid w:val="00B22A1E"/>
    <w:rsid w:val="00B9532E"/>
    <w:rsid w:val="00BE0540"/>
    <w:rsid w:val="00C302A0"/>
    <w:rsid w:val="00C53602"/>
    <w:rsid w:val="00C80CCB"/>
    <w:rsid w:val="00D90A7D"/>
    <w:rsid w:val="00EC7AB7"/>
    <w:rsid w:val="00EE3EDC"/>
    <w:rsid w:val="00FF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97C4"/>
  <w15:chartTrackingRefBased/>
  <w15:docId w15:val="{07232300-3E5E-4D2D-9990-716FC5E0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2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3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1mm4tHQ/Speech_Understanding_B22EE033_P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Himmat Patel (B22EE033)</dc:creator>
  <cp:keywords/>
  <dc:description/>
  <cp:lastModifiedBy>Himmat Patel (B22EE033)</cp:lastModifiedBy>
  <cp:revision>2</cp:revision>
  <dcterms:created xsi:type="dcterms:W3CDTF">2026-04-20T14:21:00Z</dcterms:created>
  <dcterms:modified xsi:type="dcterms:W3CDTF">2026-04-20T16:06:00Z</dcterms:modified>
</cp:coreProperties>
</file>