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360"/>
        <w:jc w:val="center"/>
      </w:pPr>
      <w:r>
        <w:rPr>
          <w:rFonts w:ascii="Times New Roman" w:hAnsi="Times New Roman"/>
          <w:b/>
          <w:sz w:val="36"/>
        </w:rPr>
        <w:t>Reference List</w:t>
      </w:r>
    </w:p>
    <w:p>
      <w:pPr>
        <w:spacing w:after="480"/>
        <w:jc w:val="center"/>
      </w:pPr>
      <w:r>
        <w:rPr>
          <w:i/>
          <w:sz w:val="22"/>
        </w:rPr>
        <w:t>Research Topic: Key Factors Affecting the Early Closure of Small Businesses in Kazakhstan</w:t>
      </w:r>
    </w:p>
    <w:p>
      <w:pPr>
        <w:spacing w:after="240" w:line="360" w:lineRule="auto"/>
        <w:ind w:left="720" w:hanging="720"/>
      </w:pPr>
      <w:r>
        <w:t>Altman, E. I., &amp; Hotchkiss, E. (2006). Corporate Financial Distress and Bankruptcy: Predictors and Avoidance of Interest Rate, Credit, and Market Risk (3rd ed.). John Wiley &amp; Sons.</w:t>
        <w:br/>
      </w:r>
      <w:r>
        <w:rPr>
          <w:color w:val="003399"/>
          <w:sz w:val="20"/>
        </w:rPr>
        <w:t>URL: https://www.wiley.com/en-us/Corporate+Financial+Distress+and+Bankruptcy%3A+Predictors+and+Avoidance+of+Investment+and+Credit+Risk%2C+3rd+Edition-p-9780471691891</w:t>
      </w:r>
    </w:p>
    <w:p>
      <w:pPr>
        <w:spacing w:after="240" w:line="360" w:lineRule="auto"/>
        <w:ind w:left="720" w:hanging="720"/>
      </w:pPr>
      <w:r>
        <w:t>Audretsch, D. B. (1995). Innovation and Industry Evolution. MIT Press.</w:t>
        <w:br/>
      </w:r>
      <w:r>
        <w:rPr>
          <w:color w:val="003399"/>
          <w:sz w:val="20"/>
        </w:rPr>
        <w:t>URL: https://mitpress.mit.edu/9780262011464/innovation-and-industry-evolution/</w:t>
      </w:r>
    </w:p>
    <w:p>
      <w:pPr>
        <w:spacing w:after="240" w:line="360" w:lineRule="auto"/>
        <w:ind w:left="720" w:hanging="720"/>
      </w:pPr>
      <w:r>
        <w:t>Ayyagari, M., Demirgüç-Kunt, A., &amp; Maksimovic, V. (2011). Small vs. Young Firms Across the World: Contribution to Employment, Job Creation, and Growth. World Bank Policy Research Working Paper No. 5631.</w:t>
        <w:br/>
      </w:r>
      <w:r>
        <w:rPr>
          <w:color w:val="003399"/>
          <w:sz w:val="20"/>
        </w:rPr>
        <w:t>URL: https://openknowledge.worldbank.org/handle/10986/3381</w:t>
      </w:r>
    </w:p>
    <w:p>
      <w:pPr>
        <w:spacing w:after="240" w:line="360" w:lineRule="auto"/>
        <w:ind w:left="720" w:hanging="720"/>
      </w:pPr>
      <w:r>
        <w:t>Banawa, R. (2025). Introduction to Mixed Methods Research Designs. Academic Press.</w:t>
        <w:br/>
      </w:r>
      <w:r>
        <w:rPr>
          <w:color w:val="003399"/>
          <w:sz w:val="20"/>
        </w:rPr>
        <w:t>URL: https://www.sciencedirect.com/book/9780128200001</w:t>
      </w:r>
    </w:p>
    <w:p>
      <w:pPr>
        <w:spacing w:after="240" w:line="360" w:lineRule="auto"/>
        <w:ind w:left="720" w:hanging="720"/>
      </w:pPr>
      <w:r>
        <w:t>Bartik, A. W., Bertrand, M., Cullen, Z., Glaeser, E. L., Luca, M., &amp; Stanton, C. (2020). The impact of COVID-19 on small business outcomes and expectations. Proceedings of the National Academy of Sciences, 117(30), 17656-17666.</w:t>
        <w:br/>
      </w:r>
      <w:r>
        <w:rPr>
          <w:color w:val="003399"/>
          <w:sz w:val="20"/>
        </w:rPr>
        <w:t>URL: https://www.pnas.org/doi/10.1073/pnas.2006991117</w:t>
      </w:r>
    </w:p>
    <w:p>
      <w:pPr>
        <w:spacing w:after="240" w:line="360" w:lineRule="auto"/>
        <w:ind w:left="720" w:hanging="720"/>
      </w:pPr>
      <w:r>
        <w:t>Beck, T., &amp; Demirgüç-Kunt, A. (2006). Small and medium-size enterprises: Access to finance as a growth constraint. Journal of Banking &amp; Finance, 30(11), 2931-2943.</w:t>
        <w:br/>
      </w:r>
      <w:r>
        <w:rPr>
          <w:color w:val="003399"/>
          <w:sz w:val="20"/>
        </w:rPr>
        <w:t>URL: https://doi.org/10.1016/j.jbankfin.2006.05.009</w:t>
      </w:r>
    </w:p>
    <w:p>
      <w:pPr>
        <w:spacing w:after="240" w:line="360" w:lineRule="auto"/>
        <w:ind w:left="720" w:hanging="720"/>
      </w:pPr>
      <w:r>
        <w:t>Braun, V., &amp; Clarke, V. (2021). Thematic Analysis: A Practical Guide. SAGE Publications.</w:t>
        <w:br/>
      </w:r>
      <w:r>
        <w:rPr>
          <w:color w:val="003399"/>
          <w:sz w:val="20"/>
        </w:rPr>
        <w:t>URL: https://uk.sagepub.com/en-gb/eur/thematic-analysis/book248481</w:t>
      </w:r>
    </w:p>
    <w:p>
      <w:pPr>
        <w:spacing w:after="240" w:line="360" w:lineRule="auto"/>
        <w:ind w:left="720" w:hanging="720"/>
      </w:pPr>
      <w:r>
        <w:t>British Educational Research Association [BERA]. (2018). Ethical Guidelines for Educational Research (4th ed.).</w:t>
        <w:br/>
      </w:r>
      <w:r>
        <w:rPr>
          <w:color w:val="003399"/>
          <w:sz w:val="20"/>
        </w:rPr>
        <w:t>URL: https://www.bera.ac.uk/publication/ethical-guidelines-for-educational-research-2018</w:t>
      </w:r>
    </w:p>
    <w:p>
      <w:pPr>
        <w:spacing w:after="240" w:line="360" w:lineRule="auto"/>
        <w:ind w:left="720" w:hanging="720"/>
      </w:pPr>
      <w:r>
        <w:t>Carpenter, R. E., &amp; Petersen, B. C. (2002). Is the growth of small firms constrained by internal finance? The Review of Economics and Statistics, 84(2), 298-309.</w:t>
        <w:br/>
      </w:r>
      <w:r>
        <w:rPr>
          <w:color w:val="003399"/>
          <w:sz w:val="20"/>
        </w:rPr>
        <w:t>URL: https://doi.org/10.1162/003465302317411541</w:t>
      </w:r>
    </w:p>
    <w:p>
      <w:pPr>
        <w:spacing w:after="240" w:line="360" w:lineRule="auto"/>
        <w:ind w:left="720" w:hanging="720"/>
      </w:pPr>
      <w:r>
        <w:t>Coad, A. (2013). Death is not a binary outcome: Variants of corporate exit. Structural Change and Economic Dynamics, 24, 1-15.</w:t>
        <w:br/>
      </w:r>
      <w:r>
        <w:rPr>
          <w:color w:val="003399"/>
          <w:sz w:val="20"/>
        </w:rPr>
        <w:t>URL: https://doi.org/10.1016/j.strueco.2012.11.002</w:t>
      </w:r>
    </w:p>
    <w:p>
      <w:pPr>
        <w:spacing w:after="240" w:line="360" w:lineRule="auto"/>
        <w:ind w:left="720" w:hanging="720"/>
      </w:pPr>
      <w:r>
        <w:t>Creswell, J. W. (2014). Research Design: Qualitative, Quantitative, and Mixed Methods Approaches (4th ed.). SAGE Publications.</w:t>
        <w:br/>
      </w:r>
      <w:r>
        <w:rPr>
          <w:color w:val="003399"/>
          <w:sz w:val="20"/>
        </w:rPr>
        <w:t>URL: https://www.sagepub.com/en-us/nam/research-design/book241738</w:t>
      </w:r>
    </w:p>
    <w:p>
      <w:pPr>
        <w:spacing w:after="240" w:line="360" w:lineRule="auto"/>
        <w:ind w:left="720" w:hanging="720"/>
      </w:pPr>
      <w:r>
        <w:t>DeVellis, R. F., &amp; Thorpe, C. T. (2021). Scale Development: Theory and Applications (5th ed.). SAGE Publications.</w:t>
        <w:br/>
      </w:r>
      <w:r>
        <w:rPr>
          <w:color w:val="003399"/>
          <w:sz w:val="20"/>
        </w:rPr>
        <w:t>URL: https://www.sagepub.com/en-us/nam/scale-development/book273891</w:t>
      </w:r>
    </w:p>
    <w:p>
      <w:pPr>
        <w:spacing w:after="240" w:line="360" w:lineRule="auto"/>
        <w:ind w:left="720" w:hanging="720"/>
      </w:pPr>
      <w:r>
        <w:t>Didier, T., Huneeus, F., Larrain, M., &amp; Schmukler, S. L. (2021). Financing firms in hibernation during the COVID-19 pandemic. Journal of Financial Stability, 53, 100823.</w:t>
        <w:br/>
      </w:r>
      <w:r>
        <w:rPr>
          <w:color w:val="003399"/>
          <w:sz w:val="20"/>
        </w:rPr>
        <w:t>URL: https://doi.org/10.1016/j.jfs.2020.100823</w:t>
      </w:r>
    </w:p>
    <w:p>
      <w:pPr>
        <w:spacing w:after="240" w:line="360" w:lineRule="auto"/>
        <w:ind w:left="720" w:hanging="720"/>
      </w:pPr>
      <w:r>
        <w:t>Dwivedi, Y. K., Hughes, L., Ismagilova, E., et al. (2021). Artificial Intelligence (AI): Multidisciplinary perspectives on emerging challenges, opportunities, and agenda for research, practice and policy. International Journal of Information Management, 57, 101994.</w:t>
        <w:br/>
      </w:r>
      <w:r>
        <w:rPr>
          <w:color w:val="003399"/>
          <w:sz w:val="20"/>
        </w:rPr>
        <w:t>URL: https://doi.org/10.1016/j.ijinfomgt.2019.08.002</w:t>
      </w:r>
    </w:p>
    <w:p>
      <w:pPr>
        <w:spacing w:after="240" w:line="360" w:lineRule="auto"/>
        <w:ind w:left="720" w:hanging="720"/>
      </w:pPr>
      <w:r>
        <w:t>Gaskill, L. R., Van Auken, H. E., &amp; Manning, R. A. (1993). A factor analytic study of the perceived causes of small business failure. Journal of Small Business Management, 31(4), 18-31.</w:t>
        <w:br/>
      </w:r>
      <w:r>
        <w:rPr>
          <w:color w:val="003399"/>
          <w:sz w:val="20"/>
        </w:rPr>
        <w:t>URL: https://www.proquest.com/openview/ed17326ec5e6fe7d7809939e083c74ff/1</w:t>
      </w:r>
    </w:p>
    <w:p>
      <w:pPr>
        <w:spacing w:after="240" w:line="360" w:lineRule="auto"/>
        <w:ind w:left="720" w:hanging="720"/>
      </w:pPr>
      <w:r>
        <w:t>Kraus, S., Clauss, T., Breier, M., Gast, J., Zardini, A., &amp; Tiberius, V. (2020). The behavioral economics of COVID-19: Why small business failures are not always identical. Journal of Business Research, 120, 233-242.</w:t>
        <w:br/>
      </w:r>
      <w:r>
        <w:rPr>
          <w:color w:val="003399"/>
          <w:sz w:val="20"/>
        </w:rPr>
        <w:t>URL: https://doi.org/10.1016/j.jbusres.2020.07.039</w:t>
      </w:r>
    </w:p>
    <w:p>
      <w:pPr>
        <w:spacing w:after="240" w:line="360" w:lineRule="auto"/>
        <w:ind w:left="720" w:hanging="720"/>
      </w:pPr>
      <w:r>
        <w:t>Organization for Economic Co-operation and Development [OECD]. (2017). Small, Medium, Strong. Trends in SME Performance and Business Conditions. OECD Publishing.</w:t>
        <w:br/>
      </w:r>
      <w:r>
        <w:rPr>
          <w:color w:val="003399"/>
          <w:sz w:val="20"/>
        </w:rPr>
        <w:t>URL: https://doi.org/10.1787/9789264275683-en</w:t>
      </w:r>
    </w:p>
    <w:p>
      <w:pPr>
        <w:spacing w:after="240" w:line="360" w:lineRule="auto"/>
        <w:ind w:left="720" w:hanging="720"/>
      </w:pPr>
      <w:r>
        <w:t>Organization for Economic Co-operation and Development [OECD]. (2021). One year of SME and entrepreneurship policy responses to COVID-19: Lessons learned to “build back better”. OECD Publishing.</w:t>
        <w:br/>
      </w:r>
      <w:r>
        <w:rPr>
          <w:color w:val="003399"/>
          <w:sz w:val="20"/>
        </w:rPr>
        <w:t>URL: https://www.oecd.org/coronavirus/policy-responses/one-year-of-sme-and-entrepreneurship-policy-responses-to-covid-19-lessons-learned-to-build-back-better-9a2128e4/</w:t>
      </w:r>
    </w:p>
    <w:p>
      <w:pPr>
        <w:spacing w:after="240" w:line="360" w:lineRule="auto"/>
        <w:ind w:left="720" w:hanging="720"/>
      </w:pPr>
      <w:r>
        <w:t>Organization for Economic Co-operation and Development [OECD]. (2023). SME Policy Index: Eastern Partner Countries 2023 / OECD Investment Policy Reviews: Kazakhstan. OECD Publishing.</w:t>
        <w:br/>
      </w:r>
      <w:r>
        <w:rPr>
          <w:color w:val="003399"/>
          <w:sz w:val="20"/>
        </w:rPr>
        <w:t>URL: https://www.oecd.org/countries/kazakhstan/</w:t>
      </w:r>
    </w:p>
    <w:p>
      <w:pPr>
        <w:spacing w:after="240" w:line="360" w:lineRule="auto"/>
        <w:ind w:left="720" w:hanging="720"/>
      </w:pPr>
      <w:r>
        <w:t>Ritchie, J., &amp; Lewis, J. (Eds.). (2003). Qualitative Research Practice: A Guide for Social Science Students and Researchers. SAGE Publications.</w:t>
        <w:br/>
      </w:r>
      <w:r>
        <w:rPr>
          <w:color w:val="003399"/>
          <w:sz w:val="20"/>
        </w:rPr>
        <w:t>URL: https://uk.sagepub.com/en-gb/eur/qualitative-research-practice/book224195</w:t>
      </w:r>
    </w:p>
    <w:p>
      <w:pPr>
        <w:spacing w:after="240" w:line="360" w:lineRule="auto"/>
        <w:ind w:left="720" w:hanging="720"/>
      </w:pPr>
      <w:r>
        <w:t>Saumure, K., &amp; Given, L. M. (2008). Convenience Sampling. In The SAGE Encyclopedia of Qualitative Research Methods. SAGE Publications.</w:t>
        <w:br/>
      </w:r>
      <w:r>
        <w:rPr>
          <w:color w:val="003399"/>
          <w:sz w:val="20"/>
        </w:rPr>
        <w:t>URL: https://dx.doi.org/10.4135/9781412963909.n68</w:t>
      </w:r>
    </w:p>
    <w:p>
      <w:pPr>
        <w:spacing w:after="240" w:line="360" w:lineRule="auto"/>
        <w:ind w:left="720" w:hanging="720"/>
      </w:pPr>
      <w:r>
        <w:t>Stinchcombe, A. L. (1965). Social Structure and Organizations. In J. G. March (Ed.), Handbook of Organizations (pp. 142-193). Rand McNally.</w:t>
        <w:br/>
      </w:r>
      <w:r>
        <w:rPr>
          <w:color w:val="003399"/>
          <w:sz w:val="20"/>
        </w:rPr>
        <w:t>URL: https://www.worldcat.org/title/handbook-of-organizations/oclc/419346</w:t>
      </w:r>
    </w:p>
    <w:p>
      <w:pPr>
        <w:spacing w:after="240" w:line="360" w:lineRule="auto"/>
        <w:ind w:left="720" w:hanging="720"/>
      </w:pPr>
      <w:r>
        <w:t>Tashakkori, A., &amp; Teddlie, C. (Eds.). (2010). SAGE Handbook of Mixed Methods in Social &amp; Behavioral Research (2nd ed.). SAGE Publications.</w:t>
        <w:br/>
      </w:r>
      <w:r>
        <w:rPr>
          <w:color w:val="003399"/>
          <w:sz w:val="20"/>
        </w:rPr>
        <w:t>URL: https://www.sagepub.com/en-us/nam/sage-handbook-of-mixed-methods-in-social-behavioral-research/book234907</w:t>
      </w:r>
    </w:p>
    <w:p>
      <w:pPr>
        <w:spacing w:after="240" w:line="360" w:lineRule="auto"/>
        <w:ind w:left="720" w:hanging="720"/>
      </w:pPr>
      <w:r>
        <w:t>Ucbasaran, D., Westhead, P., Wright, M., &amp; Flores, M. (2010). The nature of entrepreneurial experience, business failure and comparative advantage. Journal of Business Venturing, 25(6), 541-555.</w:t>
        <w:br/>
      </w:r>
      <w:r>
        <w:rPr>
          <w:color w:val="003399"/>
          <w:sz w:val="20"/>
        </w:rPr>
        <w:t>URL: https://doi.org/10.1016/j.jbusvent.2009.04.001</w:t>
      </w:r>
    </w:p>
    <w:p>
      <w:pPr>
        <w:spacing w:after="240" w:line="360" w:lineRule="auto"/>
        <w:ind w:left="720" w:hanging="720"/>
      </w:pPr>
      <w:r>
        <w:t>Verhoef, P. C., Broekhuizen, T., Bart, Y., Bhattacharya, A., Dong, J. Q., Fabian, N., &amp; Haenlein, M. (2021). Digital transformation: A multidisciplinary reflection and research agenda. Journal of Business Research, 122, 889-901.</w:t>
        <w:br/>
      </w:r>
      <w:r>
        <w:rPr>
          <w:color w:val="003399"/>
          <w:sz w:val="20"/>
        </w:rPr>
        <w:t>URL: https://doi.org/10.1016/j.jbusres.2019.09.022</w:t>
      </w:r>
    </w:p>
    <w:p>
      <w:pPr>
        <w:spacing w:after="240" w:line="360" w:lineRule="auto"/>
        <w:ind w:left="720" w:hanging="720"/>
      </w:pPr>
      <w:r>
        <w:t>World Bank. (2021). Kazakhstan Economic Update: Navigating the Crisis. World Bank Group.</w:t>
        <w:br/>
      </w:r>
      <w:r>
        <w:rPr>
          <w:color w:val="003399"/>
          <w:sz w:val="20"/>
        </w:rPr>
        <w:t>URL: https://www.worldbank.org/en/country/kazakhstan/publication/economic-update-spring-2021</w:t>
      </w:r>
    </w:p>
    <w:p>
      <w:pPr>
        <w:spacing w:after="240" w:line="360" w:lineRule="auto"/>
        <w:ind w:left="720" w:hanging="720"/>
      </w:pPr>
      <w:r>
        <w:t>Yessengabyl, B., et al. (2022). Dynamics of SME Development and Firm Demography in Kazakhstan. Journal of Asian Finance, Economics and Business, 9(3), 115-124.</w:t>
        <w:br/>
      </w:r>
      <w:r>
        <w:rPr>
          <w:color w:val="003399"/>
          <w:sz w:val="20"/>
        </w:rPr>
        <w:t>URL: https://doi.org/10.13106/jafeb.2022.vol9.no3.115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EE019C11A88F64FB4510D8A036A7C49" ma:contentTypeVersion="4" ma:contentTypeDescription="Создание документа." ma:contentTypeScope="" ma:versionID="f91103532789095f6faf68cb5d838df6">
  <xsd:schema xmlns:xsd="http://www.w3.org/2001/XMLSchema" xmlns:xs="http://www.w3.org/2001/XMLSchema" xmlns:p="http://schemas.microsoft.com/office/2006/metadata/properties" xmlns:ns2="ca782bdd-6000-4ed0-a77c-8a9cdb3b8fd1" targetNamespace="http://schemas.microsoft.com/office/2006/metadata/properties" ma:root="true" ma:fieldsID="5a33eeefda2ba2038fb6c6f465e95ba8" ns2:_="">
    <xsd:import namespace="ca782bdd-6000-4ed0-a77c-8a9cdb3b8fd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782bdd-6000-4ed0-a77c-8a9cdb3b8fd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a782bdd-6000-4ed0-a77c-8a9cdb3b8fd1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839F057-1C66-4822-8E6B-2302AAE71D6C}"/>
</file>

<file path=customXml/itemProps3.xml><?xml version="1.0" encoding="utf-8"?>
<ds:datastoreItem xmlns:ds="http://schemas.openxmlformats.org/officeDocument/2006/customXml" ds:itemID="{70F12FE2-34A3-4817-B088-2FA56C6C6AA8}"/>
</file>

<file path=customXml/itemProps4.xml><?xml version="1.0" encoding="utf-8"?>
<ds:datastoreItem xmlns:ds="http://schemas.openxmlformats.org/officeDocument/2006/customXml" ds:itemID="{4D1E73E8-DFFF-4C57-8422-02C24995351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0x0101007EE019C11A88F64FB4510D8A036A7C49</vt:lpwstr>
  </property>
</Properties>
</file>