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xmlns:wp14="http://schemas.microsoft.com/office/word/2010/wordml" w:rsidR="00EC618F" w:rsidRDefault="000E5D19" w14:paraId="414AF66D" wp14:textId="77777777">
      <w:pPr>
        <w:rPr>
          <w:b/>
          <w:color w:val="0B5394"/>
          <w:sz w:val="26"/>
          <w:szCs w:val="26"/>
        </w:rPr>
      </w:pPr>
      <w:r>
        <w:rPr>
          <w:b/>
          <w:color w:val="0B5394"/>
          <w:sz w:val="26"/>
          <w:szCs w:val="26"/>
        </w:rPr>
        <w:t xml:space="preserve">Prompt: </w:t>
      </w:r>
    </w:p>
    <w:p xmlns:wp14="http://schemas.microsoft.com/office/word/2010/wordml" w:rsidR="00EC618F" w:rsidRDefault="000E5D19" w14:paraId="26C370A6" wp14:textId="77777777">
      <w:pPr>
        <w:rPr>
          <w:sz w:val="26"/>
          <w:szCs w:val="26"/>
        </w:rPr>
      </w:pPr>
      <w:r>
        <w:rPr>
          <w:sz w:val="26"/>
          <w:szCs w:val="26"/>
        </w:rPr>
        <w:t>You are a highly advanced medical AI assistant with expertise in differential diagnosis. Your task is to assist a research analyst in identifying the top 3 most likely differential diagnoses for a given medical case.</w:t>
      </w:r>
    </w:p>
    <w:p xmlns:wp14="http://schemas.microsoft.com/office/word/2010/wordml" w:rsidR="00EC618F" w:rsidRDefault="00EC618F" w14:paraId="672A6659" wp14:textId="77777777">
      <w:pPr>
        <w:rPr>
          <w:sz w:val="26"/>
          <w:szCs w:val="26"/>
        </w:rPr>
      </w:pPr>
    </w:p>
    <w:p xmlns:wp14="http://schemas.microsoft.com/office/word/2010/wordml" w:rsidR="00EC618F" w:rsidRDefault="000E5D19" w14:paraId="121B56EC" wp14:textId="77777777">
      <w:pPr>
        <w:rPr>
          <w:sz w:val="26"/>
          <w:szCs w:val="26"/>
        </w:rPr>
      </w:pPr>
      <w:r>
        <w:rPr>
          <w:sz w:val="26"/>
          <w:szCs w:val="26"/>
        </w:rPr>
        <w:t>Task Requirements:</w:t>
      </w:r>
    </w:p>
    <w:p xmlns:wp14="http://schemas.microsoft.com/office/word/2010/wordml" w:rsidR="00EC618F" w:rsidRDefault="000E5D19" w14:paraId="72AED1C0" wp14:textId="77777777">
      <w:pPr>
        <w:rPr>
          <w:sz w:val="26"/>
          <w:szCs w:val="26"/>
        </w:rPr>
      </w:pPr>
      <w:r>
        <w:rPr>
          <w:sz w:val="26"/>
          <w:szCs w:val="26"/>
        </w:rPr>
        <w:t>1. Analyze the provided medical history.</w:t>
      </w:r>
    </w:p>
    <w:p xmlns:wp14="http://schemas.microsoft.com/office/word/2010/wordml" w:rsidR="00EC618F" w:rsidRDefault="000E5D19" w14:paraId="34E107C6" wp14:textId="77777777">
      <w:pPr>
        <w:rPr>
          <w:sz w:val="26"/>
          <w:szCs w:val="26"/>
        </w:rPr>
      </w:pPr>
      <w:r>
        <w:rPr>
          <w:sz w:val="26"/>
          <w:szCs w:val="26"/>
        </w:rPr>
        <w:t>2. Generate the top 3 most likely differential diagnoses.</w:t>
      </w:r>
    </w:p>
    <w:p xmlns:wp14="http://schemas.microsoft.com/office/word/2010/wordml" w:rsidR="00EC618F" w:rsidRDefault="000E5D19" w14:paraId="3F869E2E" wp14:textId="77777777">
      <w:pPr>
        <w:rPr>
          <w:sz w:val="26"/>
          <w:szCs w:val="26"/>
        </w:rPr>
      </w:pPr>
      <w:r>
        <w:rPr>
          <w:sz w:val="26"/>
          <w:szCs w:val="26"/>
        </w:rPr>
        <w:t>3. Provide a*brief clinical reasoning behind each diagnosis.</w:t>
      </w:r>
    </w:p>
    <w:p xmlns:wp14="http://schemas.microsoft.com/office/word/2010/wordml" w:rsidR="00EC618F" w:rsidRDefault="00EC618F" w14:paraId="0A37501D" wp14:textId="77777777">
      <w:pPr>
        <w:rPr>
          <w:sz w:val="26"/>
          <w:szCs w:val="26"/>
        </w:rPr>
      </w:pPr>
    </w:p>
    <w:p xmlns:wp14="http://schemas.microsoft.com/office/word/2010/wordml" w:rsidR="00EC618F" w:rsidRDefault="000E5D19" w14:paraId="7FAB9490" wp14:textId="77777777">
      <w:pPr>
        <w:rPr>
          <w:sz w:val="26"/>
          <w:szCs w:val="26"/>
        </w:rPr>
      </w:pPr>
      <w:r>
        <w:rPr>
          <w:sz w:val="26"/>
          <w:szCs w:val="26"/>
        </w:rPr>
        <w:t>Return Format:</w:t>
      </w:r>
    </w:p>
    <w:p xmlns:wp14="http://schemas.microsoft.com/office/word/2010/wordml" w:rsidR="00EC618F" w:rsidRDefault="000E5D19" w14:paraId="3CAE435D" wp14:textId="77777777">
      <w:pPr>
        <w:rPr>
          <w:sz w:val="26"/>
          <w:szCs w:val="26"/>
        </w:rPr>
      </w:pPr>
      <w:r>
        <w:rPr>
          <w:sz w:val="26"/>
          <w:szCs w:val="26"/>
        </w:rPr>
        <w:t xml:space="preserve">  - Differential Diagnosis: Name of the condition.</w:t>
      </w:r>
    </w:p>
    <w:p xmlns:wp14="http://schemas.microsoft.com/office/word/2010/wordml" w:rsidR="00EC618F" w:rsidRDefault="000E5D19" w14:paraId="5BBA3DF9" wp14:textId="77777777">
      <w:pPr>
        <w:rPr>
          <w:sz w:val="26"/>
          <w:szCs w:val="26"/>
        </w:rPr>
      </w:pPr>
      <w:r>
        <w:rPr>
          <w:sz w:val="26"/>
          <w:szCs w:val="26"/>
        </w:rPr>
        <w:t xml:space="preserve">  - Reasoning: Why this condition is likely based on the given case.</w:t>
      </w:r>
    </w:p>
    <w:p xmlns:wp14="http://schemas.microsoft.com/office/word/2010/wordml" w:rsidR="00EC618F" w:rsidRDefault="00EC618F" w14:paraId="5DAB6C7B" wp14:textId="77777777">
      <w:pPr>
        <w:rPr>
          <w:sz w:val="26"/>
          <w:szCs w:val="26"/>
        </w:rPr>
      </w:pPr>
    </w:p>
    <w:p xmlns:wp14="http://schemas.microsoft.com/office/word/2010/wordml" w:rsidR="00EC618F" w:rsidRDefault="00EC618F" w14:paraId="02EB378F" wp14:textId="77777777">
      <w:pPr>
        <w:rPr>
          <w:sz w:val="26"/>
          <w:szCs w:val="26"/>
        </w:rPr>
      </w:pPr>
    </w:p>
    <w:p xmlns:wp14="http://schemas.microsoft.com/office/word/2010/wordml" w:rsidR="00EC618F" w:rsidRDefault="000E5D19" w14:paraId="189EA579" wp14:textId="77777777">
      <w:pPr>
        <w:rPr>
          <w:sz w:val="26"/>
          <w:szCs w:val="26"/>
        </w:rPr>
      </w:pPr>
      <w:r>
        <w:rPr>
          <w:sz w:val="26"/>
          <w:szCs w:val="26"/>
        </w:rPr>
        <w:t>Case Summary:</w:t>
      </w:r>
    </w:p>
    <w:p xmlns:wp14="http://schemas.microsoft.com/office/word/2010/wordml" w:rsidR="00EC618F" w:rsidRDefault="00EC618F" w14:paraId="6A05A809" wp14:textId="77777777">
      <w:pPr>
        <w:rPr>
          <w:sz w:val="26"/>
          <w:szCs w:val="26"/>
        </w:rPr>
      </w:pPr>
    </w:p>
    <w:p xmlns:wp14="http://schemas.microsoft.com/office/word/2010/wordml" w:rsidR="00EC618F" w:rsidRDefault="00EC618F" w14:paraId="5A39BBE3" wp14:textId="77777777">
      <w:pPr>
        <w:rPr>
          <w:sz w:val="26"/>
          <w:szCs w:val="26"/>
        </w:rPr>
      </w:pPr>
    </w:p>
    <w:p xmlns:wp14="http://schemas.microsoft.com/office/word/2010/wordml" w:rsidR="00EC618F" w:rsidRDefault="000E5D19" w14:paraId="362F22E1" wp14:textId="77777777">
      <w:pPr>
        <w:rPr>
          <w:sz w:val="26"/>
          <w:szCs w:val="26"/>
        </w:rPr>
      </w:pPr>
      <w:r>
        <w:rPr>
          <w:sz w:val="26"/>
          <w:szCs w:val="26"/>
        </w:rPr>
        <w:t>Case Brief:</w:t>
      </w:r>
    </w:p>
    <w:p xmlns:wp14="http://schemas.microsoft.com/office/word/2010/wordml" w:rsidR="00EC618F" w:rsidRDefault="00EC618F" w14:paraId="41C8F396" wp14:textId="77777777">
      <w:pPr>
        <w:rPr>
          <w:sz w:val="26"/>
          <w:szCs w:val="26"/>
        </w:rPr>
      </w:pPr>
    </w:p>
    <w:p xmlns:wp14="http://schemas.microsoft.com/office/word/2010/wordml" w:rsidR="00EC618F" w:rsidRDefault="00EC618F" w14:paraId="72A3D3EC" wp14:textId="77777777">
      <w:pPr>
        <w:rPr>
          <w:sz w:val="26"/>
          <w:szCs w:val="26"/>
        </w:rPr>
      </w:pPr>
    </w:p>
    <w:p xmlns:wp14="http://schemas.microsoft.com/office/word/2010/wordml" w:rsidR="00EC618F" w:rsidRDefault="000E5D19" w14:paraId="3D460186" wp14:textId="77777777">
      <w:pPr>
        <w:rPr>
          <w:sz w:val="26"/>
          <w:szCs w:val="26"/>
        </w:rPr>
      </w:pPr>
      <w:r>
        <w:rPr>
          <w:sz w:val="26"/>
          <w:szCs w:val="26"/>
        </w:rPr>
        <w:t>---</w:t>
      </w:r>
    </w:p>
    <w:p xmlns:wp14="http://schemas.microsoft.com/office/word/2010/wordml" w:rsidR="00EC618F" w:rsidRDefault="000E5D19" w14:paraId="554D3044" wp14:textId="77777777">
      <w:pPr>
        <w:rPr>
          <w:sz w:val="26"/>
          <w:szCs w:val="26"/>
        </w:rPr>
      </w:pPr>
      <w:r>
        <w:rPr>
          <w:sz w:val="26"/>
          <w:szCs w:val="26"/>
        </w:rPr>
        <w:t>Constraints:</w:t>
      </w:r>
    </w:p>
    <w:p xmlns:wp14="http://schemas.microsoft.com/office/word/2010/wordml" w:rsidR="00EC618F" w:rsidRDefault="000E5D19" w14:paraId="0F62B3D8" wp14:textId="77777777">
      <w:pPr>
        <w:rPr>
          <w:sz w:val="26"/>
          <w:szCs w:val="26"/>
        </w:rPr>
      </w:pPr>
      <w:r>
        <w:rPr>
          <w:sz w:val="26"/>
          <w:szCs w:val="26"/>
        </w:rPr>
        <w:t>- If information is insufficient to make a confident diagnosis, mention "additional tests required".</w:t>
      </w:r>
    </w:p>
    <w:p xmlns:wp14="http://schemas.microsoft.com/office/word/2010/wordml" w:rsidR="00EC618F" w:rsidRDefault="000E5D19" w14:paraId="02D0B68F" wp14:textId="77777777">
      <w:pPr>
        <w:rPr>
          <w:sz w:val="26"/>
          <w:szCs w:val="26"/>
        </w:rPr>
      </w:pPr>
      <w:r>
        <w:rPr>
          <w:sz w:val="26"/>
          <w:szCs w:val="26"/>
        </w:rPr>
        <w:t>- Do not speculate beyond the given data.</w:t>
      </w:r>
    </w:p>
    <w:p xmlns:wp14="http://schemas.microsoft.com/office/word/2010/wordml" w:rsidR="00EC618F" w:rsidRDefault="000E5D19" w14:paraId="087464AF" wp14:textId="77777777">
      <w:pPr>
        <w:rPr>
          <w:sz w:val="26"/>
          <w:szCs w:val="26"/>
        </w:rPr>
      </w:pPr>
      <w:r>
        <w:rPr>
          <w:sz w:val="26"/>
          <w:szCs w:val="26"/>
        </w:rPr>
        <w:t>- Focus on evidence-based reasoning.</w:t>
      </w:r>
    </w:p>
    <w:p xmlns:wp14="http://schemas.microsoft.com/office/word/2010/wordml" w:rsidR="00EC618F" w:rsidRDefault="00EC618F" w14:paraId="0D0B940D" wp14:textId="77777777">
      <w:pPr>
        <w:rPr>
          <w:b/>
          <w:sz w:val="26"/>
          <w:szCs w:val="26"/>
        </w:rPr>
      </w:pPr>
    </w:p>
    <w:p xmlns:wp14="http://schemas.microsoft.com/office/word/2010/wordml" w:rsidR="00EC618F" w:rsidRDefault="000E5D19" w14:paraId="0E6533CF" wp14:textId="77777777">
      <w:pPr>
        <w:rPr>
          <w:b/>
          <w:sz w:val="26"/>
          <w:szCs w:val="26"/>
        </w:rPr>
      </w:pPr>
      <w:r>
        <w:rPr>
          <w:b/>
          <w:sz w:val="26"/>
          <w:szCs w:val="26"/>
        </w:rPr>
        <w:t>NEJMcpc2402485</w:t>
      </w:r>
    </w:p>
    <w:p xmlns:wp14="http://schemas.microsoft.com/office/word/2010/wordml" w:rsidR="00EC618F" w:rsidRDefault="000E5D19" w14:paraId="1CEB948E" wp14:textId="77777777">
      <w:pPr>
        <w:rPr>
          <w:sz w:val="26"/>
          <w:szCs w:val="26"/>
          <w:u w:val="single"/>
        </w:rPr>
      </w:pPr>
      <w:r>
        <w:rPr>
          <w:b/>
          <w:sz w:val="26"/>
          <w:szCs w:val="26"/>
        </w:rPr>
        <w:t>Case 1 brief:</w:t>
      </w:r>
      <w:r>
        <w:rPr>
          <w:sz w:val="26"/>
          <w:szCs w:val="26"/>
        </w:rPr>
        <w:t xml:space="preserve"> </w:t>
      </w:r>
      <w:r>
        <w:rPr>
          <w:sz w:val="26"/>
          <w:szCs w:val="26"/>
          <w:u w:val="single"/>
        </w:rPr>
        <w:t>A 10-Month-Old Boy with Vomiting and Hypercalcemia</w:t>
      </w:r>
    </w:p>
    <w:p xmlns:wp14="http://schemas.microsoft.com/office/word/2010/wordml" w:rsidR="00EC618F" w:rsidRDefault="000E5D19" w14:paraId="70EF3ECB" wp14:textId="77777777">
      <w:pPr>
        <w:rPr>
          <w:sz w:val="26"/>
          <w:szCs w:val="26"/>
          <w:u w:val="single"/>
        </w:rPr>
      </w:pPr>
      <w:r>
        <w:rPr>
          <w:b/>
          <w:sz w:val="26"/>
          <w:szCs w:val="26"/>
        </w:rPr>
        <w:t xml:space="preserve">Case 1 summary: </w:t>
      </w:r>
      <w:r>
        <w:rPr>
          <w:sz w:val="26"/>
          <w:szCs w:val="26"/>
          <w:u w:val="single"/>
        </w:rPr>
        <w:t>10-month-old boy with 2-week progressive vomiting, weight loss, and excessive thirst; labs show hypercalcemia. Exam reveals dehydration and dry skin; hospitalization needed for further evaluation and management.</w:t>
      </w:r>
    </w:p>
    <w:p xmlns:wp14="http://schemas.microsoft.com/office/word/2010/wordml" w:rsidR="00EC618F" w:rsidRDefault="00EC618F" w14:paraId="0E27B00A" wp14:textId="77777777">
      <w:pPr>
        <w:rPr>
          <w:b/>
        </w:rPr>
      </w:pPr>
    </w:p>
    <w:p xmlns:wp14="http://schemas.microsoft.com/office/word/2010/wordml" w:rsidR="00EC618F" w:rsidRDefault="000E5D19" w14:paraId="6F049199" wp14:textId="77777777">
      <w:pPr>
        <w:spacing w:before="240" w:after="240"/>
      </w:pPr>
      <w:r>
        <w:t>Here is the structured differential diagnosis table based on the provided case details:</w:t>
      </w:r>
    </w:p>
    <w:tbl>
      <w:tblPr>
        <w:tblStyle w:val="a5"/>
        <w:tblW w:w="923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035"/>
        <w:gridCol w:w="6200"/>
      </w:tblGrid>
      <w:tr xmlns:wp14="http://schemas.microsoft.com/office/word/2010/wordml" w:rsidR="00EC618F" w:rsidTr="5772F532" w14:paraId="3354938B" wp14:textId="77777777">
        <w:trPr>
          <w:trHeight w:val="545"/>
        </w:trPr>
        <w:tc>
          <w:tcPr>
            <w:tcW w:w="3035" w:type="dxa"/>
            <w:tcBorders>
              <w:top w:val="nil"/>
              <w:left w:val="nil"/>
              <w:bottom w:val="nil"/>
              <w:right w:val="nil"/>
            </w:tcBorders>
            <w:tcMar>
              <w:top w:w="100" w:type="dxa"/>
              <w:left w:w="100" w:type="dxa"/>
              <w:bottom w:w="100" w:type="dxa"/>
              <w:right w:w="100" w:type="dxa"/>
            </w:tcMar>
          </w:tcPr>
          <w:p w:rsidR="00EC618F" w:rsidRDefault="000E5D19" w14:paraId="7BE2531C" wp14:textId="77777777">
            <w:pPr>
              <w:jc w:val="center"/>
            </w:pPr>
            <w:r>
              <w:rPr>
                <w:b/>
              </w:rPr>
              <w:t>Differential Diagnosis</w:t>
            </w:r>
          </w:p>
        </w:tc>
        <w:tc>
          <w:tcPr>
            <w:tcW w:w="6200" w:type="dxa"/>
            <w:tcBorders>
              <w:top w:val="nil"/>
              <w:left w:val="nil"/>
              <w:bottom w:val="nil"/>
              <w:right w:val="nil"/>
            </w:tcBorders>
            <w:tcMar>
              <w:top w:w="100" w:type="dxa"/>
              <w:left w:w="100" w:type="dxa"/>
              <w:bottom w:w="100" w:type="dxa"/>
              <w:right w:w="100" w:type="dxa"/>
            </w:tcMar>
          </w:tcPr>
          <w:p w:rsidR="00EC618F" w:rsidRDefault="000E5D19" w14:paraId="39E3CCD0" wp14:textId="77777777">
            <w:pPr>
              <w:jc w:val="center"/>
            </w:pPr>
            <w:r>
              <w:rPr>
                <w:b/>
              </w:rPr>
              <w:t>Reasoning</w:t>
            </w:r>
          </w:p>
        </w:tc>
      </w:tr>
      <w:tr xmlns:wp14="http://schemas.microsoft.com/office/word/2010/wordml" w:rsidR="00EC618F" w:rsidTr="5772F532" w14:paraId="13B0CF73" wp14:textId="77777777">
        <w:trPr>
          <w:trHeight w:val="2720"/>
        </w:trPr>
        <w:tc>
          <w:tcPr>
            <w:tcW w:w="3035" w:type="dxa"/>
            <w:tcBorders>
              <w:top w:val="nil"/>
              <w:left w:val="nil"/>
              <w:bottom w:val="nil"/>
              <w:right w:val="nil"/>
            </w:tcBorders>
            <w:tcMar>
              <w:top w:w="100" w:type="dxa"/>
              <w:left w:w="100" w:type="dxa"/>
              <w:bottom w:w="100" w:type="dxa"/>
              <w:right w:w="100" w:type="dxa"/>
            </w:tcMar>
          </w:tcPr>
          <w:p w:rsidR="00EC618F" w:rsidRDefault="000E5D19" w14:paraId="24698D44" wp14:textId="77777777">
            <w:r>
              <w:rPr>
                <w:b/>
              </w:rPr>
              <w:t>Williams Syndrome</w:t>
            </w:r>
          </w:p>
        </w:tc>
        <w:tc>
          <w:tcPr>
            <w:tcW w:w="6200" w:type="dxa"/>
            <w:tcBorders>
              <w:top w:val="nil"/>
              <w:left w:val="nil"/>
              <w:bottom w:val="nil"/>
              <w:right w:val="nil"/>
            </w:tcBorders>
            <w:tcMar>
              <w:top w:w="100" w:type="dxa"/>
              <w:left w:w="100" w:type="dxa"/>
              <w:bottom w:w="100" w:type="dxa"/>
              <w:right w:w="100" w:type="dxa"/>
            </w:tcMar>
          </w:tcPr>
          <w:p w:rsidR="00EC618F" w:rsidRDefault="000E5D19" w14:paraId="391757CC" wp14:textId="77777777">
            <w:r w:rsidRPr="5772F532" w:rsidR="000E5D19">
              <w:rPr>
                <w:lang w:val="en-US"/>
              </w:rPr>
              <w:t xml:space="preserve">Williams syndrome is a genetic disorder associated with hypercalcemia in infancy. The progressive vomiting, weight loss, and excessive thirst could be due to metabolic disturbances caused by hypercalcemia. The presence of dehydration and dry skin further supports a systemic metabolic issue. Genetic testing for </w:t>
            </w:r>
            <w:r w:rsidRPr="5772F532" w:rsidR="000E5D19">
              <w:rPr>
                <w:b w:val="1"/>
                <w:bCs w:val="1"/>
                <w:lang w:val="en-US"/>
              </w:rPr>
              <w:t>7q11.23 microdeletion</w:t>
            </w:r>
            <w:r w:rsidRPr="5772F532" w:rsidR="000E5D19">
              <w:rPr>
                <w:lang w:val="en-US"/>
              </w:rPr>
              <w:t xml:space="preserve"> would be required for confirmation.</w:t>
            </w:r>
          </w:p>
        </w:tc>
      </w:tr>
      <w:tr xmlns:wp14="http://schemas.microsoft.com/office/word/2010/wordml" w:rsidR="00EC618F" w:rsidTr="5772F532" w14:paraId="35E69862" wp14:textId="77777777">
        <w:trPr>
          <w:trHeight w:val="3035"/>
        </w:trPr>
        <w:tc>
          <w:tcPr>
            <w:tcW w:w="3035" w:type="dxa"/>
            <w:tcBorders>
              <w:top w:val="nil"/>
              <w:left w:val="nil"/>
              <w:bottom w:val="nil"/>
              <w:right w:val="nil"/>
            </w:tcBorders>
            <w:tcMar>
              <w:top w:w="100" w:type="dxa"/>
              <w:left w:w="100" w:type="dxa"/>
              <w:bottom w:w="100" w:type="dxa"/>
              <w:right w:w="100" w:type="dxa"/>
            </w:tcMar>
          </w:tcPr>
          <w:p w:rsidR="00EC618F" w:rsidRDefault="000E5D19" w14:paraId="69B380AE" wp14:textId="77777777">
            <w:r>
              <w:rPr>
                <w:b/>
              </w:rPr>
              <w:t>Hyperparathyroidism (Primary or Secondary)</w:t>
            </w:r>
          </w:p>
        </w:tc>
        <w:tc>
          <w:tcPr>
            <w:tcW w:w="6200" w:type="dxa"/>
            <w:tcBorders>
              <w:top w:val="nil"/>
              <w:left w:val="nil"/>
              <w:bottom w:val="nil"/>
              <w:right w:val="nil"/>
            </w:tcBorders>
            <w:tcMar>
              <w:top w:w="100" w:type="dxa"/>
              <w:left w:w="100" w:type="dxa"/>
              <w:bottom w:w="100" w:type="dxa"/>
              <w:right w:w="100" w:type="dxa"/>
            </w:tcMar>
          </w:tcPr>
          <w:p w:rsidR="00EC618F" w:rsidRDefault="000E5D19" w14:paraId="0700E5A0" wp14:textId="77777777">
            <w:r>
              <w:t xml:space="preserve">Primary hyperparathyroidism, though rare in infants, can cause significant hypercalcemia, leading to symptoms like vomiting, dehydration, and poor weight gain. Secondary causes (e.g., maternal hyperparathyroidism or genetic conditions like familial hypocalciuric hypercalcemia) should also be considered. Measuring </w:t>
            </w:r>
            <w:r>
              <w:rPr>
                <w:b/>
              </w:rPr>
              <w:t>PTH levels</w:t>
            </w:r>
            <w:r>
              <w:t xml:space="preserve"> and </w:t>
            </w:r>
            <w:r>
              <w:rPr>
                <w:b/>
              </w:rPr>
              <w:t>urinary calcium excretion</w:t>
            </w:r>
            <w:r>
              <w:t xml:space="preserve"> would help differentiate between these conditions.</w:t>
            </w:r>
          </w:p>
        </w:tc>
      </w:tr>
      <w:tr xmlns:wp14="http://schemas.microsoft.com/office/word/2010/wordml" w:rsidR="00EC618F" w:rsidTr="5772F532" w14:paraId="5FC082BA" wp14:textId="77777777">
        <w:trPr>
          <w:trHeight w:val="2420"/>
        </w:trPr>
        <w:tc>
          <w:tcPr>
            <w:tcW w:w="3035" w:type="dxa"/>
            <w:tcBorders>
              <w:top w:val="nil"/>
              <w:left w:val="nil"/>
              <w:bottom w:val="nil"/>
              <w:right w:val="nil"/>
            </w:tcBorders>
            <w:tcMar>
              <w:top w:w="100" w:type="dxa"/>
              <w:left w:w="100" w:type="dxa"/>
              <w:bottom w:w="100" w:type="dxa"/>
              <w:right w:w="100" w:type="dxa"/>
            </w:tcMar>
          </w:tcPr>
          <w:p w:rsidR="00EC618F" w:rsidRDefault="000E5D19" w14:paraId="1670434F" wp14:textId="77777777">
            <w:r>
              <w:rPr>
                <w:b/>
              </w:rPr>
              <w:t>Vitamin D Intoxication</w:t>
            </w:r>
          </w:p>
        </w:tc>
        <w:tc>
          <w:tcPr>
            <w:tcW w:w="6200" w:type="dxa"/>
            <w:tcBorders>
              <w:top w:val="nil"/>
              <w:left w:val="nil"/>
              <w:bottom w:val="nil"/>
              <w:right w:val="nil"/>
            </w:tcBorders>
            <w:tcMar>
              <w:top w:w="100" w:type="dxa"/>
              <w:left w:w="100" w:type="dxa"/>
              <w:bottom w:w="100" w:type="dxa"/>
              <w:right w:w="100" w:type="dxa"/>
            </w:tcMar>
          </w:tcPr>
          <w:p w:rsidR="00EC618F" w:rsidRDefault="000E5D19" w14:paraId="43E63416" wp14:textId="77777777">
            <w:r w:rsidRPr="5772F532" w:rsidR="000E5D19">
              <w:rPr>
                <w:lang w:val="en-US"/>
              </w:rPr>
              <w:t xml:space="preserve">Excessive vitamin D intake (iatrogenic or accidental) can cause hypercalcemia, leading to dehydration, vomiting, and poor feeding. Given the </w:t>
            </w:r>
            <w:r w:rsidRPr="5772F532" w:rsidR="000E5D19">
              <w:rPr>
                <w:b w:val="1"/>
                <w:bCs w:val="1"/>
                <w:lang w:val="en-US"/>
              </w:rPr>
              <w:t>young age</w:t>
            </w:r>
            <w:r w:rsidRPr="5772F532" w:rsidR="000E5D19">
              <w:rPr>
                <w:lang w:val="en-US"/>
              </w:rPr>
              <w:t xml:space="preserve">, possible </w:t>
            </w:r>
            <w:r w:rsidRPr="5772F532" w:rsidR="000E5D19">
              <w:rPr>
                <w:b w:val="1"/>
                <w:bCs w:val="1"/>
                <w:lang w:val="en-US"/>
              </w:rPr>
              <w:t>over-supplementation</w:t>
            </w:r>
            <w:r w:rsidRPr="5772F532" w:rsidR="000E5D19">
              <w:rPr>
                <w:lang w:val="en-US"/>
              </w:rPr>
              <w:t xml:space="preserve"> or excessive exposure to fortified foods should be assessed. Checking </w:t>
            </w:r>
            <w:r w:rsidRPr="5772F532" w:rsidR="000E5D19">
              <w:rPr>
                <w:b w:val="1"/>
                <w:bCs w:val="1"/>
                <w:lang w:val="en-US"/>
              </w:rPr>
              <w:t>serum 25(OH)D and 1,25(OH)2D levels</w:t>
            </w:r>
            <w:r w:rsidRPr="5772F532" w:rsidR="000E5D19">
              <w:rPr>
                <w:lang w:val="en-US"/>
              </w:rPr>
              <w:t xml:space="preserve"> would help confirm this diagnosis.</w:t>
            </w:r>
          </w:p>
        </w:tc>
      </w:tr>
    </w:tbl>
    <w:p xmlns:wp14="http://schemas.microsoft.com/office/word/2010/wordml" w:rsidR="00EC618F" w:rsidRDefault="000E5D19" w14:paraId="6062E480" wp14:textId="77777777">
      <w:pPr>
        <w:pStyle w:val="3"/>
        <w:keepNext w:val="0"/>
        <w:keepLines w:val="0"/>
        <w:spacing w:before="280"/>
        <w:rPr>
          <w:b/>
          <w:color w:val="000000"/>
          <w:sz w:val="26"/>
          <w:szCs w:val="26"/>
        </w:rPr>
      </w:pPr>
      <w:bookmarkStart w:name="_bbaan0kzm2s7" w:colFirst="0" w:colLast="0" w:id="0"/>
      <w:bookmarkEnd w:id="0"/>
      <w:r>
        <w:rPr>
          <w:b/>
          <w:color w:val="000000"/>
          <w:sz w:val="26"/>
          <w:szCs w:val="26"/>
        </w:rPr>
        <w:t>Next Steps:</w:t>
      </w:r>
    </w:p>
    <w:p xmlns:wp14="http://schemas.microsoft.com/office/word/2010/wordml" w:rsidR="00EC618F" w:rsidRDefault="000E5D19" w14:paraId="7F55A8E0" wp14:textId="77777777">
      <w:pPr>
        <w:numPr>
          <w:ilvl w:val="0"/>
          <w:numId w:val="4"/>
        </w:numPr>
        <w:spacing w:before="240"/>
      </w:pPr>
      <w:r>
        <w:rPr>
          <w:b/>
        </w:rPr>
        <w:t>Laboratory tests</w:t>
      </w:r>
      <w:r>
        <w:t>: PTH, 25(OH)D, 1,25(OH)2D, urine calcium/creatinine ratio.</w:t>
      </w:r>
    </w:p>
    <w:p xmlns:wp14="http://schemas.microsoft.com/office/word/2010/wordml" w:rsidR="00EC618F" w:rsidRDefault="000E5D19" w14:paraId="7F909248" wp14:textId="77777777">
      <w:pPr>
        <w:numPr>
          <w:ilvl w:val="0"/>
          <w:numId w:val="4"/>
        </w:numPr>
      </w:pPr>
      <w:r>
        <w:rPr>
          <w:b/>
        </w:rPr>
        <w:t>Genetic testing</w:t>
      </w:r>
      <w:r>
        <w:t>: Consider Williams syndrome if other causes are ruled out.</w:t>
      </w:r>
    </w:p>
    <w:p xmlns:wp14="http://schemas.microsoft.com/office/word/2010/wordml" w:rsidR="00EC618F" w:rsidRDefault="000E5D19" w14:paraId="174EE024" wp14:textId="77777777">
      <w:pPr>
        <w:numPr>
          <w:ilvl w:val="0"/>
          <w:numId w:val="4"/>
        </w:numPr>
        <w:spacing w:after="240"/>
      </w:pPr>
      <w:r>
        <w:rPr>
          <w:b/>
        </w:rPr>
        <w:t>Clinical history review</w:t>
      </w:r>
      <w:r>
        <w:t>: Check for excessive vitamin D intake.</w:t>
      </w:r>
    </w:p>
    <w:p xmlns:wp14="http://schemas.microsoft.com/office/word/2010/wordml" w:rsidR="00EC618F" w:rsidRDefault="00EC618F" w14:paraId="60061E4C" wp14:textId="77777777"/>
    <w:p xmlns:wp14="http://schemas.microsoft.com/office/word/2010/wordml" w:rsidR="00EC618F" w:rsidRDefault="000E5D19" w14:paraId="16FF9F8B" wp14:textId="77777777">
      <w:r w:rsidRPr="5772F532" w:rsidR="000E5D19">
        <w:rPr>
          <w:b w:val="1"/>
          <w:bCs w:val="1"/>
          <w:lang w:val="en-US"/>
        </w:rPr>
        <w:t>The cases sent to chatgpt for analysis and diagnosis overlap with the following:</w:t>
      </w:r>
    </w:p>
    <w:p xmlns:wp14="http://schemas.microsoft.com/office/word/2010/wordml" w:rsidR="00EC618F" w:rsidRDefault="000E5D19" w14:paraId="3CE3EFC0" wp14:textId="77777777">
      <w:r>
        <w:t>Williams Syndrome</w:t>
      </w:r>
    </w:p>
    <w:p xmlns:wp14="http://schemas.microsoft.com/office/word/2010/wordml" w:rsidR="00EC618F" w:rsidRDefault="000E5D19" w14:paraId="34526D03" wp14:textId="77777777">
      <w:r>
        <w:t>—----------------------------------------------------------------------------------------------------------------------------</w:t>
      </w:r>
    </w:p>
    <w:p xmlns:wp14="http://schemas.microsoft.com/office/word/2010/wordml" w:rsidR="00EC618F" w:rsidRDefault="000E5D19" w14:paraId="4C24A629" wp14:textId="77777777">
      <w:pPr>
        <w:rPr>
          <w:b/>
          <w:sz w:val="26"/>
          <w:szCs w:val="26"/>
        </w:rPr>
      </w:pPr>
      <w:r>
        <w:rPr>
          <w:b/>
          <w:sz w:val="26"/>
          <w:szCs w:val="26"/>
        </w:rPr>
        <w:t>NEJMcpc2402486</w:t>
      </w:r>
    </w:p>
    <w:p xmlns:wp14="http://schemas.microsoft.com/office/word/2010/wordml" w:rsidR="00EC618F" w:rsidRDefault="000E5D19" w14:paraId="055AB5E3" wp14:textId="77777777">
      <w:pPr>
        <w:rPr>
          <w:sz w:val="26"/>
          <w:szCs w:val="26"/>
          <w:u w:val="single"/>
        </w:rPr>
      </w:pPr>
      <w:r>
        <w:rPr>
          <w:b/>
          <w:sz w:val="26"/>
          <w:szCs w:val="26"/>
        </w:rPr>
        <w:t>Case 2 brief:</w:t>
      </w:r>
      <w:r>
        <w:rPr>
          <w:sz w:val="26"/>
          <w:szCs w:val="26"/>
        </w:rPr>
        <w:t xml:space="preserve"> </w:t>
      </w:r>
      <w:r>
        <w:rPr>
          <w:sz w:val="26"/>
          <w:szCs w:val="26"/>
          <w:u w:val="single"/>
        </w:rPr>
        <w:t>A 45-Year-Old Woman with Kidney Lesions and Lytic Bone Disease</w:t>
      </w:r>
    </w:p>
    <w:p xmlns:wp14="http://schemas.microsoft.com/office/word/2010/wordml" w:rsidR="00EC618F" w:rsidRDefault="000E5D19" w14:paraId="755C0545" wp14:textId="77777777">
      <w:pPr>
        <w:rPr>
          <w:sz w:val="26"/>
          <w:szCs w:val="26"/>
          <w:u w:val="single"/>
        </w:rPr>
      </w:pPr>
      <w:r>
        <w:rPr>
          <w:rFonts w:ascii="Arial Unicode MS" w:hAnsi="Arial Unicode MS" w:eastAsia="Arial Unicode MS" w:cs="Arial Unicode MS"/>
          <w:b/>
          <w:sz w:val="26"/>
          <w:szCs w:val="26"/>
        </w:rPr>
        <w:t>Case 2 summary</w:t>
      </w:r>
      <w:r>
        <w:rPr>
          <w:rFonts w:ascii="Arial Unicode MS" w:hAnsi="Arial Unicode MS" w:eastAsia="Arial Unicode MS" w:cs="Arial Unicode MS"/>
          <w:b/>
          <w:sz w:val="26"/>
          <w:szCs w:val="26"/>
        </w:rPr>
        <w:t>：</w:t>
      </w:r>
      <w:r>
        <w:rPr>
          <w:sz w:val="26"/>
          <w:szCs w:val="26"/>
          <w:u w:val="single"/>
        </w:rPr>
        <w:t xml:space="preserve">A 45-year-old woman with kidney lesions, lytic bone disease, and fatigue; imaging suggests malignancy, but biopsy is inconclusive. Further evaluation needed for diagnosis and management. </w:t>
      </w:r>
    </w:p>
    <w:p xmlns:wp14="http://schemas.microsoft.com/office/word/2010/wordml" w:rsidR="00EC618F" w:rsidRDefault="000E5D19" w14:paraId="3F7E73FF" wp14:textId="77777777">
      <w:pPr>
        <w:spacing w:before="240" w:after="240"/>
      </w:pPr>
      <w:r>
        <w:t>Here is the structured differential diagnosis table based on the provided case details:</w:t>
      </w:r>
    </w:p>
    <w:tbl>
      <w:tblPr>
        <w:tblStyle w:val="a6"/>
        <w:tblW w:w="922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230"/>
        <w:gridCol w:w="5990"/>
      </w:tblGrid>
      <w:tr xmlns:wp14="http://schemas.microsoft.com/office/word/2010/wordml" w:rsidR="00EC618F" w:rsidTr="5772F532" w14:paraId="609DF2CA" wp14:textId="77777777">
        <w:trPr>
          <w:trHeight w:val="545"/>
        </w:trPr>
        <w:tc>
          <w:tcPr>
            <w:tcW w:w="3230" w:type="dxa"/>
            <w:tcBorders>
              <w:top w:val="nil"/>
              <w:left w:val="nil"/>
              <w:bottom w:val="nil"/>
              <w:right w:val="nil"/>
            </w:tcBorders>
            <w:tcMar>
              <w:top w:w="100" w:type="dxa"/>
              <w:left w:w="100" w:type="dxa"/>
              <w:bottom w:w="100" w:type="dxa"/>
              <w:right w:w="100" w:type="dxa"/>
            </w:tcMar>
          </w:tcPr>
          <w:p w:rsidR="00EC618F" w:rsidRDefault="000E5D19" w14:paraId="303FD5D5" wp14:textId="77777777">
            <w:pPr>
              <w:jc w:val="center"/>
            </w:pPr>
            <w:r>
              <w:rPr>
                <w:b/>
              </w:rPr>
              <w:t>Differential Diagnosis</w:t>
            </w:r>
          </w:p>
        </w:tc>
        <w:tc>
          <w:tcPr>
            <w:tcW w:w="5990" w:type="dxa"/>
            <w:tcBorders>
              <w:top w:val="nil"/>
              <w:left w:val="nil"/>
              <w:bottom w:val="nil"/>
              <w:right w:val="nil"/>
            </w:tcBorders>
            <w:tcMar>
              <w:top w:w="100" w:type="dxa"/>
              <w:left w:w="100" w:type="dxa"/>
              <w:bottom w:w="100" w:type="dxa"/>
              <w:right w:w="100" w:type="dxa"/>
            </w:tcMar>
          </w:tcPr>
          <w:p w:rsidR="00EC618F" w:rsidRDefault="000E5D19" w14:paraId="5E9DCC79" wp14:textId="77777777">
            <w:pPr>
              <w:jc w:val="center"/>
            </w:pPr>
            <w:r>
              <w:rPr>
                <w:b/>
              </w:rPr>
              <w:t>Reasoning</w:t>
            </w:r>
          </w:p>
        </w:tc>
      </w:tr>
      <w:tr xmlns:wp14="http://schemas.microsoft.com/office/word/2010/wordml" w:rsidR="00EC618F" w:rsidTr="5772F532" w14:paraId="2B770BEE" wp14:textId="77777777">
        <w:trPr>
          <w:trHeight w:val="2720"/>
        </w:trPr>
        <w:tc>
          <w:tcPr>
            <w:tcW w:w="3230" w:type="dxa"/>
            <w:tcBorders>
              <w:top w:val="nil"/>
              <w:left w:val="nil"/>
              <w:bottom w:val="nil"/>
              <w:right w:val="nil"/>
            </w:tcBorders>
            <w:tcMar>
              <w:top w:w="100" w:type="dxa"/>
              <w:left w:w="100" w:type="dxa"/>
              <w:bottom w:w="100" w:type="dxa"/>
              <w:right w:w="100" w:type="dxa"/>
            </w:tcMar>
          </w:tcPr>
          <w:p w:rsidR="00EC618F" w:rsidRDefault="000E5D19" w14:paraId="5D02955C" wp14:textId="77777777">
            <w:r>
              <w:rPr>
                <w:b/>
              </w:rPr>
              <w:t>Multiple Myeloma</w:t>
            </w:r>
          </w:p>
        </w:tc>
        <w:tc>
          <w:tcPr>
            <w:tcW w:w="5990" w:type="dxa"/>
            <w:tcBorders>
              <w:top w:val="nil"/>
              <w:left w:val="nil"/>
              <w:bottom w:val="nil"/>
              <w:right w:val="nil"/>
            </w:tcBorders>
            <w:tcMar>
              <w:top w:w="100" w:type="dxa"/>
              <w:left w:w="100" w:type="dxa"/>
              <w:bottom w:w="100" w:type="dxa"/>
              <w:right w:w="100" w:type="dxa"/>
            </w:tcMar>
          </w:tcPr>
          <w:p w:rsidR="00EC618F" w:rsidRDefault="000E5D19" w14:paraId="60E8215A" wp14:textId="77777777">
            <w:r w:rsidRPr="5772F532" w:rsidR="000E5D19">
              <w:rPr>
                <w:lang w:val="en-US"/>
              </w:rPr>
              <w:t xml:space="preserve">Lytic bone lesions and fatigue are hallmark symptoms of multiple myeloma, a plasma cell malignancy. Kidney involvement (e.g., myeloma kidney due to light chain deposition) further supports this diagnosis. Additional tests such as </w:t>
            </w:r>
            <w:r w:rsidRPr="5772F532" w:rsidR="000E5D19">
              <w:rPr>
                <w:b w:val="1"/>
                <w:bCs w:val="1"/>
                <w:lang w:val="en-US"/>
              </w:rPr>
              <w:t>serum protein electrophoresis (SPEP), urine protein electrophoresis (UPEP), free light chain assay, and bone marrow biopsy</w:t>
            </w:r>
            <w:r w:rsidRPr="5772F532" w:rsidR="000E5D19">
              <w:rPr>
                <w:lang w:val="en-US"/>
              </w:rPr>
              <w:t xml:space="preserve"> are needed.</w:t>
            </w:r>
          </w:p>
        </w:tc>
      </w:tr>
      <w:tr xmlns:wp14="http://schemas.microsoft.com/office/word/2010/wordml" w:rsidR="00EC618F" w:rsidTr="5772F532" w14:paraId="55D806FC" wp14:textId="77777777">
        <w:trPr>
          <w:trHeight w:val="2720"/>
        </w:trPr>
        <w:tc>
          <w:tcPr>
            <w:tcW w:w="3230" w:type="dxa"/>
            <w:tcBorders>
              <w:top w:val="nil"/>
              <w:left w:val="nil"/>
              <w:bottom w:val="nil"/>
              <w:right w:val="nil"/>
            </w:tcBorders>
            <w:tcMar>
              <w:top w:w="100" w:type="dxa"/>
              <w:left w:w="100" w:type="dxa"/>
              <w:bottom w:w="100" w:type="dxa"/>
              <w:right w:w="100" w:type="dxa"/>
            </w:tcMar>
          </w:tcPr>
          <w:p w:rsidR="00EC618F" w:rsidRDefault="000E5D19" w14:paraId="643E410A" wp14:textId="77777777">
            <w:r>
              <w:rPr>
                <w:b/>
              </w:rPr>
              <w:t>Metastatic Carcinoma (Renal Cell Carcinoma, Breast, or Lung Cancer)</w:t>
            </w:r>
          </w:p>
        </w:tc>
        <w:tc>
          <w:tcPr>
            <w:tcW w:w="5990" w:type="dxa"/>
            <w:tcBorders>
              <w:top w:val="nil"/>
              <w:left w:val="nil"/>
              <w:bottom w:val="nil"/>
              <w:right w:val="nil"/>
            </w:tcBorders>
            <w:tcMar>
              <w:top w:w="100" w:type="dxa"/>
              <w:left w:w="100" w:type="dxa"/>
              <w:bottom w:w="100" w:type="dxa"/>
              <w:right w:w="100" w:type="dxa"/>
            </w:tcMar>
          </w:tcPr>
          <w:p w:rsidR="00EC618F" w:rsidRDefault="000E5D19" w14:paraId="0C23FD89" wp14:textId="77777777">
            <w:r w:rsidRPr="5772F532" w:rsidR="000E5D19">
              <w:rPr>
                <w:lang w:val="en-US"/>
              </w:rPr>
              <w:t xml:space="preserve">Kidney lesions and lytic bone disease strongly suggest metastatic malignancy. Renal cell carcinoma (RCC) commonly metastasizes to bones, and other primaries like </w:t>
            </w:r>
            <w:r w:rsidRPr="5772F532" w:rsidR="000E5D19">
              <w:rPr>
                <w:b w:val="1"/>
                <w:bCs w:val="1"/>
                <w:lang w:val="en-US"/>
              </w:rPr>
              <w:t>breast or lung cancer</w:t>
            </w:r>
            <w:r w:rsidRPr="5772F532" w:rsidR="000E5D19">
              <w:rPr>
                <w:lang w:val="en-US"/>
              </w:rPr>
              <w:t xml:space="preserve"> also cause lytic bone lesions. Further </w:t>
            </w:r>
            <w:r w:rsidRPr="5772F532" w:rsidR="000E5D19">
              <w:rPr>
                <w:b w:val="1"/>
                <w:bCs w:val="1"/>
                <w:lang w:val="en-US"/>
              </w:rPr>
              <w:t>CT of the chest/abdomen/pelvis, PET scan, and targeted tumor markers (CEA, CA-125, PSA, etc.)</w:t>
            </w:r>
            <w:r w:rsidRPr="5772F532" w:rsidR="000E5D19">
              <w:rPr>
                <w:lang w:val="en-US"/>
              </w:rPr>
              <w:t xml:space="preserve"> can help identify the primary site.</w:t>
            </w:r>
          </w:p>
        </w:tc>
      </w:tr>
      <w:tr xmlns:wp14="http://schemas.microsoft.com/office/word/2010/wordml" w:rsidR="00EC618F" w:rsidTr="5772F532" w14:paraId="7A2F77B3" wp14:textId="77777777">
        <w:trPr>
          <w:trHeight w:val="2420"/>
        </w:trPr>
        <w:tc>
          <w:tcPr>
            <w:tcW w:w="3230" w:type="dxa"/>
            <w:tcBorders>
              <w:top w:val="nil"/>
              <w:left w:val="nil"/>
              <w:bottom w:val="nil"/>
              <w:right w:val="nil"/>
            </w:tcBorders>
            <w:tcMar>
              <w:top w:w="100" w:type="dxa"/>
              <w:left w:w="100" w:type="dxa"/>
              <w:bottom w:w="100" w:type="dxa"/>
              <w:right w:w="100" w:type="dxa"/>
            </w:tcMar>
          </w:tcPr>
          <w:p w:rsidR="00EC618F" w:rsidRDefault="000E5D19" w14:paraId="172A2630" wp14:textId="77777777">
            <w:r>
              <w:rPr>
                <w:b/>
              </w:rPr>
              <w:t>Primary Hyperparathyroidism (or Parathyroid Carcinoma)</w:t>
            </w:r>
          </w:p>
        </w:tc>
        <w:tc>
          <w:tcPr>
            <w:tcW w:w="5990" w:type="dxa"/>
            <w:tcBorders>
              <w:top w:val="nil"/>
              <w:left w:val="nil"/>
              <w:bottom w:val="nil"/>
              <w:right w:val="nil"/>
            </w:tcBorders>
            <w:tcMar>
              <w:top w:w="100" w:type="dxa"/>
              <w:left w:w="100" w:type="dxa"/>
              <w:bottom w:w="100" w:type="dxa"/>
              <w:right w:w="100" w:type="dxa"/>
            </w:tcMar>
          </w:tcPr>
          <w:p w:rsidR="00EC618F" w:rsidRDefault="000E5D19" w14:paraId="50E322BD" wp14:textId="77777777">
            <w:r w:rsidRPr="5772F532" w:rsidR="000E5D19">
              <w:rPr>
                <w:lang w:val="en-US"/>
              </w:rPr>
              <w:t xml:space="preserve">Lytic bone lesions can result from </w:t>
            </w:r>
            <w:r w:rsidRPr="5772F532" w:rsidR="000E5D19">
              <w:rPr>
                <w:b w:val="1"/>
                <w:bCs w:val="1"/>
                <w:lang w:val="en-US"/>
              </w:rPr>
              <w:t>osteitis fibrosa cystica</w:t>
            </w:r>
            <w:r w:rsidRPr="5772F532" w:rsidR="000E5D19">
              <w:rPr>
                <w:lang w:val="en-US"/>
              </w:rPr>
              <w:t xml:space="preserve"> in severe hyperparathyroidism. If kidney involvement is due to </w:t>
            </w:r>
            <w:r w:rsidRPr="5772F532" w:rsidR="000E5D19">
              <w:rPr>
                <w:b w:val="1"/>
                <w:bCs w:val="1"/>
                <w:lang w:val="en-US"/>
              </w:rPr>
              <w:t>nephrocalcinosis or renal stones</w:t>
            </w:r>
            <w:r w:rsidRPr="5772F532" w:rsidR="000E5D19">
              <w:rPr>
                <w:lang w:val="en-US"/>
              </w:rPr>
              <w:t xml:space="preserve">, this diagnosis should be considered. Elevated </w:t>
            </w:r>
            <w:r w:rsidRPr="5772F532" w:rsidR="000E5D19">
              <w:rPr>
                <w:b w:val="1"/>
                <w:bCs w:val="1"/>
                <w:lang w:val="en-US"/>
              </w:rPr>
              <w:t>serum calcium, PTH levels, and a sestamibi scan</w:t>
            </w:r>
            <w:r w:rsidRPr="5772F532" w:rsidR="000E5D19">
              <w:rPr>
                <w:lang w:val="en-US"/>
              </w:rPr>
              <w:t xml:space="preserve"> would help confirm or rule out this condition.</w:t>
            </w:r>
          </w:p>
        </w:tc>
      </w:tr>
    </w:tbl>
    <w:p xmlns:wp14="http://schemas.microsoft.com/office/word/2010/wordml" w:rsidR="00EC618F" w:rsidRDefault="000E5D19" w14:paraId="10CD7298" wp14:textId="77777777">
      <w:pPr>
        <w:pStyle w:val="3"/>
        <w:keepNext w:val="0"/>
        <w:keepLines w:val="0"/>
        <w:spacing w:before="280"/>
        <w:rPr>
          <w:b/>
          <w:color w:val="000000"/>
          <w:sz w:val="26"/>
          <w:szCs w:val="26"/>
        </w:rPr>
      </w:pPr>
      <w:bookmarkStart w:name="_bx1m5y9gmvfa" w:colFirst="0" w:colLast="0" w:id="1"/>
      <w:bookmarkEnd w:id="1"/>
      <w:r>
        <w:rPr>
          <w:b/>
          <w:color w:val="000000"/>
          <w:sz w:val="26"/>
          <w:szCs w:val="26"/>
        </w:rPr>
        <w:t>Next Steps:</w:t>
      </w:r>
    </w:p>
    <w:p xmlns:wp14="http://schemas.microsoft.com/office/word/2010/wordml" w:rsidR="00EC618F" w:rsidRDefault="000E5D19" w14:paraId="723E915B" wp14:textId="77777777">
      <w:pPr>
        <w:numPr>
          <w:ilvl w:val="0"/>
          <w:numId w:val="2"/>
        </w:numPr>
        <w:spacing w:before="240"/>
      </w:pPr>
      <w:r>
        <w:rPr>
          <w:b/>
        </w:rPr>
        <w:t>Laboratory tests</w:t>
      </w:r>
      <w:r>
        <w:t>: Serum calcium, PTH, SPEP/UPEP, tumor markers.</w:t>
      </w:r>
    </w:p>
    <w:p xmlns:wp14="http://schemas.microsoft.com/office/word/2010/wordml" w:rsidR="00EC618F" w:rsidRDefault="000E5D19" w14:paraId="236A7C76" wp14:textId="77777777">
      <w:pPr>
        <w:numPr>
          <w:ilvl w:val="0"/>
          <w:numId w:val="2"/>
        </w:numPr>
      </w:pPr>
      <w:r>
        <w:rPr>
          <w:b/>
        </w:rPr>
        <w:t>Imaging</w:t>
      </w:r>
      <w:r>
        <w:t>: Full-body PET/CT, skeletal survey, MRI if spinal involvement is suspected.</w:t>
      </w:r>
    </w:p>
    <w:p xmlns:wp14="http://schemas.microsoft.com/office/word/2010/wordml" w:rsidR="00EC618F" w:rsidRDefault="000E5D19" w14:paraId="3D3D199C" wp14:textId="77777777">
      <w:pPr>
        <w:numPr>
          <w:ilvl w:val="0"/>
          <w:numId w:val="2"/>
        </w:numPr>
        <w:spacing w:after="240"/>
      </w:pPr>
      <w:r>
        <w:rPr>
          <w:b/>
        </w:rPr>
        <w:t>Tissue diagnosis</w:t>
      </w:r>
      <w:r>
        <w:t>: Repeat biopsy or consider bone marrow biopsy if multiple myeloma is suspected.</w:t>
      </w:r>
    </w:p>
    <w:p xmlns:wp14="http://schemas.microsoft.com/office/word/2010/wordml" w:rsidR="00EC618F" w:rsidRDefault="000E5D19" w14:paraId="13374D9F" wp14:textId="77777777">
      <w:pPr>
        <w:rPr>
          <w:b/>
        </w:rPr>
      </w:pPr>
      <w:r>
        <w:rPr>
          <w:b/>
        </w:rPr>
        <w:t>The cases sent to chatgpt for analysis and diagnosis overlap with the following:</w:t>
      </w:r>
    </w:p>
    <w:p xmlns:wp14="http://schemas.microsoft.com/office/word/2010/wordml" w:rsidR="00EC618F" w:rsidRDefault="000E5D19" w14:paraId="06C37BA5" wp14:textId="77777777">
      <w:r>
        <w:t>Multiple Myeloma</w:t>
      </w:r>
    </w:p>
    <w:p xmlns:wp14="http://schemas.microsoft.com/office/word/2010/wordml" w:rsidR="00EC618F" w:rsidRDefault="000E5D19" w14:paraId="459B957B" wp14:textId="77777777">
      <w:r>
        <w:t>Metastatic Carcinoma (Renal Cell Carcinoma, Breast, or Lung Cancer)</w:t>
      </w:r>
    </w:p>
    <w:p xmlns:wp14="http://schemas.microsoft.com/office/word/2010/wordml" w:rsidR="00EC618F" w:rsidRDefault="000E5D19" w14:paraId="1BF9D4B8" wp14:textId="77777777">
      <w:r>
        <w:t>—----------------------------------------------------------------------------------------------------------------------------</w:t>
      </w:r>
    </w:p>
    <w:p xmlns:wp14="http://schemas.microsoft.com/office/word/2010/wordml" w:rsidR="00EC618F" w:rsidRDefault="000E5D19" w14:paraId="6ED33660" wp14:textId="77777777">
      <w:r>
        <w:t>NEJMcpc2402487</w:t>
      </w:r>
    </w:p>
    <w:p xmlns:wp14="http://schemas.microsoft.com/office/word/2010/wordml" w:rsidR="00EC618F" w:rsidRDefault="000E5D19" w14:paraId="2839D78F" wp14:textId="77777777">
      <w:pPr>
        <w:rPr>
          <w:b/>
          <w:sz w:val="26"/>
          <w:szCs w:val="26"/>
          <w:u w:val="single"/>
        </w:rPr>
      </w:pPr>
      <w:r>
        <w:rPr>
          <w:b/>
          <w:sz w:val="26"/>
          <w:szCs w:val="26"/>
        </w:rPr>
        <w:t>Case 3 brief:</w:t>
      </w:r>
      <w:r>
        <w:rPr>
          <w:sz w:val="26"/>
          <w:szCs w:val="26"/>
        </w:rPr>
        <w:t xml:space="preserve">  </w:t>
      </w:r>
      <w:r>
        <w:rPr>
          <w:sz w:val="26"/>
          <w:szCs w:val="26"/>
          <w:u w:val="single"/>
        </w:rPr>
        <w:t>A Newborn with Hypoxemia and a Lung Opacity</w:t>
      </w:r>
    </w:p>
    <w:p xmlns:wp14="http://schemas.microsoft.com/office/word/2010/wordml" w:rsidR="00EC618F" w:rsidRDefault="000E5D19" w14:paraId="11E3EDC3" wp14:textId="77777777">
      <w:pPr>
        <w:rPr>
          <w:sz w:val="26"/>
          <w:szCs w:val="26"/>
          <w:u w:val="single"/>
        </w:rPr>
      </w:pPr>
      <w:r>
        <w:rPr>
          <w:b/>
          <w:sz w:val="26"/>
          <w:szCs w:val="26"/>
        </w:rPr>
        <w:t xml:space="preserve">Case 3 summary: </w:t>
      </w:r>
      <w:r>
        <w:rPr>
          <w:sz w:val="26"/>
          <w:szCs w:val="26"/>
          <w:u w:val="single"/>
        </w:rPr>
        <w:t xml:space="preserve"> A newborn girl experienced cardiorespiratory arrest at birth, requiring resuscitation and NICU admission. She had a history of fetal urinary tract dilation, was delivered via C-section due to nonreassuring fetal status, and had meconium-stained amniotic fluid. Post-delivery, she was intubated, developed a right pneumothorax, and was treated with therapeutic hypothermia. Further imaging revealed persistent hypoxemia, a left lung opacity, and evolving respiratory complications, necessitating continued ventil</w:t>
      </w:r>
      <w:r>
        <w:rPr>
          <w:sz w:val="26"/>
          <w:szCs w:val="26"/>
          <w:u w:val="single"/>
        </w:rPr>
        <w:t>atory support and treatment.</w:t>
      </w:r>
    </w:p>
    <w:p xmlns:wp14="http://schemas.microsoft.com/office/word/2010/wordml" w:rsidR="00EC618F" w:rsidRDefault="00EC618F" w14:paraId="44EAFD9C" wp14:textId="77777777"/>
    <w:p xmlns:wp14="http://schemas.microsoft.com/office/word/2010/wordml" w:rsidR="00EC618F" w:rsidRDefault="000E5D19" w14:paraId="22253F78" wp14:textId="77777777">
      <w:pPr>
        <w:spacing w:before="240" w:after="240"/>
      </w:pPr>
      <w:r>
        <w:t>Here is the structured differential diagnosis table based on the provided case details:</w:t>
      </w:r>
    </w:p>
    <w:tbl>
      <w:tblPr>
        <w:tblStyle w:val="a7"/>
        <w:tblW w:w="923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885"/>
        <w:gridCol w:w="6350"/>
      </w:tblGrid>
      <w:tr xmlns:wp14="http://schemas.microsoft.com/office/word/2010/wordml" w:rsidR="00EC618F" w:rsidTr="5772F532" w14:paraId="5565ECE6" wp14:textId="77777777">
        <w:trPr>
          <w:trHeight w:val="545"/>
        </w:trPr>
        <w:tc>
          <w:tcPr>
            <w:tcW w:w="2885" w:type="dxa"/>
            <w:tcBorders>
              <w:top w:val="nil"/>
              <w:left w:val="nil"/>
              <w:bottom w:val="nil"/>
              <w:right w:val="nil"/>
            </w:tcBorders>
            <w:tcMar>
              <w:top w:w="100" w:type="dxa"/>
              <w:left w:w="100" w:type="dxa"/>
              <w:bottom w:w="100" w:type="dxa"/>
              <w:right w:w="100" w:type="dxa"/>
            </w:tcMar>
          </w:tcPr>
          <w:p w:rsidR="00EC618F" w:rsidRDefault="000E5D19" w14:paraId="325992D6" wp14:textId="77777777">
            <w:pPr>
              <w:jc w:val="center"/>
            </w:pPr>
            <w:r>
              <w:rPr>
                <w:b/>
              </w:rPr>
              <w:t>Differential Diagnosis</w:t>
            </w:r>
          </w:p>
        </w:tc>
        <w:tc>
          <w:tcPr>
            <w:tcW w:w="6350" w:type="dxa"/>
            <w:tcBorders>
              <w:top w:val="nil"/>
              <w:left w:val="nil"/>
              <w:bottom w:val="nil"/>
              <w:right w:val="nil"/>
            </w:tcBorders>
            <w:tcMar>
              <w:top w:w="100" w:type="dxa"/>
              <w:left w:w="100" w:type="dxa"/>
              <w:bottom w:w="100" w:type="dxa"/>
              <w:right w:w="100" w:type="dxa"/>
            </w:tcMar>
          </w:tcPr>
          <w:p w:rsidR="00EC618F" w:rsidRDefault="000E5D19" w14:paraId="5043D64E" wp14:textId="77777777">
            <w:pPr>
              <w:jc w:val="center"/>
            </w:pPr>
            <w:r>
              <w:rPr>
                <w:b/>
              </w:rPr>
              <w:t>Reasoning</w:t>
            </w:r>
          </w:p>
        </w:tc>
      </w:tr>
      <w:tr xmlns:wp14="http://schemas.microsoft.com/office/word/2010/wordml" w:rsidR="00EC618F" w:rsidTr="5772F532" w14:paraId="24718659" wp14:textId="77777777">
        <w:trPr>
          <w:trHeight w:val="3035"/>
        </w:trPr>
        <w:tc>
          <w:tcPr>
            <w:tcW w:w="2885" w:type="dxa"/>
            <w:tcBorders>
              <w:top w:val="nil"/>
              <w:left w:val="nil"/>
              <w:bottom w:val="nil"/>
              <w:right w:val="nil"/>
            </w:tcBorders>
            <w:tcMar>
              <w:top w:w="100" w:type="dxa"/>
              <w:left w:w="100" w:type="dxa"/>
              <w:bottom w:w="100" w:type="dxa"/>
              <w:right w:w="100" w:type="dxa"/>
            </w:tcMar>
          </w:tcPr>
          <w:p w:rsidR="00EC618F" w:rsidRDefault="000E5D19" w14:paraId="295D536B" wp14:textId="77777777">
            <w:r>
              <w:rPr>
                <w:b/>
              </w:rPr>
              <w:t>Persistent Pulmonary Hypertension of the Newborn (PPHN)</w:t>
            </w:r>
          </w:p>
        </w:tc>
        <w:tc>
          <w:tcPr>
            <w:tcW w:w="6350" w:type="dxa"/>
            <w:tcBorders>
              <w:top w:val="nil"/>
              <w:left w:val="nil"/>
              <w:bottom w:val="nil"/>
              <w:right w:val="nil"/>
            </w:tcBorders>
            <w:tcMar>
              <w:top w:w="100" w:type="dxa"/>
              <w:left w:w="100" w:type="dxa"/>
              <w:bottom w:w="100" w:type="dxa"/>
              <w:right w:w="100" w:type="dxa"/>
            </w:tcMar>
          </w:tcPr>
          <w:p w:rsidR="00EC618F" w:rsidRDefault="000E5D19" w14:paraId="30CC83C7" wp14:textId="77777777">
            <w:r w:rsidRPr="5772F532" w:rsidR="000E5D19">
              <w:rPr>
                <w:lang w:val="en-US"/>
              </w:rPr>
              <w:t xml:space="preserve">The history of </w:t>
            </w:r>
            <w:r w:rsidRPr="5772F532" w:rsidR="000E5D19">
              <w:rPr>
                <w:b w:val="1"/>
                <w:bCs w:val="1"/>
                <w:lang w:val="en-US"/>
              </w:rPr>
              <w:t>nonreassuring fetal status, meconium-stained amniotic fluid, and postnatal hypoxemia</w:t>
            </w:r>
            <w:r w:rsidRPr="5772F532" w:rsidR="000E5D19">
              <w:rPr>
                <w:lang w:val="en-US"/>
              </w:rPr>
              <w:t xml:space="preserve"> suggests PPHN, where high pulmonary vascular resistance leads to right-to-left shunting and refractory hypoxemia. The need for </w:t>
            </w:r>
            <w:r w:rsidRPr="5772F532" w:rsidR="000E5D19">
              <w:rPr>
                <w:b w:val="1"/>
                <w:bCs w:val="1"/>
                <w:lang w:val="en-US"/>
              </w:rPr>
              <w:t>continued ventilatory support</w:t>
            </w:r>
            <w:r w:rsidRPr="5772F532" w:rsidR="000E5D19">
              <w:rPr>
                <w:lang w:val="en-US"/>
              </w:rPr>
              <w:t xml:space="preserve"> and </w:t>
            </w:r>
            <w:r w:rsidRPr="5772F532" w:rsidR="000E5D19">
              <w:rPr>
                <w:b w:val="1"/>
                <w:bCs w:val="1"/>
                <w:lang w:val="en-US"/>
              </w:rPr>
              <w:t>therapeutic hypothermia</w:t>
            </w:r>
            <w:r w:rsidRPr="5772F532" w:rsidR="000E5D19">
              <w:rPr>
                <w:lang w:val="en-US"/>
              </w:rPr>
              <w:t xml:space="preserve"> also aligns with severe perinatal distress. Echocardiography is essential to confirm this diagnosis and rule out structural heart disease.</w:t>
            </w:r>
          </w:p>
        </w:tc>
      </w:tr>
      <w:tr xmlns:wp14="http://schemas.microsoft.com/office/word/2010/wordml" w:rsidR="00EC618F" w:rsidTr="5772F532" w14:paraId="7E920B67" wp14:textId="77777777">
        <w:trPr>
          <w:trHeight w:val="2720"/>
        </w:trPr>
        <w:tc>
          <w:tcPr>
            <w:tcW w:w="2885" w:type="dxa"/>
            <w:tcBorders>
              <w:top w:val="nil"/>
              <w:left w:val="nil"/>
              <w:bottom w:val="nil"/>
              <w:right w:val="nil"/>
            </w:tcBorders>
            <w:tcMar>
              <w:top w:w="100" w:type="dxa"/>
              <w:left w:w="100" w:type="dxa"/>
              <w:bottom w:w="100" w:type="dxa"/>
              <w:right w:w="100" w:type="dxa"/>
            </w:tcMar>
          </w:tcPr>
          <w:p w:rsidR="00EC618F" w:rsidRDefault="000E5D19" w14:paraId="43753049" wp14:textId="77777777">
            <w:r>
              <w:rPr>
                <w:b/>
              </w:rPr>
              <w:t>Meconium Aspiration Syndrome (MAS)</w:t>
            </w:r>
          </w:p>
        </w:tc>
        <w:tc>
          <w:tcPr>
            <w:tcW w:w="6350" w:type="dxa"/>
            <w:tcBorders>
              <w:top w:val="nil"/>
              <w:left w:val="nil"/>
              <w:bottom w:val="nil"/>
              <w:right w:val="nil"/>
            </w:tcBorders>
            <w:tcMar>
              <w:top w:w="100" w:type="dxa"/>
              <w:left w:w="100" w:type="dxa"/>
              <w:bottom w:w="100" w:type="dxa"/>
              <w:right w:w="100" w:type="dxa"/>
            </w:tcMar>
          </w:tcPr>
          <w:p w:rsidR="00EC618F" w:rsidRDefault="000E5D19" w14:paraId="6D3B5C2C" wp14:textId="77777777">
            <w:r>
              <w:t xml:space="preserve">The presence of </w:t>
            </w:r>
            <w:r>
              <w:rPr>
                <w:b/>
              </w:rPr>
              <w:t>meconium-stained amniotic fluid</w:t>
            </w:r>
            <w:r>
              <w:t xml:space="preserve">, </w:t>
            </w:r>
            <w:r>
              <w:rPr>
                <w:b/>
              </w:rPr>
              <w:t>respiratory distress at birth</w:t>
            </w:r>
            <w:r>
              <w:t xml:space="preserve">, and </w:t>
            </w:r>
            <w:r>
              <w:rPr>
                <w:b/>
              </w:rPr>
              <w:t>lung opacity</w:t>
            </w:r>
            <w:r>
              <w:t xml:space="preserve"> suggests MAS. The </w:t>
            </w:r>
            <w:r>
              <w:rPr>
                <w:b/>
              </w:rPr>
              <w:t>pneumothorax</w:t>
            </w:r>
            <w:r>
              <w:t xml:space="preserve"> is a known complication of MAS due to airway obstruction and alveolar overdistension. Chest X-ray findings (patchy infiltrates, hyperinflation) and clinical correlation with perinatal history support this diagnosis. Surfactant therapy and mechanical ventilation may be required.</w:t>
            </w:r>
          </w:p>
        </w:tc>
      </w:tr>
      <w:tr xmlns:wp14="http://schemas.microsoft.com/office/word/2010/wordml" w:rsidR="00EC618F" w:rsidTr="5772F532" w14:paraId="1CACF373" wp14:textId="77777777">
        <w:trPr>
          <w:trHeight w:val="3035"/>
        </w:trPr>
        <w:tc>
          <w:tcPr>
            <w:tcW w:w="2885" w:type="dxa"/>
            <w:tcBorders>
              <w:top w:val="nil"/>
              <w:left w:val="nil"/>
              <w:bottom w:val="nil"/>
              <w:right w:val="nil"/>
            </w:tcBorders>
            <w:tcMar>
              <w:top w:w="100" w:type="dxa"/>
              <w:left w:w="100" w:type="dxa"/>
              <w:bottom w:w="100" w:type="dxa"/>
              <w:right w:w="100" w:type="dxa"/>
            </w:tcMar>
          </w:tcPr>
          <w:p w:rsidR="00EC618F" w:rsidRDefault="000E5D19" w14:paraId="6C3146BF" wp14:textId="77777777">
            <w:r>
              <w:rPr>
                <w:b/>
              </w:rPr>
              <w:t>Congenital Pneumonia/Sepsis</w:t>
            </w:r>
          </w:p>
        </w:tc>
        <w:tc>
          <w:tcPr>
            <w:tcW w:w="6350" w:type="dxa"/>
            <w:tcBorders>
              <w:top w:val="nil"/>
              <w:left w:val="nil"/>
              <w:bottom w:val="nil"/>
              <w:right w:val="nil"/>
            </w:tcBorders>
            <w:tcMar>
              <w:top w:w="100" w:type="dxa"/>
              <w:left w:w="100" w:type="dxa"/>
              <w:bottom w:w="100" w:type="dxa"/>
              <w:right w:w="100" w:type="dxa"/>
            </w:tcMar>
          </w:tcPr>
          <w:p w:rsidR="00EC618F" w:rsidRDefault="000E5D19" w14:paraId="48ED88FF" wp14:textId="77777777">
            <w:r w:rsidRPr="5772F532" w:rsidR="000E5D19">
              <w:rPr>
                <w:lang w:val="en-US"/>
              </w:rPr>
              <w:t xml:space="preserve">A history of </w:t>
            </w:r>
            <w:r w:rsidRPr="5772F532" w:rsidR="000E5D19">
              <w:rPr>
                <w:b w:val="1"/>
                <w:bCs w:val="1"/>
                <w:lang w:val="en-US"/>
              </w:rPr>
              <w:t>fetal urinary tract dilation</w:t>
            </w:r>
            <w:r w:rsidRPr="5772F532" w:rsidR="000E5D19">
              <w:rPr>
                <w:lang w:val="en-US"/>
              </w:rPr>
              <w:t xml:space="preserve"> could indicate an underlying congenital anomaly or infection risk, predisposing the newborn to </w:t>
            </w:r>
            <w:r w:rsidRPr="5772F532" w:rsidR="000E5D19">
              <w:rPr>
                <w:b w:val="1"/>
                <w:bCs w:val="1"/>
                <w:lang w:val="en-US"/>
              </w:rPr>
              <w:t>early-onset sepsis and pneumonia</w:t>
            </w:r>
            <w:r w:rsidRPr="5772F532" w:rsidR="000E5D19">
              <w:rPr>
                <w:lang w:val="en-US"/>
              </w:rPr>
              <w:t xml:space="preserve">. The persistent </w:t>
            </w:r>
            <w:r w:rsidRPr="5772F532" w:rsidR="000E5D19">
              <w:rPr>
                <w:b w:val="1"/>
                <w:bCs w:val="1"/>
                <w:lang w:val="en-US"/>
              </w:rPr>
              <w:t>hypoxemia, evolving lung opacity, and need for NICU support</w:t>
            </w:r>
            <w:r w:rsidRPr="5772F532" w:rsidR="000E5D19">
              <w:rPr>
                <w:lang w:val="en-US"/>
              </w:rPr>
              <w:t xml:space="preserve"> raise suspicion for neonatal pneumonia. Blood cultures, inflammatory markers (CRP, procalcitonin), and empirical </w:t>
            </w:r>
            <w:r w:rsidRPr="5772F532" w:rsidR="000E5D19">
              <w:rPr>
                <w:b w:val="1"/>
                <w:bCs w:val="1"/>
                <w:lang w:val="en-US"/>
              </w:rPr>
              <w:t>broad-spectrum antibiotics</w:t>
            </w:r>
            <w:r w:rsidRPr="5772F532" w:rsidR="000E5D19">
              <w:rPr>
                <w:lang w:val="en-US"/>
              </w:rPr>
              <w:t xml:space="preserve"> should be initiated while awaiting results.</w:t>
            </w:r>
          </w:p>
        </w:tc>
      </w:tr>
    </w:tbl>
    <w:p xmlns:wp14="http://schemas.microsoft.com/office/word/2010/wordml" w:rsidR="00EC618F" w:rsidRDefault="000E5D19" w14:paraId="40335669" wp14:textId="77777777">
      <w:pPr>
        <w:pStyle w:val="3"/>
        <w:keepNext w:val="0"/>
        <w:keepLines w:val="0"/>
        <w:spacing w:before="280"/>
        <w:rPr>
          <w:b/>
          <w:color w:val="000000"/>
          <w:sz w:val="26"/>
          <w:szCs w:val="26"/>
        </w:rPr>
      </w:pPr>
      <w:bookmarkStart w:name="_5rueo74tdmfr" w:colFirst="0" w:colLast="0" w:id="2"/>
      <w:bookmarkEnd w:id="2"/>
      <w:r>
        <w:rPr>
          <w:b/>
          <w:color w:val="000000"/>
          <w:sz w:val="26"/>
          <w:szCs w:val="26"/>
        </w:rPr>
        <w:t>Next Steps:</w:t>
      </w:r>
    </w:p>
    <w:p xmlns:wp14="http://schemas.microsoft.com/office/word/2010/wordml" w:rsidR="00EC618F" w:rsidRDefault="000E5D19" w14:paraId="3327F0E9" wp14:textId="77777777">
      <w:pPr>
        <w:numPr>
          <w:ilvl w:val="0"/>
          <w:numId w:val="3"/>
        </w:numPr>
        <w:spacing w:before="240"/>
      </w:pPr>
      <w:r>
        <w:rPr>
          <w:b/>
        </w:rPr>
        <w:t>Echocardiography</w:t>
      </w:r>
      <w:r>
        <w:t xml:space="preserve"> to evaluate for PPHN and exclude structural heart disease.</w:t>
      </w:r>
    </w:p>
    <w:p xmlns:wp14="http://schemas.microsoft.com/office/word/2010/wordml" w:rsidR="00EC618F" w:rsidRDefault="000E5D19" w14:paraId="05132617" wp14:textId="77777777">
      <w:pPr>
        <w:numPr>
          <w:ilvl w:val="0"/>
          <w:numId w:val="3"/>
        </w:numPr>
      </w:pPr>
      <w:r>
        <w:rPr>
          <w:b/>
        </w:rPr>
        <w:t>Chest X-ray and lung ultrasound</w:t>
      </w:r>
      <w:r>
        <w:t xml:space="preserve"> to assess lung pathology.</w:t>
      </w:r>
    </w:p>
    <w:p xmlns:wp14="http://schemas.microsoft.com/office/word/2010/wordml" w:rsidR="00EC618F" w:rsidRDefault="000E5D19" w14:paraId="52FBF0FB" wp14:textId="77777777">
      <w:pPr>
        <w:numPr>
          <w:ilvl w:val="0"/>
          <w:numId w:val="3"/>
        </w:numPr>
      </w:pPr>
      <w:r>
        <w:rPr>
          <w:b/>
        </w:rPr>
        <w:t>Blood cultures, CRP, and procalcitonin</w:t>
      </w:r>
      <w:r>
        <w:t xml:space="preserve"> to rule out congenital infection.</w:t>
      </w:r>
    </w:p>
    <w:p xmlns:wp14="http://schemas.microsoft.com/office/word/2010/wordml" w:rsidR="00EC618F" w:rsidRDefault="000E5D19" w14:paraId="7FC33D7C" wp14:textId="77777777">
      <w:pPr>
        <w:numPr>
          <w:ilvl w:val="0"/>
          <w:numId w:val="3"/>
        </w:numPr>
        <w:rPr/>
      </w:pPr>
      <w:r w:rsidRPr="5772F532" w:rsidR="000E5D19">
        <w:rPr>
          <w:b w:val="1"/>
          <w:bCs w:val="1"/>
          <w:lang w:val="en-US"/>
        </w:rPr>
        <w:t>ABG (arterial blood gas) and oxygenation index</w:t>
      </w:r>
      <w:r w:rsidRPr="5772F532" w:rsidR="000E5D19">
        <w:rPr>
          <w:lang w:val="en-US"/>
        </w:rPr>
        <w:t xml:space="preserve"> to determine respiratory severity.</w:t>
      </w:r>
    </w:p>
    <w:p xmlns:wp14="http://schemas.microsoft.com/office/word/2010/wordml" w:rsidR="00EC618F" w:rsidRDefault="000E5D19" w14:paraId="2743384F" wp14:textId="77777777">
      <w:pPr>
        <w:numPr>
          <w:ilvl w:val="0"/>
          <w:numId w:val="3"/>
        </w:numPr>
        <w:spacing w:after="240"/>
        <w:rPr/>
      </w:pPr>
      <w:r w:rsidRPr="5772F532" w:rsidR="000E5D19">
        <w:rPr>
          <w:b w:val="1"/>
          <w:bCs w:val="1"/>
          <w:lang w:val="en-US"/>
        </w:rPr>
        <w:t>Mechanical ventilation and nitric oxide</w:t>
      </w:r>
      <w:r w:rsidRPr="5772F532" w:rsidR="000E5D19">
        <w:rPr>
          <w:lang w:val="en-US"/>
        </w:rPr>
        <w:t xml:space="preserve"> if PPHN is confirmed.</w:t>
      </w:r>
    </w:p>
    <w:p xmlns:wp14="http://schemas.microsoft.com/office/word/2010/wordml" w:rsidR="00EC618F" w:rsidRDefault="000E5D19" w14:paraId="578EC339" wp14:textId="77777777">
      <w:pPr>
        <w:rPr>
          <w:b/>
        </w:rPr>
      </w:pPr>
      <w:r>
        <w:rPr>
          <w:b/>
        </w:rPr>
        <w:t>The cases sent to chatgpt for analysis and diagnosis overlap with the following:</w:t>
      </w:r>
    </w:p>
    <w:p xmlns:wp14="http://schemas.microsoft.com/office/word/2010/wordml" w:rsidR="00EC618F" w:rsidRDefault="000E5D19" w14:paraId="072F31D4" wp14:textId="77777777">
      <w:r>
        <w:t>Meconium Aspiration Syndrome (MAS)</w:t>
      </w:r>
    </w:p>
    <w:p xmlns:wp14="http://schemas.microsoft.com/office/word/2010/wordml" w:rsidR="00EC618F" w:rsidRDefault="000E5D19" w14:paraId="2B349AEF" wp14:textId="77777777">
      <w:r>
        <w:t>Neonatal Pneumonia/Sepsis</w:t>
      </w:r>
    </w:p>
    <w:p xmlns:wp14="http://schemas.microsoft.com/office/word/2010/wordml" w:rsidR="00EC618F" w:rsidRDefault="000E5D19" w14:paraId="6B45D7DC" wp14:textId="77777777">
      <w:r>
        <w:t>Persistent Pulmonary Hypertension of the Newborn (PPHN)</w:t>
      </w:r>
    </w:p>
    <w:p xmlns:wp14="http://schemas.microsoft.com/office/word/2010/wordml" w:rsidR="00EC618F" w:rsidRDefault="00EC618F" w14:paraId="4B94D5A5" wp14:textId="77777777">
      <w:pPr>
        <w:rPr>
          <w:b/>
        </w:rPr>
      </w:pPr>
    </w:p>
    <w:p xmlns:wp14="http://schemas.microsoft.com/office/word/2010/wordml" w:rsidR="00EC618F" w:rsidRDefault="000E5D19" w14:paraId="786A551E" wp14:textId="77777777">
      <w:r>
        <w:t>—----------------------------------------------------------------------------------------------------------------------------</w:t>
      </w:r>
    </w:p>
    <w:p xmlns:wp14="http://schemas.microsoft.com/office/word/2010/wordml" w:rsidR="00EC618F" w:rsidRDefault="000E5D19" w14:paraId="6E77A4F8" wp14:textId="77777777">
      <w:pPr>
        <w:rPr>
          <w:b/>
        </w:rPr>
      </w:pPr>
      <w:r>
        <w:rPr>
          <w:b/>
        </w:rPr>
        <w:t>NEJMcpc2402488</w:t>
      </w:r>
    </w:p>
    <w:p xmlns:wp14="http://schemas.microsoft.com/office/word/2010/wordml" w:rsidR="00EC618F" w:rsidRDefault="000E5D19" w14:paraId="4BF3E86C" wp14:textId="77777777">
      <w:pPr>
        <w:rPr>
          <w:sz w:val="28"/>
          <w:szCs w:val="28"/>
          <w:u w:val="single"/>
        </w:rPr>
      </w:pPr>
      <w:r>
        <w:rPr>
          <w:b/>
          <w:sz w:val="28"/>
          <w:szCs w:val="28"/>
        </w:rPr>
        <w:t>Case 4 brief:</w:t>
      </w:r>
      <w:r>
        <w:rPr>
          <w:sz w:val="28"/>
          <w:szCs w:val="28"/>
        </w:rPr>
        <w:t xml:space="preserve"> </w:t>
      </w:r>
      <w:r>
        <w:rPr>
          <w:sz w:val="28"/>
          <w:szCs w:val="28"/>
          <w:u w:val="single"/>
        </w:rPr>
        <w:t>A 78-Year-Old Woman with Rapidly Progressive Dementia</w:t>
      </w:r>
    </w:p>
    <w:p xmlns:wp14="http://schemas.microsoft.com/office/word/2010/wordml" w:rsidR="00EC618F" w:rsidRDefault="000E5D19" w14:paraId="4AC5FD52" wp14:textId="77777777">
      <w:pPr>
        <w:rPr>
          <w:sz w:val="28"/>
          <w:szCs w:val="28"/>
          <w:u w:val="single"/>
        </w:rPr>
      </w:pPr>
      <w:r>
        <w:rPr>
          <w:b/>
          <w:sz w:val="28"/>
          <w:szCs w:val="28"/>
        </w:rPr>
        <w:t xml:space="preserve">Case 4 summary: </w:t>
      </w:r>
      <w:r>
        <w:rPr>
          <w:sz w:val="28"/>
          <w:szCs w:val="28"/>
          <w:u w:val="single"/>
        </w:rPr>
        <w:t>A 78-year-old woman with rapidly progressive dementia, confusion, and weight loss. MRI showed temporal lobe hyperintensities and microhemorrhages; EEG and CSF findings suggest inflammation. Further evaluation for autoimmune or paraneoplastic encephalitis needed.</w:t>
      </w:r>
    </w:p>
    <w:p xmlns:wp14="http://schemas.microsoft.com/office/word/2010/wordml" w:rsidR="00EC618F" w:rsidRDefault="00EC618F" w14:paraId="3DEEC669" wp14:textId="77777777"/>
    <w:p xmlns:wp14="http://schemas.microsoft.com/office/word/2010/wordml" w:rsidR="00EC618F" w:rsidRDefault="000E5D19" w14:paraId="6A9FA882" wp14:textId="77777777">
      <w:pPr>
        <w:spacing w:before="240" w:after="240"/>
      </w:pPr>
      <w:r>
        <w:t>Here is the structured differential diagnosis table based on the provided case details:</w:t>
      </w:r>
    </w:p>
    <w:tbl>
      <w:tblPr>
        <w:tblStyle w:val="a8"/>
        <w:tblW w:w="923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300"/>
        <w:gridCol w:w="6935"/>
      </w:tblGrid>
      <w:tr xmlns:wp14="http://schemas.microsoft.com/office/word/2010/wordml" w:rsidR="00EC618F" w:rsidTr="5772F532" w14:paraId="7E13B70A" wp14:textId="77777777">
        <w:trPr>
          <w:trHeight w:val="860"/>
        </w:trPr>
        <w:tc>
          <w:tcPr>
            <w:tcW w:w="2300" w:type="dxa"/>
            <w:tcBorders>
              <w:top w:val="nil"/>
              <w:left w:val="nil"/>
              <w:bottom w:val="nil"/>
              <w:right w:val="nil"/>
            </w:tcBorders>
            <w:tcMar>
              <w:top w:w="100" w:type="dxa"/>
              <w:left w:w="100" w:type="dxa"/>
              <w:bottom w:w="100" w:type="dxa"/>
              <w:right w:w="100" w:type="dxa"/>
            </w:tcMar>
          </w:tcPr>
          <w:p w:rsidR="00EC618F" w:rsidRDefault="000E5D19" w14:paraId="14259836" wp14:textId="77777777">
            <w:pPr>
              <w:jc w:val="center"/>
            </w:pPr>
            <w:r>
              <w:rPr>
                <w:b/>
              </w:rPr>
              <w:t>Differential Diagnosis</w:t>
            </w:r>
          </w:p>
        </w:tc>
        <w:tc>
          <w:tcPr>
            <w:tcW w:w="6935" w:type="dxa"/>
            <w:tcBorders>
              <w:top w:val="nil"/>
              <w:left w:val="nil"/>
              <w:bottom w:val="nil"/>
              <w:right w:val="nil"/>
            </w:tcBorders>
            <w:tcMar>
              <w:top w:w="100" w:type="dxa"/>
              <w:left w:w="100" w:type="dxa"/>
              <w:bottom w:w="100" w:type="dxa"/>
              <w:right w:w="100" w:type="dxa"/>
            </w:tcMar>
          </w:tcPr>
          <w:p w:rsidR="00EC618F" w:rsidRDefault="000E5D19" w14:paraId="5D571E9B" wp14:textId="77777777">
            <w:pPr>
              <w:jc w:val="center"/>
            </w:pPr>
            <w:r>
              <w:rPr>
                <w:b/>
              </w:rPr>
              <w:t>Reasoning</w:t>
            </w:r>
          </w:p>
        </w:tc>
      </w:tr>
      <w:tr xmlns:wp14="http://schemas.microsoft.com/office/word/2010/wordml" w:rsidR="00EC618F" w:rsidTr="5772F532" w14:paraId="557FA9DF" wp14:textId="77777777">
        <w:trPr>
          <w:trHeight w:val="3035"/>
        </w:trPr>
        <w:tc>
          <w:tcPr>
            <w:tcW w:w="2300" w:type="dxa"/>
            <w:tcBorders>
              <w:top w:val="nil"/>
              <w:left w:val="nil"/>
              <w:bottom w:val="nil"/>
              <w:right w:val="nil"/>
            </w:tcBorders>
            <w:tcMar>
              <w:top w:w="100" w:type="dxa"/>
              <w:left w:w="100" w:type="dxa"/>
              <w:bottom w:w="100" w:type="dxa"/>
              <w:right w:w="100" w:type="dxa"/>
            </w:tcMar>
          </w:tcPr>
          <w:p w:rsidR="00EC618F" w:rsidRDefault="000E5D19" w14:paraId="5B5F20A6" wp14:textId="77777777">
            <w:r>
              <w:rPr>
                <w:b/>
              </w:rPr>
              <w:t>Autoimmune or Paraneoplastic Encephalitis</w:t>
            </w:r>
          </w:p>
        </w:tc>
        <w:tc>
          <w:tcPr>
            <w:tcW w:w="6935" w:type="dxa"/>
            <w:tcBorders>
              <w:top w:val="nil"/>
              <w:left w:val="nil"/>
              <w:bottom w:val="nil"/>
              <w:right w:val="nil"/>
            </w:tcBorders>
            <w:tcMar>
              <w:top w:w="100" w:type="dxa"/>
              <w:left w:w="100" w:type="dxa"/>
              <w:bottom w:w="100" w:type="dxa"/>
              <w:right w:w="100" w:type="dxa"/>
            </w:tcMar>
          </w:tcPr>
          <w:p w:rsidR="00EC618F" w:rsidRDefault="000E5D19" w14:paraId="089DE5C1" wp14:textId="77777777">
            <w:r>
              <w:t xml:space="preserve">The </w:t>
            </w:r>
            <w:r>
              <w:rPr>
                <w:b/>
              </w:rPr>
              <w:t>temporal lobe hyperintensities on MRI</w:t>
            </w:r>
            <w:r>
              <w:t xml:space="preserve">, </w:t>
            </w:r>
            <w:r>
              <w:rPr>
                <w:b/>
              </w:rPr>
              <w:t>EEG and CSF findings suggesting inflammation</w:t>
            </w:r>
            <w:r>
              <w:t xml:space="preserve">, and </w:t>
            </w:r>
            <w:r>
              <w:rPr>
                <w:b/>
              </w:rPr>
              <w:t>rapid cognitive decline</w:t>
            </w:r>
            <w:r>
              <w:t xml:space="preserve"> are highly suggestive of autoimmune or paraneoplastic encephalitis, such as </w:t>
            </w:r>
            <w:r>
              <w:rPr>
                <w:b/>
              </w:rPr>
              <w:t>anti-LGI1, anti-Hu, or anti-NMDA receptor encephalitis</w:t>
            </w:r>
            <w:r>
              <w:t xml:space="preserve">. Paraneoplastic causes should be considered, especially </w:t>
            </w:r>
            <w:r>
              <w:rPr>
                <w:b/>
              </w:rPr>
              <w:t>lung, ovarian, or breast cancer</w:t>
            </w:r>
            <w:r>
              <w:t xml:space="preserve">. Testing for </w:t>
            </w:r>
            <w:r>
              <w:rPr>
                <w:b/>
              </w:rPr>
              <w:t>autoimmune and paraneoplastic antibodies (serum and CSF)</w:t>
            </w:r>
            <w:r>
              <w:t xml:space="preserve"> and whole-body </w:t>
            </w:r>
            <w:r>
              <w:rPr>
                <w:b/>
              </w:rPr>
              <w:t>PET/CT</w:t>
            </w:r>
            <w:r>
              <w:t xml:space="preserve"> to screen for malignancy are recommended.</w:t>
            </w:r>
          </w:p>
        </w:tc>
      </w:tr>
      <w:tr xmlns:wp14="http://schemas.microsoft.com/office/word/2010/wordml" w:rsidR="00EC618F" w:rsidTr="5772F532" w14:paraId="10D5027F" wp14:textId="77777777">
        <w:trPr>
          <w:trHeight w:val="2720"/>
        </w:trPr>
        <w:tc>
          <w:tcPr>
            <w:tcW w:w="2300" w:type="dxa"/>
            <w:tcBorders>
              <w:top w:val="nil"/>
              <w:left w:val="nil"/>
              <w:bottom w:val="nil"/>
              <w:right w:val="nil"/>
            </w:tcBorders>
            <w:tcMar>
              <w:top w:w="100" w:type="dxa"/>
              <w:left w:w="100" w:type="dxa"/>
              <w:bottom w:w="100" w:type="dxa"/>
              <w:right w:w="100" w:type="dxa"/>
            </w:tcMar>
          </w:tcPr>
          <w:p w:rsidR="00EC618F" w:rsidRDefault="000E5D19" w14:paraId="694D1BF5" wp14:textId="77777777">
            <w:r>
              <w:rPr>
                <w:b/>
              </w:rPr>
              <w:t>Prion Disease (Creutzfeldt-Jakob Disease - CJD)</w:t>
            </w:r>
          </w:p>
        </w:tc>
        <w:tc>
          <w:tcPr>
            <w:tcW w:w="6935" w:type="dxa"/>
            <w:tcBorders>
              <w:top w:val="nil"/>
              <w:left w:val="nil"/>
              <w:bottom w:val="nil"/>
              <w:right w:val="nil"/>
            </w:tcBorders>
            <w:tcMar>
              <w:top w:w="100" w:type="dxa"/>
              <w:left w:w="100" w:type="dxa"/>
              <w:bottom w:w="100" w:type="dxa"/>
              <w:right w:w="100" w:type="dxa"/>
            </w:tcMar>
          </w:tcPr>
          <w:p w:rsidR="00EC618F" w:rsidRDefault="000E5D19" w14:paraId="0D13B8C2" wp14:textId="77777777">
            <w:r w:rsidRPr="5772F532" w:rsidR="000E5D19">
              <w:rPr>
                <w:b w:val="1"/>
                <w:bCs w:val="1"/>
                <w:lang w:val="en-US"/>
              </w:rPr>
              <w:t>Rapidly progressive dementia, confusion, and weight loss</w:t>
            </w:r>
            <w:r w:rsidRPr="5772F532" w:rsidR="000E5D19">
              <w:rPr>
                <w:lang w:val="en-US"/>
              </w:rPr>
              <w:t xml:space="preserve"> are concerning for </w:t>
            </w:r>
            <w:r w:rsidRPr="5772F532" w:rsidR="000E5D19">
              <w:rPr>
                <w:b w:val="1"/>
                <w:bCs w:val="1"/>
                <w:lang w:val="en-US"/>
              </w:rPr>
              <w:t>sporadic CJD</w:t>
            </w:r>
            <w:r w:rsidRPr="5772F532" w:rsidR="000E5D19">
              <w:rPr>
                <w:lang w:val="en-US"/>
              </w:rPr>
              <w:t xml:space="preserve">, especially given the </w:t>
            </w:r>
            <w:r w:rsidRPr="5772F532" w:rsidR="000E5D19">
              <w:rPr>
                <w:b w:val="1"/>
                <w:bCs w:val="1"/>
                <w:lang w:val="en-US"/>
              </w:rPr>
              <w:t>microhemorrhages and cortical hyperintensities</w:t>
            </w:r>
            <w:r w:rsidRPr="5772F532" w:rsidR="000E5D19">
              <w:rPr>
                <w:lang w:val="en-US"/>
              </w:rPr>
              <w:t xml:space="preserve">, which could be part of the “cortical ribboning” seen in prion disease. EEG may show </w:t>
            </w:r>
            <w:r w:rsidRPr="5772F532" w:rsidR="000E5D19">
              <w:rPr>
                <w:b w:val="1"/>
                <w:bCs w:val="1"/>
                <w:lang w:val="en-US"/>
              </w:rPr>
              <w:t>periodic sharp-wave complexes</w:t>
            </w:r>
            <w:r w:rsidRPr="5772F532" w:rsidR="000E5D19">
              <w:rPr>
                <w:lang w:val="en-US"/>
              </w:rPr>
              <w:t>, and CSF markers (</w:t>
            </w:r>
            <w:r w:rsidRPr="5772F532" w:rsidR="000E5D19">
              <w:rPr>
                <w:b w:val="1"/>
                <w:bCs w:val="1"/>
                <w:lang w:val="en-US"/>
              </w:rPr>
              <w:t>14-3-3 protein, RT-QuIC</w:t>
            </w:r>
            <w:r w:rsidRPr="5772F532" w:rsidR="000E5D19">
              <w:rPr>
                <w:lang w:val="en-US"/>
              </w:rPr>
              <w:t>) can support this diagnosis. No effective treatment is available, and prognosis is poor.</w:t>
            </w:r>
          </w:p>
        </w:tc>
      </w:tr>
      <w:tr xmlns:wp14="http://schemas.microsoft.com/office/word/2010/wordml" w:rsidR="00EC618F" w:rsidTr="5772F532" w14:paraId="29CCCD81" wp14:textId="77777777">
        <w:trPr>
          <w:trHeight w:val="3035"/>
        </w:trPr>
        <w:tc>
          <w:tcPr>
            <w:tcW w:w="2300" w:type="dxa"/>
            <w:tcBorders>
              <w:top w:val="nil"/>
              <w:left w:val="nil"/>
              <w:bottom w:val="nil"/>
              <w:right w:val="nil"/>
            </w:tcBorders>
            <w:tcMar>
              <w:top w:w="100" w:type="dxa"/>
              <w:left w:w="100" w:type="dxa"/>
              <w:bottom w:w="100" w:type="dxa"/>
              <w:right w:w="100" w:type="dxa"/>
            </w:tcMar>
          </w:tcPr>
          <w:p w:rsidR="00EC618F" w:rsidRDefault="000E5D19" w14:paraId="2E5FB37D" wp14:textId="77777777">
            <w:r>
              <w:rPr>
                <w:b/>
              </w:rPr>
              <w:t>Primary CNS Vasculitis</w:t>
            </w:r>
          </w:p>
        </w:tc>
        <w:tc>
          <w:tcPr>
            <w:tcW w:w="6935" w:type="dxa"/>
            <w:tcBorders>
              <w:top w:val="nil"/>
              <w:left w:val="nil"/>
              <w:bottom w:val="nil"/>
              <w:right w:val="nil"/>
            </w:tcBorders>
            <w:tcMar>
              <w:top w:w="100" w:type="dxa"/>
              <w:left w:w="100" w:type="dxa"/>
              <w:bottom w:w="100" w:type="dxa"/>
              <w:right w:w="100" w:type="dxa"/>
            </w:tcMar>
          </w:tcPr>
          <w:p w:rsidR="00EC618F" w:rsidRDefault="000E5D19" w14:paraId="2BFDA025" wp14:textId="77777777">
            <w:r>
              <w:t xml:space="preserve">The combination of </w:t>
            </w:r>
            <w:r>
              <w:rPr>
                <w:b/>
              </w:rPr>
              <w:t>progressive cognitive decline, microhemorrhages, and MRI evidence of inflammation</w:t>
            </w:r>
            <w:r>
              <w:t xml:space="preserve"> suggests CNS vasculitis. This can lead to </w:t>
            </w:r>
            <w:r>
              <w:rPr>
                <w:b/>
              </w:rPr>
              <w:t>ischemic or hemorrhagic lesions</w:t>
            </w:r>
            <w:r>
              <w:t xml:space="preserve">, causing </w:t>
            </w:r>
            <w:r>
              <w:rPr>
                <w:b/>
              </w:rPr>
              <w:t>rapid neurological deterioration</w:t>
            </w:r>
            <w:r>
              <w:t xml:space="preserve">. CSF pleocytosis and elevated inflammatory markers (ESR, CRP) may support this diagnosis, and </w:t>
            </w:r>
            <w:r>
              <w:rPr>
                <w:b/>
              </w:rPr>
              <w:t>cerebral angiography or brain biopsy</w:t>
            </w:r>
            <w:r>
              <w:t xml:space="preserve"> might be required for confirmation. Treatment typically involves </w:t>
            </w:r>
            <w:r>
              <w:rPr>
                <w:b/>
              </w:rPr>
              <w:t>high-dose corticosteroids and immunosuppression</w:t>
            </w:r>
            <w:r>
              <w:t>.</w:t>
            </w:r>
          </w:p>
        </w:tc>
      </w:tr>
    </w:tbl>
    <w:p xmlns:wp14="http://schemas.microsoft.com/office/word/2010/wordml" w:rsidR="00EC618F" w:rsidRDefault="000E5D19" w14:paraId="3A5F7D55" wp14:textId="77777777">
      <w:pPr>
        <w:pStyle w:val="3"/>
        <w:keepNext w:val="0"/>
        <w:keepLines w:val="0"/>
        <w:spacing w:before="280"/>
        <w:rPr>
          <w:b/>
          <w:color w:val="000000"/>
          <w:sz w:val="26"/>
          <w:szCs w:val="26"/>
        </w:rPr>
      </w:pPr>
      <w:bookmarkStart w:name="_4zmsxa1t0g2d" w:colFirst="0" w:colLast="0" w:id="3"/>
      <w:bookmarkEnd w:id="3"/>
      <w:r>
        <w:rPr>
          <w:b/>
          <w:color w:val="000000"/>
          <w:sz w:val="26"/>
          <w:szCs w:val="26"/>
        </w:rPr>
        <w:t>Next Steps:</w:t>
      </w:r>
    </w:p>
    <w:p xmlns:wp14="http://schemas.microsoft.com/office/word/2010/wordml" w:rsidR="00EC618F" w:rsidRDefault="000E5D19" w14:paraId="2E5545C2" wp14:textId="77777777">
      <w:pPr>
        <w:numPr>
          <w:ilvl w:val="0"/>
          <w:numId w:val="1"/>
        </w:numPr>
        <w:spacing w:before="240"/>
      </w:pPr>
      <w:r>
        <w:rPr>
          <w:b/>
        </w:rPr>
        <w:t>Serum and CSF autoimmune encephalitis panel</w:t>
      </w:r>
      <w:r>
        <w:t xml:space="preserve"> (anti-NMDA, anti-LGI1, anti-Hu, etc.).</w:t>
      </w:r>
    </w:p>
    <w:p xmlns:wp14="http://schemas.microsoft.com/office/word/2010/wordml" w:rsidR="00EC618F" w:rsidRDefault="000E5D19" w14:paraId="76D4437A" wp14:textId="77777777">
      <w:pPr>
        <w:numPr>
          <w:ilvl w:val="0"/>
          <w:numId w:val="1"/>
        </w:numPr>
        <w:rPr/>
      </w:pPr>
      <w:r w:rsidRPr="5772F532" w:rsidR="000E5D19">
        <w:rPr>
          <w:b w:val="1"/>
          <w:bCs w:val="1"/>
          <w:lang w:val="en-US"/>
        </w:rPr>
        <w:t>CSF prion markers (14-3-3 protein, RT-QuIC) and EEG</w:t>
      </w:r>
      <w:r w:rsidRPr="5772F532" w:rsidR="000E5D19">
        <w:rPr>
          <w:lang w:val="en-US"/>
        </w:rPr>
        <w:t xml:space="preserve"> for CJD.</w:t>
      </w:r>
    </w:p>
    <w:p xmlns:wp14="http://schemas.microsoft.com/office/word/2010/wordml" w:rsidR="00EC618F" w:rsidRDefault="000E5D19" w14:paraId="3C65B5F1" wp14:textId="77777777">
      <w:pPr>
        <w:numPr>
          <w:ilvl w:val="0"/>
          <w:numId w:val="1"/>
        </w:numPr>
      </w:pPr>
      <w:r>
        <w:rPr>
          <w:b/>
        </w:rPr>
        <w:t>MRI with contrast and cerebral angiography</w:t>
      </w:r>
      <w:r>
        <w:t xml:space="preserve"> if CNS vasculitis is suspected.</w:t>
      </w:r>
    </w:p>
    <w:p xmlns:wp14="http://schemas.microsoft.com/office/word/2010/wordml" w:rsidR="00EC618F" w:rsidRDefault="000E5D19" w14:paraId="2CBB0253" wp14:textId="77777777">
      <w:pPr>
        <w:numPr>
          <w:ilvl w:val="0"/>
          <w:numId w:val="1"/>
        </w:numPr>
      </w:pPr>
      <w:r>
        <w:rPr>
          <w:b/>
        </w:rPr>
        <w:t>PET/CT</w:t>
      </w:r>
      <w:r>
        <w:t xml:space="preserve"> to screen for malignancy in paraneoplastic cases.</w:t>
      </w:r>
    </w:p>
    <w:p xmlns:wp14="http://schemas.microsoft.com/office/word/2010/wordml" w:rsidR="00EC618F" w:rsidRDefault="000E5D19" w14:paraId="24D95A32" wp14:textId="77777777">
      <w:pPr>
        <w:numPr>
          <w:ilvl w:val="0"/>
          <w:numId w:val="1"/>
        </w:numPr>
        <w:spacing w:after="240"/>
        <w:rPr/>
      </w:pPr>
      <w:r w:rsidRPr="5772F532" w:rsidR="000E5D19">
        <w:rPr>
          <w:b w:val="1"/>
          <w:bCs w:val="1"/>
          <w:lang w:val="en-US"/>
        </w:rPr>
        <w:t>Brain biopsy</w:t>
      </w:r>
      <w:r w:rsidRPr="5772F532" w:rsidR="000E5D19">
        <w:rPr>
          <w:lang w:val="en-US"/>
        </w:rPr>
        <w:t xml:space="preserve"> if diagnosis remains unclear.</w:t>
      </w:r>
    </w:p>
    <w:p xmlns:wp14="http://schemas.microsoft.com/office/word/2010/wordml" w:rsidR="00EC618F" w:rsidRDefault="000E5D19" w14:paraId="5705B365" wp14:textId="77777777">
      <w:pPr>
        <w:rPr>
          <w:b/>
        </w:rPr>
      </w:pPr>
      <w:r>
        <w:rPr>
          <w:b/>
        </w:rPr>
        <w:t>The cases sent to chatgpt for analysis and diagnosis overlap with the following:</w:t>
      </w:r>
    </w:p>
    <w:p xmlns:wp14="http://schemas.microsoft.com/office/word/2010/wordml" w:rsidR="00EC618F" w:rsidRDefault="000E5D19" w14:paraId="29423B5A" wp14:textId="77777777">
      <w:r>
        <w:t>Autoimmune or Paraneoplastic Encephalitis</w:t>
      </w:r>
    </w:p>
    <w:p xmlns:wp14="http://schemas.microsoft.com/office/word/2010/wordml" w:rsidR="00EC618F" w:rsidRDefault="000E5D19" w14:paraId="3DCAE370" wp14:textId="77777777">
      <w:r>
        <w:t>Prion Disease (Creutzfeldt-Jakob Disease - CJD)</w:t>
      </w:r>
    </w:p>
    <w:p xmlns:wp14="http://schemas.microsoft.com/office/word/2010/wordml" w:rsidR="00EC618F" w:rsidRDefault="000E5D19" w14:paraId="1B1614D2" wp14:textId="77777777">
      <w:r>
        <w:t>Primary CNS Vasculitis</w:t>
      </w:r>
    </w:p>
    <w:p xmlns:wp14="http://schemas.microsoft.com/office/word/2010/wordml" w:rsidR="00EC618F" w:rsidRDefault="00EC618F" w14:paraId="3656B9AB" wp14:textId="77777777"/>
    <w:sectPr w:rsidR="00EC618F">
      <w:pgSz w:w="12240" w:h="15840" w:orient="portrait"/>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AF4151"/>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77F278A"/>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B3D2504"/>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9572561"/>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87429517">
    <w:abstractNumId w:val="0"/>
  </w:num>
  <w:num w:numId="2" w16cid:durableId="1165172769">
    <w:abstractNumId w:val="1"/>
  </w:num>
  <w:num w:numId="3" w16cid:durableId="527989340">
    <w:abstractNumId w:val="2"/>
  </w:num>
  <w:num w:numId="4" w16cid:durableId="750199704">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bordersDoNotSurroundHeader/>
  <w:bordersDoNotSurroundFooter/>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618F"/>
    <w:rsid w:val="000E5D19"/>
    <w:rsid w:val="0038654A"/>
    <w:rsid w:val="00EC618F"/>
    <w:rsid w:val="5772F53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5D90B432"/>
  <w15:docId w15:val="{33C15200-9F03-4BB5-951A-6E0D7FDCF33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Arial" w:hAnsi="Arial" w:cs="Arial" w:eastAsiaTheme="minorEastAsia"/>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 w:default="1">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table" w:styleId="TableNormal" w:customStyle="1">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styleId="a5" w:customStyle="1">
    <w:basedOn w:val="TableNormal"/>
    <w:tblPr>
      <w:tblStyleRowBandSize w:val="1"/>
      <w:tblStyleColBandSize w:val="1"/>
      <w:tblCellMar>
        <w:top w:w="100" w:type="dxa"/>
        <w:left w:w="100" w:type="dxa"/>
        <w:bottom w:w="100" w:type="dxa"/>
        <w:right w:w="100" w:type="dxa"/>
      </w:tblCellMar>
    </w:tblPr>
  </w:style>
  <w:style w:type="table" w:styleId="a6" w:customStyle="1">
    <w:basedOn w:val="TableNormal"/>
    <w:tblPr>
      <w:tblStyleRowBandSize w:val="1"/>
      <w:tblStyleColBandSize w:val="1"/>
      <w:tblCellMar>
        <w:top w:w="100" w:type="dxa"/>
        <w:left w:w="100" w:type="dxa"/>
        <w:bottom w:w="100" w:type="dxa"/>
        <w:right w:w="100" w:type="dxa"/>
      </w:tblCellMar>
    </w:tblPr>
  </w:style>
  <w:style w:type="table" w:styleId="a7" w:customStyle="1">
    <w:basedOn w:val="TableNormal"/>
    <w:tblPr>
      <w:tblStyleRowBandSize w:val="1"/>
      <w:tblStyleColBandSize w:val="1"/>
      <w:tblCellMar>
        <w:top w:w="100" w:type="dxa"/>
        <w:left w:w="100" w:type="dxa"/>
        <w:bottom w:w="100" w:type="dxa"/>
        <w:right w:w="100" w:type="dxa"/>
      </w:tblCellMar>
    </w:tblPr>
  </w:style>
  <w:style w:type="table" w:styleId="a8" w:customStyle="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Zeng, Haijun</lastModifiedBy>
  <revision>2</revision>
  <dcterms:created xsi:type="dcterms:W3CDTF">2025-03-16T02:13:00.0000000Z</dcterms:created>
  <dcterms:modified xsi:type="dcterms:W3CDTF">2025-03-16T02:13:57.9506673Z</dcterms:modified>
</coreProperties>
</file>