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2E402" w14:textId="0871ECC7" w:rsidR="00BD1CEB" w:rsidRPr="00581D8D" w:rsidRDefault="007665EB" w:rsidP="00D14842">
      <w:pPr>
        <w:pStyle w:val="Title"/>
        <w:rPr>
          <w:rFonts w:ascii="Arial" w:hAnsi="Arial" w:cs="Arial"/>
          <w:b/>
          <w:bCs/>
          <w:sz w:val="40"/>
          <w:szCs w:val="40"/>
          <w:lang w:val="en-US"/>
        </w:rPr>
      </w:pPr>
      <w:r w:rsidRPr="00581D8D">
        <w:rPr>
          <w:rFonts w:ascii="Arial" w:hAnsi="Arial" w:cs="Arial"/>
          <w:b/>
          <w:bCs/>
          <w:sz w:val="40"/>
          <w:szCs w:val="40"/>
          <w:lang w:val="en-US"/>
        </w:rPr>
        <w:t xml:space="preserve">The </w:t>
      </w:r>
      <w:r w:rsidR="009602E1" w:rsidRPr="00581D8D">
        <w:rPr>
          <w:rFonts w:ascii="Arial" w:hAnsi="Arial" w:cs="Arial"/>
          <w:b/>
          <w:bCs/>
          <w:sz w:val="40"/>
          <w:szCs w:val="40"/>
          <w:lang w:val="en-US"/>
        </w:rPr>
        <w:t>Philippines</w:t>
      </w:r>
    </w:p>
    <w:p w14:paraId="04B1103D" w14:textId="6A0F7D7D" w:rsidR="00821DE9" w:rsidRPr="00581D8D" w:rsidRDefault="00BD1CEB" w:rsidP="005D4F51">
      <w:pPr>
        <w:pStyle w:val="Heading2"/>
        <w:rPr>
          <w:rFonts w:ascii="Arial" w:hAnsi="Arial" w:cs="Arial"/>
          <w:b/>
          <w:bCs/>
          <w:sz w:val="24"/>
          <w:szCs w:val="24"/>
          <w:lang w:val="en-US"/>
        </w:rPr>
      </w:pPr>
      <w:r w:rsidRPr="00581D8D">
        <w:rPr>
          <w:rFonts w:ascii="Arial" w:hAnsi="Arial" w:cs="Arial"/>
          <w:b/>
          <w:bCs/>
          <w:sz w:val="24"/>
          <w:szCs w:val="24"/>
          <w:lang w:val="en-US"/>
        </w:rPr>
        <w:t>Energy Policy Context and Recent Developments</w:t>
      </w:r>
    </w:p>
    <w:p w14:paraId="165208CB" w14:textId="77777777" w:rsidR="00991A5C" w:rsidRPr="00581D8D" w:rsidRDefault="00991A5C" w:rsidP="00991A5C">
      <w:pPr>
        <w:pStyle w:val="NoSpacing"/>
        <w:jc w:val="both"/>
        <w:rPr>
          <w:rFonts w:ascii="Arial" w:hAnsi="Arial" w:cs="Arial"/>
          <w:lang w:val="en-US"/>
        </w:rPr>
      </w:pPr>
    </w:p>
    <w:p w14:paraId="0E45AC88" w14:textId="71509E26" w:rsidR="009602E1" w:rsidRPr="00581D8D" w:rsidRDefault="009602E1" w:rsidP="00BC0F8B">
      <w:pPr>
        <w:pStyle w:val="NoSpacing"/>
        <w:numPr>
          <w:ilvl w:val="0"/>
          <w:numId w:val="6"/>
        </w:numPr>
        <w:jc w:val="both"/>
        <w:rPr>
          <w:rFonts w:ascii="Arial" w:hAnsi="Arial" w:cs="Arial"/>
          <w:b/>
          <w:bCs/>
          <w:lang w:val="en-US"/>
        </w:rPr>
      </w:pPr>
      <w:r w:rsidRPr="00581D8D">
        <w:rPr>
          <w:rFonts w:ascii="Arial" w:hAnsi="Arial" w:cs="Arial"/>
          <w:b/>
          <w:bCs/>
          <w:lang w:val="en-US"/>
        </w:rPr>
        <w:t>Paris Agreement</w:t>
      </w:r>
    </w:p>
    <w:p w14:paraId="3D3C7E5A" w14:textId="77777777" w:rsidR="00B40AA4" w:rsidRPr="00581D8D" w:rsidRDefault="00B40AA4" w:rsidP="00991A5C">
      <w:pPr>
        <w:pStyle w:val="NoSpacing"/>
        <w:jc w:val="both"/>
        <w:rPr>
          <w:rFonts w:ascii="Arial" w:hAnsi="Arial" w:cs="Arial"/>
          <w:lang w:val="en-US"/>
        </w:rPr>
      </w:pPr>
    </w:p>
    <w:p w14:paraId="3BFD5C87" w14:textId="77777777" w:rsidR="00874B49" w:rsidRPr="00581D8D" w:rsidRDefault="001664DC" w:rsidP="00991A5C">
      <w:pPr>
        <w:pStyle w:val="NoSpacing"/>
        <w:jc w:val="both"/>
        <w:rPr>
          <w:rFonts w:ascii="Arial" w:hAnsi="Arial" w:cs="Arial"/>
          <w:lang w:val="en-US"/>
        </w:rPr>
      </w:pPr>
      <w:r w:rsidRPr="00581D8D">
        <w:rPr>
          <w:rFonts w:ascii="Arial" w:hAnsi="Arial" w:cs="Arial"/>
          <w:lang w:val="en-US"/>
        </w:rPr>
        <w:t xml:space="preserve">The </w:t>
      </w:r>
      <w:r w:rsidR="00C86209" w:rsidRPr="00581D8D">
        <w:rPr>
          <w:rFonts w:ascii="Arial" w:hAnsi="Arial" w:cs="Arial"/>
          <w:lang w:val="en-US"/>
        </w:rPr>
        <w:t>Philippines</w:t>
      </w:r>
      <w:r w:rsidRPr="00581D8D">
        <w:rPr>
          <w:rFonts w:ascii="Arial" w:hAnsi="Arial" w:cs="Arial"/>
          <w:lang w:val="en-US"/>
        </w:rPr>
        <w:t xml:space="preserve"> </w:t>
      </w:r>
      <w:r w:rsidR="00544A66" w:rsidRPr="00581D8D">
        <w:rPr>
          <w:rFonts w:ascii="Arial" w:hAnsi="Arial" w:cs="Arial"/>
          <w:lang w:val="en-US"/>
        </w:rPr>
        <w:t>submitted its first NDC</w:t>
      </w:r>
      <w:r w:rsidR="00924A16" w:rsidRPr="00581D8D">
        <w:rPr>
          <w:rStyle w:val="FootnoteReference"/>
          <w:rFonts w:ascii="Arial" w:hAnsi="Arial" w:cs="Arial"/>
          <w:lang w:val="en-US"/>
        </w:rPr>
        <w:footnoteReference w:id="2"/>
      </w:r>
      <w:r w:rsidR="00544A66" w:rsidRPr="00581D8D">
        <w:rPr>
          <w:rFonts w:ascii="Arial" w:hAnsi="Arial" w:cs="Arial"/>
          <w:lang w:val="en-US"/>
        </w:rPr>
        <w:t xml:space="preserve"> in </w:t>
      </w:r>
      <w:r w:rsidR="004C4641" w:rsidRPr="00581D8D">
        <w:rPr>
          <w:rFonts w:ascii="Arial" w:hAnsi="Arial" w:cs="Arial"/>
          <w:lang w:val="en-US"/>
        </w:rPr>
        <w:t xml:space="preserve">2021, in which the economy </w:t>
      </w:r>
      <w:r w:rsidR="00C33783" w:rsidRPr="00581D8D">
        <w:rPr>
          <w:rFonts w:ascii="Arial" w:hAnsi="Arial" w:cs="Arial"/>
          <w:lang w:val="en-US"/>
        </w:rPr>
        <w:t>pledged to reduce its GHG emissions by 75%</w:t>
      </w:r>
      <w:r w:rsidR="00A73BAA" w:rsidRPr="00581D8D">
        <w:rPr>
          <w:rFonts w:ascii="Arial" w:hAnsi="Arial" w:cs="Arial"/>
          <w:lang w:val="en-US"/>
        </w:rPr>
        <w:t xml:space="preserve"> </w:t>
      </w:r>
      <w:r w:rsidR="00C33783" w:rsidRPr="00581D8D">
        <w:rPr>
          <w:rFonts w:ascii="Arial" w:hAnsi="Arial" w:cs="Arial"/>
          <w:lang w:val="en-US"/>
        </w:rPr>
        <w:t>relative to its B</w:t>
      </w:r>
      <w:r w:rsidR="00A73BAA" w:rsidRPr="00581D8D">
        <w:rPr>
          <w:rFonts w:ascii="Arial" w:hAnsi="Arial" w:cs="Arial"/>
          <w:lang w:val="en-US"/>
        </w:rPr>
        <w:t>AU levels in 2030. Much of this reduction</w:t>
      </w:r>
      <w:r w:rsidR="00FA0C92" w:rsidRPr="00581D8D">
        <w:rPr>
          <w:rFonts w:ascii="Arial" w:hAnsi="Arial" w:cs="Arial"/>
          <w:lang w:val="en-US"/>
        </w:rPr>
        <w:t xml:space="preserve"> (72.2</w:t>
      </w:r>
      <w:r w:rsidR="009B32AA" w:rsidRPr="00581D8D">
        <w:rPr>
          <w:rFonts w:ascii="Arial" w:hAnsi="Arial" w:cs="Arial"/>
          <w:lang w:val="en-US"/>
        </w:rPr>
        <w:t>9</w:t>
      </w:r>
      <w:r w:rsidR="00FA0C92" w:rsidRPr="00581D8D">
        <w:rPr>
          <w:rFonts w:ascii="Arial" w:hAnsi="Arial" w:cs="Arial"/>
          <w:lang w:val="en-US"/>
        </w:rPr>
        <w:t>%)</w:t>
      </w:r>
      <w:r w:rsidR="00A73BAA" w:rsidRPr="00581D8D">
        <w:rPr>
          <w:rFonts w:ascii="Arial" w:hAnsi="Arial" w:cs="Arial"/>
          <w:lang w:val="en-US"/>
        </w:rPr>
        <w:t xml:space="preserve"> would be achieved </w:t>
      </w:r>
      <w:r w:rsidR="00FA0C92" w:rsidRPr="00581D8D">
        <w:rPr>
          <w:rFonts w:ascii="Arial" w:hAnsi="Arial" w:cs="Arial"/>
          <w:lang w:val="en-US"/>
        </w:rPr>
        <w:t>with international support</w:t>
      </w:r>
      <w:r w:rsidR="00943CA8" w:rsidRPr="00581D8D">
        <w:rPr>
          <w:rFonts w:ascii="Arial" w:hAnsi="Arial" w:cs="Arial"/>
          <w:lang w:val="en-US"/>
        </w:rPr>
        <w:t xml:space="preserve"> (conditional)</w:t>
      </w:r>
      <w:r w:rsidR="00FA0C92" w:rsidRPr="00581D8D">
        <w:rPr>
          <w:rFonts w:ascii="Arial" w:hAnsi="Arial" w:cs="Arial"/>
          <w:lang w:val="en-US"/>
        </w:rPr>
        <w:t>, while the remaining</w:t>
      </w:r>
      <w:r w:rsidR="009B32AA" w:rsidRPr="00581D8D">
        <w:rPr>
          <w:rFonts w:ascii="Arial" w:hAnsi="Arial" w:cs="Arial"/>
          <w:lang w:val="en-US"/>
        </w:rPr>
        <w:t xml:space="preserve"> (2.71%)</w:t>
      </w:r>
      <w:r w:rsidR="00FA0C92" w:rsidRPr="00581D8D">
        <w:rPr>
          <w:rFonts w:ascii="Arial" w:hAnsi="Arial" w:cs="Arial"/>
          <w:lang w:val="en-US"/>
        </w:rPr>
        <w:t xml:space="preserve"> </w:t>
      </w:r>
      <w:r w:rsidR="00C86209" w:rsidRPr="00581D8D">
        <w:rPr>
          <w:rFonts w:ascii="Arial" w:hAnsi="Arial" w:cs="Arial"/>
          <w:lang w:val="en-US"/>
        </w:rPr>
        <w:t xml:space="preserve">would be </w:t>
      </w:r>
      <w:r w:rsidR="00FA0C92" w:rsidRPr="00581D8D">
        <w:rPr>
          <w:rFonts w:ascii="Arial" w:hAnsi="Arial" w:cs="Arial"/>
          <w:lang w:val="en-US"/>
        </w:rPr>
        <w:t>via domestic</w:t>
      </w:r>
      <w:r w:rsidR="00897552" w:rsidRPr="00581D8D">
        <w:rPr>
          <w:rFonts w:ascii="Arial" w:hAnsi="Arial" w:cs="Arial"/>
          <w:lang w:val="en-US"/>
        </w:rPr>
        <w:t xml:space="preserve"> measures</w:t>
      </w:r>
      <w:r w:rsidR="00943CA8" w:rsidRPr="00581D8D">
        <w:rPr>
          <w:rFonts w:ascii="Arial" w:hAnsi="Arial" w:cs="Arial"/>
          <w:lang w:val="en-US"/>
        </w:rPr>
        <w:t xml:space="preserve"> (unconditional)</w:t>
      </w:r>
      <w:r w:rsidR="00897552" w:rsidRPr="00581D8D">
        <w:rPr>
          <w:rFonts w:ascii="Arial" w:hAnsi="Arial" w:cs="Arial"/>
          <w:lang w:val="en-US"/>
        </w:rPr>
        <w:t>.</w:t>
      </w:r>
    </w:p>
    <w:p w14:paraId="294C380D" w14:textId="77777777" w:rsidR="00874B49" w:rsidRPr="00581D8D" w:rsidRDefault="00874B49" w:rsidP="00991A5C">
      <w:pPr>
        <w:pStyle w:val="NoSpacing"/>
        <w:jc w:val="both"/>
        <w:rPr>
          <w:rFonts w:ascii="Arial" w:hAnsi="Arial" w:cs="Arial"/>
          <w:lang w:val="en-US"/>
        </w:rPr>
      </w:pPr>
    </w:p>
    <w:p w14:paraId="2D500EA0" w14:textId="4E918F0E" w:rsidR="00CE2327" w:rsidRPr="00581D8D" w:rsidRDefault="00874B49" w:rsidP="00991A5C">
      <w:pPr>
        <w:pStyle w:val="NoSpacing"/>
        <w:jc w:val="both"/>
        <w:rPr>
          <w:rFonts w:ascii="Arial" w:hAnsi="Arial" w:cs="Arial"/>
          <w:lang w:val="en-US"/>
        </w:rPr>
      </w:pPr>
      <w:r w:rsidRPr="00581D8D">
        <w:rPr>
          <w:rFonts w:ascii="Arial" w:hAnsi="Arial" w:cs="Arial"/>
          <w:lang w:val="en-US"/>
        </w:rPr>
        <w:t xml:space="preserve">The commitment is referenced against a projected business-as-usual cumulative economy-wide emission of </w:t>
      </w:r>
      <w:r w:rsidR="001423CC" w:rsidRPr="00581D8D">
        <w:rPr>
          <w:rFonts w:ascii="Arial" w:hAnsi="Arial" w:cs="Arial"/>
          <w:lang w:val="en-US"/>
        </w:rPr>
        <w:t>3,340.3 MtCO</w:t>
      </w:r>
      <w:r w:rsidR="001423CC" w:rsidRPr="00581D8D">
        <w:rPr>
          <w:rFonts w:ascii="Arial" w:hAnsi="Arial" w:cs="Arial"/>
          <w:vertAlign w:val="subscript"/>
          <w:lang w:val="en-US"/>
        </w:rPr>
        <w:t>2</w:t>
      </w:r>
      <w:r w:rsidR="001423CC" w:rsidRPr="00581D8D">
        <w:rPr>
          <w:rFonts w:ascii="Arial" w:hAnsi="Arial" w:cs="Arial"/>
          <w:lang w:val="en-US"/>
        </w:rPr>
        <w:t>e for the same period.</w:t>
      </w:r>
      <w:r w:rsidR="00897552" w:rsidRPr="00581D8D">
        <w:rPr>
          <w:rFonts w:ascii="Arial" w:hAnsi="Arial" w:cs="Arial"/>
          <w:lang w:val="en-US"/>
        </w:rPr>
        <w:t xml:space="preserve"> </w:t>
      </w:r>
    </w:p>
    <w:p w14:paraId="4C595402" w14:textId="77777777" w:rsidR="00831A2C" w:rsidRPr="00581D8D" w:rsidRDefault="00831A2C" w:rsidP="00991A5C">
      <w:pPr>
        <w:pStyle w:val="NoSpacing"/>
        <w:jc w:val="both"/>
        <w:rPr>
          <w:rFonts w:ascii="Arial" w:hAnsi="Arial" w:cs="Arial"/>
          <w:lang w:val="en-US"/>
        </w:rPr>
      </w:pPr>
    </w:p>
    <w:p w14:paraId="72611D9B" w14:textId="243053C7" w:rsidR="00831A2C" w:rsidRPr="00581D8D" w:rsidRDefault="00831A2C" w:rsidP="00991A5C">
      <w:pPr>
        <w:pStyle w:val="NoSpacing"/>
        <w:jc w:val="both"/>
        <w:rPr>
          <w:rFonts w:ascii="Arial" w:hAnsi="Arial" w:cs="Arial"/>
          <w:lang w:val="en-US"/>
        </w:rPr>
      </w:pPr>
      <w:r w:rsidRPr="00581D8D">
        <w:rPr>
          <w:rFonts w:ascii="Arial" w:hAnsi="Arial" w:cs="Arial"/>
          <w:lang w:val="en-US"/>
        </w:rPr>
        <w:t xml:space="preserve">In terms of GHG emissions, the Philippines </w:t>
      </w:r>
      <w:r w:rsidR="00D14842" w:rsidRPr="00581D8D">
        <w:rPr>
          <w:rFonts w:ascii="Arial" w:hAnsi="Arial" w:cs="Arial"/>
          <w:lang w:val="en-US"/>
        </w:rPr>
        <w:t>emitted</w:t>
      </w:r>
      <w:r w:rsidRPr="00581D8D">
        <w:rPr>
          <w:rFonts w:ascii="Arial" w:hAnsi="Arial" w:cs="Arial"/>
          <w:lang w:val="en-US"/>
        </w:rPr>
        <w:t xml:space="preserve"> an average of 1.98 metric tons of carbon dioxide equivalent per capita in 2020.</w:t>
      </w:r>
    </w:p>
    <w:p w14:paraId="712AEA89" w14:textId="77777777" w:rsidR="00991A5C" w:rsidRPr="00581D8D" w:rsidRDefault="00991A5C" w:rsidP="00991A5C">
      <w:pPr>
        <w:pStyle w:val="NoSpacing"/>
        <w:jc w:val="both"/>
        <w:rPr>
          <w:rFonts w:ascii="Arial" w:hAnsi="Arial" w:cs="Arial"/>
          <w:lang w:val="en-US"/>
        </w:rPr>
      </w:pPr>
    </w:p>
    <w:p w14:paraId="49146250" w14:textId="2968A41F" w:rsidR="000234F8" w:rsidRPr="00581D8D" w:rsidRDefault="00B22964" w:rsidP="00F55756">
      <w:pPr>
        <w:pStyle w:val="NoSpacing"/>
        <w:jc w:val="center"/>
        <w:rPr>
          <w:rFonts w:ascii="Arial" w:hAnsi="Arial" w:cs="Arial"/>
          <w:lang w:val="en-US"/>
        </w:rPr>
      </w:pPr>
      <w:r w:rsidRPr="00581D8D">
        <w:rPr>
          <w:rFonts w:ascii="Arial" w:hAnsi="Arial" w:cs="Arial"/>
          <w:noProof/>
        </w:rPr>
        <w:drawing>
          <wp:inline distT="0" distB="0" distL="0" distR="0" wp14:anchorId="2E6CFAD3" wp14:editId="5F80E600">
            <wp:extent cx="5388610" cy="3032213"/>
            <wp:effectExtent l="0" t="0" r="2540" b="0"/>
            <wp:docPr id="437441080" name="Picture 437441080" descr="A graph of energy consump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41080" name="Picture 1" descr="A graph of energy consumption&#10;&#10;Description automatically generated with medium confidence"/>
                    <pic:cNvPicPr/>
                  </pic:nvPicPr>
                  <pic:blipFill>
                    <a:blip r:embed="rId11"/>
                    <a:stretch>
                      <a:fillRect/>
                    </a:stretch>
                  </pic:blipFill>
                  <pic:spPr>
                    <a:xfrm>
                      <a:off x="0" y="0"/>
                      <a:ext cx="5392909" cy="3034632"/>
                    </a:xfrm>
                    <a:prstGeom prst="rect">
                      <a:avLst/>
                    </a:prstGeom>
                  </pic:spPr>
                </pic:pic>
              </a:graphicData>
            </a:graphic>
          </wp:inline>
        </w:drawing>
      </w:r>
    </w:p>
    <w:p w14:paraId="67B30A3E" w14:textId="77777777" w:rsidR="00B22964" w:rsidRPr="00581D8D" w:rsidRDefault="00B22964" w:rsidP="00991A5C">
      <w:pPr>
        <w:pStyle w:val="NoSpacing"/>
        <w:jc w:val="both"/>
        <w:rPr>
          <w:rFonts w:ascii="Arial" w:hAnsi="Arial" w:cs="Arial"/>
          <w:lang w:val="en-US"/>
        </w:rPr>
      </w:pPr>
    </w:p>
    <w:p w14:paraId="351FCF4F" w14:textId="18AF82D8" w:rsidR="00847F41" w:rsidRPr="00581D8D" w:rsidRDefault="00E65C9C" w:rsidP="00847F41">
      <w:pPr>
        <w:pStyle w:val="NoSpacing"/>
        <w:jc w:val="both"/>
        <w:rPr>
          <w:rFonts w:ascii="Arial" w:hAnsi="Arial" w:cs="Arial"/>
          <w:b/>
          <w:bCs/>
          <w:color w:val="000000" w:themeColor="text1"/>
        </w:rPr>
      </w:pPr>
      <w:r w:rsidRPr="00581D8D">
        <w:rPr>
          <w:rFonts w:ascii="Arial" w:hAnsi="Arial" w:cs="Arial"/>
          <w:b/>
          <w:bCs/>
          <w:color w:val="000000" w:themeColor="text1"/>
        </w:rPr>
        <w:t>Biofuels</w:t>
      </w:r>
      <w:r w:rsidR="00847F41" w:rsidRPr="00581D8D">
        <w:rPr>
          <w:rFonts w:ascii="Arial" w:hAnsi="Arial" w:cs="Arial"/>
          <w:b/>
          <w:bCs/>
          <w:color w:val="000000" w:themeColor="text1"/>
        </w:rPr>
        <w:t xml:space="preserve"> blending</w:t>
      </w:r>
    </w:p>
    <w:p w14:paraId="2060D0CF" w14:textId="77777777" w:rsidR="00847F41" w:rsidRPr="00CE0969" w:rsidRDefault="00847F41" w:rsidP="00847F41">
      <w:pPr>
        <w:pStyle w:val="NoSpacing"/>
        <w:numPr>
          <w:ilvl w:val="1"/>
          <w:numId w:val="16"/>
        </w:numPr>
        <w:jc w:val="both"/>
        <w:rPr>
          <w:rFonts w:ascii="Arial" w:hAnsi="Arial" w:cs="Arial"/>
          <w:color w:val="000000" w:themeColor="text1"/>
          <w:highlight w:val="yellow"/>
        </w:rPr>
      </w:pPr>
      <w:r w:rsidRPr="00CE0969">
        <w:rPr>
          <w:rFonts w:ascii="Arial" w:hAnsi="Arial" w:cs="Arial"/>
          <w:color w:val="000000" w:themeColor="text1"/>
          <w:highlight w:val="yellow"/>
        </w:rPr>
        <w:t>REF – maintain biodiesel at 2% and bioethanol at 10%</w:t>
      </w:r>
    </w:p>
    <w:p w14:paraId="7741DF48" w14:textId="57845936" w:rsidR="00847F41" w:rsidRPr="00CE0969" w:rsidRDefault="00847F41" w:rsidP="00991A5C">
      <w:pPr>
        <w:pStyle w:val="NoSpacing"/>
        <w:numPr>
          <w:ilvl w:val="1"/>
          <w:numId w:val="16"/>
        </w:numPr>
        <w:jc w:val="both"/>
        <w:rPr>
          <w:rFonts w:ascii="Arial" w:hAnsi="Arial" w:cs="Arial"/>
          <w:color w:val="000000" w:themeColor="text1"/>
          <w:highlight w:val="yellow"/>
        </w:rPr>
      </w:pPr>
      <w:r w:rsidRPr="00CE0969">
        <w:rPr>
          <w:rFonts w:ascii="Arial" w:hAnsi="Arial" w:cs="Arial"/>
          <w:color w:val="000000" w:themeColor="text1"/>
          <w:highlight w:val="yellow"/>
        </w:rPr>
        <w:t xml:space="preserve">TGT – maintain bioethanol at 10% and increase biodiesel blend to 5% by </w:t>
      </w:r>
      <w:proofErr w:type="gramStart"/>
      <w:r w:rsidRPr="00CE0969">
        <w:rPr>
          <w:rFonts w:ascii="Arial" w:hAnsi="Arial" w:cs="Arial"/>
          <w:color w:val="000000" w:themeColor="text1"/>
          <w:highlight w:val="yellow"/>
        </w:rPr>
        <w:t>2025</w:t>
      </w:r>
      <w:proofErr w:type="gramEnd"/>
    </w:p>
    <w:p w14:paraId="06B08D5E" w14:textId="77777777" w:rsidR="003F74C5" w:rsidRPr="00581D8D" w:rsidRDefault="003F74C5" w:rsidP="00991A5C">
      <w:pPr>
        <w:pStyle w:val="NoSpacing"/>
        <w:jc w:val="both"/>
        <w:rPr>
          <w:rFonts w:ascii="Arial" w:hAnsi="Arial" w:cs="Arial"/>
          <w:lang w:val="en-US"/>
        </w:rPr>
      </w:pPr>
    </w:p>
    <w:p w14:paraId="2CA61F53" w14:textId="108E6DCE" w:rsidR="000F050E" w:rsidRPr="00CE0969" w:rsidRDefault="000F050E" w:rsidP="00CE0969">
      <w:pPr>
        <w:pStyle w:val="NoSpacing"/>
        <w:jc w:val="both"/>
        <w:rPr>
          <w:rFonts w:ascii="Arial" w:hAnsi="Arial" w:cs="Arial"/>
          <w:highlight w:val="yellow"/>
          <w:lang w:val="en-US"/>
        </w:rPr>
      </w:pPr>
      <w:r w:rsidRPr="00CE0969">
        <w:rPr>
          <w:rFonts w:ascii="Arial" w:hAnsi="Arial" w:cs="Arial"/>
          <w:highlight w:val="yellow"/>
          <w:lang w:val="en-US"/>
        </w:rPr>
        <w:t xml:space="preserve">Manufacturing of EVs, including 2-, 3-, and 4-wheelers, with </w:t>
      </w:r>
      <w:r w:rsidR="00D14842" w:rsidRPr="00CE0969">
        <w:rPr>
          <w:rFonts w:ascii="Arial" w:hAnsi="Arial" w:cs="Arial"/>
          <w:highlight w:val="yellow"/>
          <w:lang w:val="en-US"/>
        </w:rPr>
        <w:t xml:space="preserve">a </w:t>
      </w:r>
      <w:r w:rsidRPr="00CE0969">
        <w:rPr>
          <w:rFonts w:ascii="Arial" w:hAnsi="Arial" w:cs="Arial"/>
          <w:highlight w:val="yellow"/>
          <w:lang w:val="en-US"/>
        </w:rPr>
        <w:t xml:space="preserve">focus </w:t>
      </w:r>
      <w:r w:rsidR="001C3667" w:rsidRPr="00CE0969">
        <w:rPr>
          <w:rFonts w:ascii="Arial" w:hAnsi="Arial" w:cs="Arial"/>
          <w:highlight w:val="yellow"/>
          <w:lang w:val="en-US"/>
        </w:rPr>
        <w:t>on</w:t>
      </w:r>
      <w:r w:rsidRPr="00CE0969">
        <w:rPr>
          <w:rFonts w:ascii="Arial" w:hAnsi="Arial" w:cs="Arial"/>
          <w:highlight w:val="yellow"/>
          <w:lang w:val="en-US"/>
        </w:rPr>
        <w:t xml:space="preserve"> commercial vehicles</w:t>
      </w:r>
    </w:p>
    <w:p w14:paraId="6C6C5C25" w14:textId="77777777" w:rsidR="00CE0969" w:rsidRDefault="00CE0969" w:rsidP="00CE0969">
      <w:pPr>
        <w:pStyle w:val="NoSpacing"/>
        <w:jc w:val="both"/>
        <w:rPr>
          <w:rFonts w:ascii="Arial" w:hAnsi="Arial" w:cs="Arial"/>
          <w:highlight w:val="yellow"/>
          <w:lang w:val="en-US"/>
        </w:rPr>
      </w:pPr>
    </w:p>
    <w:p w14:paraId="5DE6505C" w14:textId="43173581" w:rsidR="004060D0" w:rsidRPr="00581D8D" w:rsidRDefault="0022194E" w:rsidP="00CE0969">
      <w:pPr>
        <w:pStyle w:val="NoSpacing"/>
        <w:jc w:val="both"/>
        <w:rPr>
          <w:rFonts w:ascii="Arial" w:hAnsi="Arial" w:cs="Arial"/>
          <w:b/>
          <w:bCs/>
          <w:lang w:val="en-US"/>
        </w:rPr>
      </w:pPr>
      <w:r w:rsidRPr="00CE0969">
        <w:rPr>
          <w:rFonts w:ascii="Arial" w:hAnsi="Arial" w:cs="Arial"/>
          <w:highlight w:val="yellow"/>
          <w:lang w:val="en-US"/>
        </w:rPr>
        <w:t>Manufacturing of EV strategic parts and components such as automotive electronics, batteries, and charging stations</w:t>
      </w:r>
    </w:p>
    <w:p w14:paraId="72F22FD0" w14:textId="77777777" w:rsidR="00CE0969" w:rsidRDefault="00CE0969" w:rsidP="00CE0969">
      <w:pPr>
        <w:pStyle w:val="NoSpacing"/>
        <w:ind w:left="360"/>
        <w:jc w:val="both"/>
        <w:rPr>
          <w:rFonts w:ascii="Arial" w:hAnsi="Arial" w:cs="Arial"/>
          <w:b/>
          <w:bCs/>
          <w:highlight w:val="yellow"/>
          <w:lang w:val="en-US"/>
        </w:rPr>
      </w:pPr>
    </w:p>
    <w:p w14:paraId="1D4EEA8D" w14:textId="1417DFD2" w:rsidR="00F47C6E" w:rsidRPr="00CE0969" w:rsidRDefault="00F47C6E" w:rsidP="00BC0F8B">
      <w:pPr>
        <w:pStyle w:val="NoSpacing"/>
        <w:numPr>
          <w:ilvl w:val="0"/>
          <w:numId w:val="6"/>
        </w:numPr>
        <w:jc w:val="both"/>
        <w:rPr>
          <w:rFonts w:ascii="Arial" w:hAnsi="Arial" w:cs="Arial"/>
          <w:b/>
          <w:bCs/>
          <w:highlight w:val="yellow"/>
          <w:lang w:val="en-US"/>
        </w:rPr>
      </w:pPr>
      <w:r w:rsidRPr="00CE0969">
        <w:rPr>
          <w:rFonts w:ascii="Arial" w:hAnsi="Arial" w:cs="Arial"/>
          <w:b/>
          <w:bCs/>
          <w:highlight w:val="yellow"/>
          <w:lang w:val="en-US"/>
        </w:rPr>
        <w:t>Transport</w:t>
      </w:r>
    </w:p>
    <w:p w14:paraId="576DA507" w14:textId="77777777" w:rsidR="00F47C6E" w:rsidRPr="00581D8D" w:rsidRDefault="00F47C6E" w:rsidP="00F47C6E">
      <w:pPr>
        <w:pStyle w:val="NoSpacing"/>
        <w:jc w:val="both"/>
        <w:rPr>
          <w:rFonts w:ascii="Arial" w:hAnsi="Arial" w:cs="Arial"/>
          <w:b/>
          <w:bCs/>
          <w:lang w:val="en-US"/>
        </w:rPr>
      </w:pPr>
    </w:p>
    <w:p w14:paraId="6903D2CD" w14:textId="7788D559" w:rsidR="002C5A08" w:rsidRPr="00581D8D" w:rsidRDefault="002C5A08" w:rsidP="00F47C6E">
      <w:pPr>
        <w:pStyle w:val="NoSpacing"/>
        <w:jc w:val="both"/>
        <w:rPr>
          <w:rFonts w:ascii="Arial" w:hAnsi="Arial" w:cs="Arial"/>
          <w:b/>
          <w:bCs/>
          <w:lang w:val="en-US"/>
        </w:rPr>
      </w:pPr>
      <w:r w:rsidRPr="00581D8D">
        <w:rPr>
          <w:rFonts w:ascii="Arial" w:hAnsi="Arial" w:cs="Arial"/>
          <w:b/>
          <w:bCs/>
          <w:lang w:val="en-US"/>
        </w:rPr>
        <w:t>Electric Vehicle Industry Development Act</w:t>
      </w:r>
      <w:r w:rsidR="00A21601" w:rsidRPr="00581D8D">
        <w:rPr>
          <w:rFonts w:ascii="Arial" w:hAnsi="Arial" w:cs="Arial"/>
          <w:b/>
          <w:bCs/>
          <w:lang w:val="en-US"/>
        </w:rPr>
        <w:t xml:space="preserve"> (EVIDA)</w:t>
      </w:r>
    </w:p>
    <w:p w14:paraId="1D097820" w14:textId="6FE75658" w:rsidR="004A191B" w:rsidRPr="00581D8D" w:rsidRDefault="00EB2DC9" w:rsidP="00991A5C">
      <w:pPr>
        <w:pStyle w:val="NoSpacing"/>
        <w:jc w:val="both"/>
        <w:rPr>
          <w:rFonts w:ascii="Arial" w:hAnsi="Arial" w:cs="Arial"/>
          <w:lang w:val="en-US"/>
        </w:rPr>
      </w:pPr>
      <w:r w:rsidRPr="00581D8D">
        <w:rPr>
          <w:rFonts w:ascii="Arial" w:hAnsi="Arial" w:cs="Arial"/>
          <w:lang w:val="en-US"/>
        </w:rPr>
        <w:lastRenderedPageBreak/>
        <w:t>EVIDA</w:t>
      </w:r>
      <w:r w:rsidR="00807CF7" w:rsidRPr="00581D8D">
        <w:rPr>
          <w:rStyle w:val="FootnoteReference"/>
          <w:rFonts w:ascii="Arial" w:hAnsi="Arial" w:cs="Arial"/>
          <w:lang w:val="en-US"/>
        </w:rPr>
        <w:footnoteReference w:id="3"/>
      </w:r>
      <w:r w:rsidRPr="00581D8D">
        <w:rPr>
          <w:rFonts w:ascii="Arial" w:hAnsi="Arial" w:cs="Arial"/>
          <w:lang w:val="en-US"/>
        </w:rPr>
        <w:t xml:space="preserve"> was</w:t>
      </w:r>
      <w:r w:rsidR="00EE0EC2" w:rsidRPr="00581D8D">
        <w:rPr>
          <w:rFonts w:ascii="Arial" w:hAnsi="Arial" w:cs="Arial"/>
          <w:lang w:val="en-US"/>
        </w:rPr>
        <w:t xml:space="preserve"> passed into law in April 2022.</w:t>
      </w:r>
      <w:r w:rsidR="00DE284E" w:rsidRPr="00581D8D">
        <w:rPr>
          <w:rFonts w:ascii="Arial" w:hAnsi="Arial" w:cs="Arial"/>
          <w:lang w:val="en-US"/>
        </w:rPr>
        <w:t xml:space="preserve"> The Act establishes the </w:t>
      </w:r>
      <w:r w:rsidR="00CA57DF" w:rsidRPr="00581D8D">
        <w:rPr>
          <w:rFonts w:ascii="Arial" w:hAnsi="Arial" w:cs="Arial"/>
          <w:lang w:val="en-US"/>
        </w:rPr>
        <w:t>Comprehensive Roadmap for the Electric Vehicle Industry (</w:t>
      </w:r>
      <w:r w:rsidR="00DE284E" w:rsidRPr="00581D8D">
        <w:rPr>
          <w:rFonts w:ascii="Arial" w:hAnsi="Arial" w:cs="Arial"/>
          <w:lang w:val="en-US"/>
        </w:rPr>
        <w:t>CREVI</w:t>
      </w:r>
      <w:r w:rsidR="00CA57DF" w:rsidRPr="00581D8D">
        <w:rPr>
          <w:rFonts w:ascii="Arial" w:hAnsi="Arial" w:cs="Arial"/>
          <w:lang w:val="en-US"/>
        </w:rPr>
        <w:t>)</w:t>
      </w:r>
      <w:r w:rsidR="000B577D" w:rsidRPr="00581D8D">
        <w:rPr>
          <w:rFonts w:ascii="Arial" w:hAnsi="Arial" w:cs="Arial"/>
          <w:lang w:val="en-US"/>
        </w:rPr>
        <w:t xml:space="preserve"> – a development plan to accelerate the EV industry in the Phili</w:t>
      </w:r>
      <w:r w:rsidR="7BFAAD7B" w:rsidRPr="00581D8D">
        <w:rPr>
          <w:rFonts w:ascii="Arial" w:hAnsi="Arial" w:cs="Arial"/>
          <w:lang w:val="en-US"/>
        </w:rPr>
        <w:t>ppines</w:t>
      </w:r>
      <w:r w:rsidR="000B577D" w:rsidRPr="00581D8D">
        <w:rPr>
          <w:rFonts w:ascii="Arial" w:hAnsi="Arial" w:cs="Arial"/>
          <w:lang w:val="en-US"/>
        </w:rPr>
        <w:t>.</w:t>
      </w:r>
    </w:p>
    <w:p w14:paraId="3A17BE9C" w14:textId="77777777" w:rsidR="00971683" w:rsidRPr="00581D8D" w:rsidRDefault="00971683" w:rsidP="00991A5C">
      <w:pPr>
        <w:pStyle w:val="NoSpacing"/>
        <w:jc w:val="both"/>
        <w:rPr>
          <w:rFonts w:ascii="Arial" w:hAnsi="Arial" w:cs="Arial"/>
          <w:lang w:val="en-US"/>
        </w:rPr>
      </w:pPr>
    </w:p>
    <w:p w14:paraId="29A9C0B6" w14:textId="73A475D4" w:rsidR="00CA57DF" w:rsidRPr="00581D8D" w:rsidRDefault="00CA57DF" w:rsidP="00991A5C">
      <w:pPr>
        <w:pStyle w:val="NoSpacing"/>
        <w:jc w:val="both"/>
        <w:rPr>
          <w:rFonts w:ascii="Arial" w:hAnsi="Arial" w:cs="Arial"/>
          <w:b/>
          <w:bCs/>
          <w:lang w:val="en-US"/>
        </w:rPr>
      </w:pPr>
      <w:r w:rsidRPr="00581D8D">
        <w:rPr>
          <w:rFonts w:ascii="Arial" w:hAnsi="Arial" w:cs="Arial"/>
          <w:b/>
          <w:bCs/>
          <w:lang w:val="en-US"/>
        </w:rPr>
        <w:t>CREVI Targets</w:t>
      </w:r>
      <w:r w:rsidR="003E6E01" w:rsidRPr="00581D8D">
        <w:rPr>
          <w:rStyle w:val="FootnoteReference"/>
          <w:rFonts w:ascii="Arial" w:hAnsi="Arial" w:cs="Arial"/>
          <w:b/>
          <w:bCs/>
          <w:lang w:val="en-US"/>
        </w:rPr>
        <w:footnoteReference w:id="4"/>
      </w:r>
    </w:p>
    <w:p w14:paraId="5AACEF24" w14:textId="77777777" w:rsidR="00954DE0" w:rsidRPr="00581D8D" w:rsidRDefault="00954DE0" w:rsidP="00991A5C">
      <w:pPr>
        <w:pStyle w:val="NoSpacing"/>
        <w:jc w:val="both"/>
        <w:rPr>
          <w:rFonts w:ascii="Arial" w:hAnsi="Arial" w:cs="Arial"/>
          <w:b/>
          <w:bCs/>
          <w:lang w:val="en-US"/>
        </w:rPr>
      </w:pPr>
    </w:p>
    <w:p w14:paraId="74ACC4E7" w14:textId="70546162" w:rsidR="0074789A" w:rsidRPr="00581D8D" w:rsidRDefault="0074789A" w:rsidP="00991A5C">
      <w:pPr>
        <w:pStyle w:val="NoSpacing"/>
        <w:jc w:val="both"/>
        <w:rPr>
          <w:rFonts w:ascii="Arial" w:hAnsi="Arial" w:cs="Arial"/>
          <w:b/>
          <w:bCs/>
          <w:lang w:val="en-US"/>
        </w:rPr>
      </w:pPr>
      <w:r w:rsidRPr="00581D8D">
        <w:rPr>
          <w:rFonts w:ascii="Arial" w:hAnsi="Arial" w:cs="Arial"/>
          <w:b/>
          <w:bCs/>
          <w:lang w:val="en-US"/>
        </w:rPr>
        <w:t>Business As Usual Scenario (</w:t>
      </w:r>
      <w:r w:rsidR="00CA7D4E" w:rsidRPr="00581D8D">
        <w:rPr>
          <w:rFonts w:ascii="Arial" w:hAnsi="Arial" w:cs="Arial"/>
          <w:b/>
          <w:bCs/>
          <w:lang w:val="en-US"/>
        </w:rPr>
        <w:t>10% EV Fleet Share by 2040)</w:t>
      </w:r>
    </w:p>
    <w:tbl>
      <w:tblPr>
        <w:tblStyle w:val="TableGrid"/>
        <w:tblW w:w="0" w:type="auto"/>
        <w:tblLook w:val="04A0" w:firstRow="1" w:lastRow="0" w:firstColumn="1" w:lastColumn="0" w:noHBand="0" w:noVBand="1"/>
      </w:tblPr>
      <w:tblGrid>
        <w:gridCol w:w="2254"/>
        <w:gridCol w:w="2254"/>
        <w:gridCol w:w="2254"/>
        <w:gridCol w:w="2254"/>
      </w:tblGrid>
      <w:tr w:rsidR="0048055F" w:rsidRPr="00581D8D" w14:paraId="7CA8E672" w14:textId="77777777" w:rsidTr="0048055F">
        <w:tc>
          <w:tcPr>
            <w:tcW w:w="2254" w:type="dxa"/>
          </w:tcPr>
          <w:p w14:paraId="4D3A0B5B" w14:textId="026D2818" w:rsidR="0048055F" w:rsidRPr="00581D8D" w:rsidRDefault="00D362E2" w:rsidP="006D188E">
            <w:pPr>
              <w:pStyle w:val="NoSpacing"/>
              <w:jc w:val="center"/>
              <w:rPr>
                <w:rFonts w:ascii="Arial" w:hAnsi="Arial" w:cs="Arial"/>
                <w:b/>
                <w:bCs/>
                <w:lang w:val="en-US"/>
              </w:rPr>
            </w:pPr>
            <w:r w:rsidRPr="00581D8D">
              <w:rPr>
                <w:rFonts w:ascii="Arial" w:hAnsi="Arial" w:cs="Arial"/>
                <w:b/>
                <w:bCs/>
                <w:lang w:val="en-US"/>
              </w:rPr>
              <w:t>Type</w:t>
            </w:r>
          </w:p>
        </w:tc>
        <w:tc>
          <w:tcPr>
            <w:tcW w:w="2254" w:type="dxa"/>
          </w:tcPr>
          <w:p w14:paraId="201222DC" w14:textId="77777777" w:rsidR="0048055F" w:rsidRPr="00581D8D" w:rsidRDefault="001C2399" w:rsidP="006D188E">
            <w:pPr>
              <w:pStyle w:val="NoSpacing"/>
              <w:jc w:val="center"/>
              <w:rPr>
                <w:rFonts w:ascii="Arial" w:hAnsi="Arial" w:cs="Arial"/>
                <w:b/>
                <w:bCs/>
                <w:lang w:val="en-US"/>
              </w:rPr>
            </w:pPr>
            <w:r w:rsidRPr="00581D8D">
              <w:rPr>
                <w:rFonts w:ascii="Arial" w:hAnsi="Arial" w:cs="Arial"/>
                <w:b/>
                <w:bCs/>
                <w:lang w:val="en-US"/>
              </w:rPr>
              <w:t>Short</w:t>
            </w:r>
            <w:r w:rsidR="004F7494" w:rsidRPr="00581D8D">
              <w:rPr>
                <w:rFonts w:ascii="Arial" w:hAnsi="Arial" w:cs="Arial"/>
                <w:b/>
                <w:bCs/>
                <w:lang w:val="en-US"/>
              </w:rPr>
              <w:t xml:space="preserve"> Term</w:t>
            </w:r>
          </w:p>
          <w:p w14:paraId="46D26FD6" w14:textId="490D395C" w:rsidR="004F7494" w:rsidRPr="00581D8D" w:rsidRDefault="004F7494" w:rsidP="006D188E">
            <w:pPr>
              <w:pStyle w:val="NoSpacing"/>
              <w:jc w:val="center"/>
              <w:rPr>
                <w:rFonts w:ascii="Arial" w:hAnsi="Arial" w:cs="Arial"/>
                <w:b/>
                <w:bCs/>
                <w:lang w:val="en-US"/>
              </w:rPr>
            </w:pPr>
            <w:r w:rsidRPr="00581D8D">
              <w:rPr>
                <w:rFonts w:ascii="Arial" w:hAnsi="Arial" w:cs="Arial"/>
                <w:b/>
                <w:bCs/>
                <w:lang w:val="en-US"/>
              </w:rPr>
              <w:t>(2023-2028)</w:t>
            </w:r>
          </w:p>
        </w:tc>
        <w:tc>
          <w:tcPr>
            <w:tcW w:w="2254" w:type="dxa"/>
          </w:tcPr>
          <w:p w14:paraId="0DF26131" w14:textId="77777777" w:rsidR="0048055F" w:rsidRPr="00581D8D" w:rsidRDefault="004F7494" w:rsidP="006D188E">
            <w:pPr>
              <w:pStyle w:val="NoSpacing"/>
              <w:jc w:val="center"/>
              <w:rPr>
                <w:rFonts w:ascii="Arial" w:hAnsi="Arial" w:cs="Arial"/>
                <w:b/>
                <w:bCs/>
                <w:lang w:val="en-US"/>
              </w:rPr>
            </w:pPr>
            <w:r w:rsidRPr="00581D8D">
              <w:rPr>
                <w:rFonts w:ascii="Arial" w:hAnsi="Arial" w:cs="Arial"/>
                <w:b/>
                <w:bCs/>
                <w:lang w:val="en-US"/>
              </w:rPr>
              <w:t>Medium Term</w:t>
            </w:r>
          </w:p>
          <w:p w14:paraId="12192D0D" w14:textId="086E5BB4" w:rsidR="004F7494" w:rsidRPr="00581D8D" w:rsidRDefault="004F7494" w:rsidP="006D188E">
            <w:pPr>
              <w:pStyle w:val="NoSpacing"/>
              <w:jc w:val="center"/>
              <w:rPr>
                <w:rFonts w:ascii="Arial" w:hAnsi="Arial" w:cs="Arial"/>
                <w:b/>
                <w:bCs/>
                <w:lang w:val="en-US"/>
              </w:rPr>
            </w:pPr>
            <w:r w:rsidRPr="00581D8D">
              <w:rPr>
                <w:rFonts w:ascii="Arial" w:hAnsi="Arial" w:cs="Arial"/>
                <w:b/>
                <w:bCs/>
                <w:lang w:val="en-US"/>
              </w:rPr>
              <w:t>(2029-2034)</w:t>
            </w:r>
          </w:p>
        </w:tc>
        <w:tc>
          <w:tcPr>
            <w:tcW w:w="2254" w:type="dxa"/>
          </w:tcPr>
          <w:p w14:paraId="1767B08D" w14:textId="77777777" w:rsidR="0048055F" w:rsidRPr="00581D8D" w:rsidRDefault="00CA57DF" w:rsidP="006D188E">
            <w:pPr>
              <w:pStyle w:val="NoSpacing"/>
              <w:jc w:val="center"/>
              <w:rPr>
                <w:rFonts w:ascii="Arial" w:hAnsi="Arial" w:cs="Arial"/>
                <w:b/>
                <w:bCs/>
                <w:lang w:val="en-US"/>
              </w:rPr>
            </w:pPr>
            <w:r w:rsidRPr="00581D8D">
              <w:rPr>
                <w:rFonts w:ascii="Arial" w:hAnsi="Arial" w:cs="Arial"/>
                <w:b/>
                <w:bCs/>
                <w:lang w:val="en-US"/>
              </w:rPr>
              <w:t>Long Term</w:t>
            </w:r>
          </w:p>
          <w:p w14:paraId="6AE20A10" w14:textId="28D9BD9C" w:rsidR="00CA57DF" w:rsidRPr="00581D8D" w:rsidRDefault="00CA57DF" w:rsidP="006D188E">
            <w:pPr>
              <w:pStyle w:val="NoSpacing"/>
              <w:jc w:val="center"/>
              <w:rPr>
                <w:rFonts w:ascii="Arial" w:hAnsi="Arial" w:cs="Arial"/>
                <w:b/>
                <w:bCs/>
                <w:lang w:val="en-US"/>
              </w:rPr>
            </w:pPr>
            <w:r w:rsidRPr="00581D8D">
              <w:rPr>
                <w:rFonts w:ascii="Arial" w:hAnsi="Arial" w:cs="Arial"/>
                <w:b/>
                <w:bCs/>
                <w:lang w:val="en-US"/>
              </w:rPr>
              <w:t>(2035-2040)</w:t>
            </w:r>
          </w:p>
        </w:tc>
      </w:tr>
      <w:tr w:rsidR="0048055F" w:rsidRPr="00581D8D" w14:paraId="23B1CC16" w14:textId="77777777" w:rsidTr="0048055F">
        <w:tc>
          <w:tcPr>
            <w:tcW w:w="2254" w:type="dxa"/>
          </w:tcPr>
          <w:p w14:paraId="769D8D23" w14:textId="2DB6DBCC" w:rsidR="0048055F" w:rsidRPr="00581D8D" w:rsidRDefault="00C051EB" w:rsidP="00991A5C">
            <w:pPr>
              <w:pStyle w:val="NoSpacing"/>
              <w:rPr>
                <w:rFonts w:ascii="Arial" w:hAnsi="Arial" w:cs="Arial"/>
                <w:b/>
                <w:bCs/>
                <w:lang w:val="en-US"/>
              </w:rPr>
            </w:pPr>
            <w:r w:rsidRPr="00581D8D">
              <w:rPr>
                <w:rFonts w:ascii="Arial" w:hAnsi="Arial" w:cs="Arial"/>
                <w:b/>
                <w:bCs/>
                <w:lang w:val="en-US"/>
              </w:rPr>
              <w:t>Electric Vehicle</w:t>
            </w:r>
          </w:p>
        </w:tc>
        <w:tc>
          <w:tcPr>
            <w:tcW w:w="2254" w:type="dxa"/>
          </w:tcPr>
          <w:p w14:paraId="153C5CF2" w14:textId="73D32D58" w:rsidR="0048055F" w:rsidRPr="00581D8D" w:rsidRDefault="003E3910" w:rsidP="006D188E">
            <w:pPr>
              <w:pStyle w:val="NoSpacing"/>
              <w:jc w:val="center"/>
              <w:rPr>
                <w:rFonts w:ascii="Arial" w:hAnsi="Arial" w:cs="Arial"/>
                <w:b/>
                <w:bCs/>
                <w:lang w:val="en-US"/>
              </w:rPr>
            </w:pPr>
            <w:r w:rsidRPr="00581D8D">
              <w:rPr>
                <w:rFonts w:ascii="Arial" w:hAnsi="Arial" w:cs="Arial"/>
                <w:b/>
                <w:bCs/>
                <w:lang w:val="en-US"/>
              </w:rPr>
              <w:t>803,133</w:t>
            </w:r>
          </w:p>
        </w:tc>
        <w:tc>
          <w:tcPr>
            <w:tcW w:w="2254" w:type="dxa"/>
          </w:tcPr>
          <w:p w14:paraId="47C672AD" w14:textId="3F5462D3" w:rsidR="0048055F" w:rsidRPr="00581D8D" w:rsidRDefault="003C2E79" w:rsidP="006D188E">
            <w:pPr>
              <w:pStyle w:val="NoSpacing"/>
              <w:jc w:val="center"/>
              <w:rPr>
                <w:rFonts w:ascii="Arial" w:hAnsi="Arial" w:cs="Arial"/>
                <w:b/>
                <w:bCs/>
                <w:lang w:val="en-US"/>
              </w:rPr>
            </w:pPr>
            <w:r w:rsidRPr="00581D8D">
              <w:rPr>
                <w:rFonts w:ascii="Arial" w:hAnsi="Arial" w:cs="Arial"/>
                <w:b/>
                <w:bCs/>
                <w:lang w:val="en-US"/>
              </w:rPr>
              <w:t>983,034</w:t>
            </w:r>
          </w:p>
        </w:tc>
        <w:tc>
          <w:tcPr>
            <w:tcW w:w="2254" w:type="dxa"/>
          </w:tcPr>
          <w:p w14:paraId="232A2A9F" w14:textId="78385556" w:rsidR="0048055F" w:rsidRPr="00581D8D" w:rsidRDefault="00276169" w:rsidP="006D188E">
            <w:pPr>
              <w:pStyle w:val="NoSpacing"/>
              <w:jc w:val="center"/>
              <w:rPr>
                <w:rFonts w:ascii="Arial" w:hAnsi="Arial" w:cs="Arial"/>
                <w:b/>
                <w:bCs/>
                <w:lang w:val="en-US"/>
              </w:rPr>
            </w:pPr>
            <w:r w:rsidRPr="00581D8D">
              <w:rPr>
                <w:rFonts w:ascii="Arial" w:hAnsi="Arial" w:cs="Arial"/>
                <w:b/>
                <w:bCs/>
                <w:lang w:val="en-US"/>
              </w:rPr>
              <w:t>955,592</w:t>
            </w:r>
          </w:p>
        </w:tc>
      </w:tr>
      <w:tr w:rsidR="0048055F" w:rsidRPr="00581D8D" w14:paraId="6AA666CF" w14:textId="77777777" w:rsidTr="0048055F">
        <w:tc>
          <w:tcPr>
            <w:tcW w:w="2254" w:type="dxa"/>
          </w:tcPr>
          <w:p w14:paraId="76EF35EA" w14:textId="5E2887B0" w:rsidR="0048055F" w:rsidRPr="00581D8D" w:rsidRDefault="008825BD" w:rsidP="00991A5C">
            <w:pPr>
              <w:pStyle w:val="NoSpacing"/>
              <w:rPr>
                <w:rFonts w:ascii="Arial" w:hAnsi="Arial" w:cs="Arial"/>
                <w:lang w:val="en-US"/>
              </w:rPr>
            </w:pPr>
            <w:r w:rsidRPr="00581D8D">
              <w:rPr>
                <w:rFonts w:ascii="Arial" w:hAnsi="Arial" w:cs="Arial"/>
                <w:lang w:val="en-US"/>
              </w:rPr>
              <w:t xml:space="preserve">4W </w:t>
            </w:r>
            <w:r w:rsidR="00071306" w:rsidRPr="00581D8D">
              <w:rPr>
                <w:rFonts w:ascii="Arial" w:hAnsi="Arial" w:cs="Arial"/>
                <w:lang w:val="en-US"/>
              </w:rPr>
              <w:t>– HEV</w:t>
            </w:r>
          </w:p>
        </w:tc>
        <w:tc>
          <w:tcPr>
            <w:tcW w:w="2254" w:type="dxa"/>
          </w:tcPr>
          <w:p w14:paraId="51F44E9D" w14:textId="3349DA0C" w:rsidR="0048055F" w:rsidRPr="00581D8D" w:rsidRDefault="008F68F2" w:rsidP="006D188E">
            <w:pPr>
              <w:pStyle w:val="NoSpacing"/>
              <w:jc w:val="center"/>
              <w:rPr>
                <w:rFonts w:ascii="Arial" w:hAnsi="Arial" w:cs="Arial"/>
                <w:lang w:val="en-US"/>
              </w:rPr>
            </w:pPr>
            <w:r w:rsidRPr="00581D8D">
              <w:rPr>
                <w:rFonts w:ascii="Arial" w:hAnsi="Arial" w:cs="Arial"/>
                <w:lang w:val="en-US"/>
              </w:rPr>
              <w:t>209</w:t>
            </w:r>
            <w:r w:rsidR="00B7155D" w:rsidRPr="00581D8D">
              <w:rPr>
                <w:rFonts w:ascii="Arial" w:hAnsi="Arial" w:cs="Arial"/>
                <w:lang w:val="en-US"/>
              </w:rPr>
              <w:t>,970</w:t>
            </w:r>
          </w:p>
        </w:tc>
        <w:tc>
          <w:tcPr>
            <w:tcW w:w="2254" w:type="dxa"/>
          </w:tcPr>
          <w:p w14:paraId="2478B993" w14:textId="33938BD7" w:rsidR="0048055F" w:rsidRPr="00581D8D" w:rsidRDefault="00C46988" w:rsidP="006D188E">
            <w:pPr>
              <w:pStyle w:val="NoSpacing"/>
              <w:jc w:val="center"/>
              <w:rPr>
                <w:rFonts w:ascii="Arial" w:hAnsi="Arial" w:cs="Arial"/>
                <w:lang w:val="en-US"/>
              </w:rPr>
            </w:pPr>
            <w:r w:rsidRPr="00581D8D">
              <w:rPr>
                <w:rFonts w:ascii="Arial" w:hAnsi="Arial" w:cs="Arial"/>
                <w:lang w:val="en-US"/>
              </w:rPr>
              <w:t>108,175</w:t>
            </w:r>
          </w:p>
        </w:tc>
        <w:tc>
          <w:tcPr>
            <w:tcW w:w="2254" w:type="dxa"/>
          </w:tcPr>
          <w:p w14:paraId="4673FC64" w14:textId="1BF3E4A0" w:rsidR="0048055F" w:rsidRPr="00581D8D" w:rsidRDefault="00872002" w:rsidP="006D188E">
            <w:pPr>
              <w:pStyle w:val="NoSpacing"/>
              <w:jc w:val="center"/>
              <w:rPr>
                <w:rFonts w:ascii="Arial" w:hAnsi="Arial" w:cs="Arial"/>
                <w:lang w:val="en-US"/>
              </w:rPr>
            </w:pPr>
            <w:r w:rsidRPr="00581D8D">
              <w:rPr>
                <w:rFonts w:ascii="Arial" w:hAnsi="Arial" w:cs="Arial"/>
                <w:lang w:val="en-US"/>
              </w:rPr>
              <w:t>36,</w:t>
            </w:r>
            <w:r w:rsidR="00A132C4" w:rsidRPr="00581D8D">
              <w:rPr>
                <w:rFonts w:ascii="Arial" w:hAnsi="Arial" w:cs="Arial"/>
                <w:lang w:val="en-US"/>
              </w:rPr>
              <w:t>989</w:t>
            </w:r>
          </w:p>
        </w:tc>
      </w:tr>
      <w:tr w:rsidR="0048055F" w:rsidRPr="00581D8D" w14:paraId="767A9F02" w14:textId="77777777" w:rsidTr="0048055F">
        <w:tc>
          <w:tcPr>
            <w:tcW w:w="2254" w:type="dxa"/>
          </w:tcPr>
          <w:p w14:paraId="0CC31547" w14:textId="60C63DE8" w:rsidR="0048055F" w:rsidRPr="00581D8D" w:rsidRDefault="008825BD" w:rsidP="00991A5C">
            <w:pPr>
              <w:pStyle w:val="NoSpacing"/>
              <w:rPr>
                <w:rFonts w:ascii="Arial" w:hAnsi="Arial" w:cs="Arial"/>
                <w:lang w:val="en-US"/>
              </w:rPr>
            </w:pPr>
            <w:r w:rsidRPr="00581D8D">
              <w:rPr>
                <w:rFonts w:ascii="Arial" w:hAnsi="Arial" w:cs="Arial"/>
                <w:lang w:val="en-US"/>
              </w:rPr>
              <w:t>4W</w:t>
            </w:r>
            <w:r w:rsidR="00071306" w:rsidRPr="00581D8D">
              <w:rPr>
                <w:rFonts w:ascii="Arial" w:hAnsi="Arial" w:cs="Arial"/>
                <w:lang w:val="en-US"/>
              </w:rPr>
              <w:t xml:space="preserve"> – PHEV</w:t>
            </w:r>
          </w:p>
        </w:tc>
        <w:tc>
          <w:tcPr>
            <w:tcW w:w="2254" w:type="dxa"/>
          </w:tcPr>
          <w:p w14:paraId="331404DC" w14:textId="1AA8C681" w:rsidR="0048055F" w:rsidRPr="00581D8D" w:rsidRDefault="00415624" w:rsidP="006D188E">
            <w:pPr>
              <w:pStyle w:val="NoSpacing"/>
              <w:jc w:val="center"/>
              <w:rPr>
                <w:rFonts w:ascii="Arial" w:hAnsi="Arial" w:cs="Arial"/>
                <w:lang w:val="en-US"/>
              </w:rPr>
            </w:pPr>
            <w:r w:rsidRPr="00581D8D">
              <w:rPr>
                <w:rFonts w:ascii="Arial" w:hAnsi="Arial" w:cs="Arial"/>
                <w:lang w:val="en-US"/>
              </w:rPr>
              <w:t>35,001</w:t>
            </w:r>
          </w:p>
        </w:tc>
        <w:tc>
          <w:tcPr>
            <w:tcW w:w="2254" w:type="dxa"/>
          </w:tcPr>
          <w:p w14:paraId="220B2B03" w14:textId="183E4D8B" w:rsidR="0048055F" w:rsidRPr="00581D8D" w:rsidRDefault="00072D7A" w:rsidP="006D188E">
            <w:pPr>
              <w:pStyle w:val="NoSpacing"/>
              <w:jc w:val="center"/>
              <w:rPr>
                <w:rFonts w:ascii="Arial" w:hAnsi="Arial" w:cs="Arial"/>
                <w:lang w:val="en-US"/>
              </w:rPr>
            </w:pPr>
            <w:r w:rsidRPr="00581D8D">
              <w:rPr>
                <w:rFonts w:ascii="Arial" w:hAnsi="Arial" w:cs="Arial"/>
                <w:lang w:val="en-US"/>
              </w:rPr>
              <w:t>38,840</w:t>
            </w:r>
          </w:p>
        </w:tc>
        <w:tc>
          <w:tcPr>
            <w:tcW w:w="2254" w:type="dxa"/>
          </w:tcPr>
          <w:p w14:paraId="217DE9AF" w14:textId="1EA91DED" w:rsidR="0048055F" w:rsidRPr="00581D8D" w:rsidRDefault="00872002" w:rsidP="006D188E">
            <w:pPr>
              <w:pStyle w:val="NoSpacing"/>
              <w:jc w:val="center"/>
              <w:rPr>
                <w:rFonts w:ascii="Arial" w:hAnsi="Arial" w:cs="Arial"/>
                <w:lang w:val="en-US"/>
              </w:rPr>
            </w:pPr>
            <w:r w:rsidRPr="00581D8D">
              <w:rPr>
                <w:rFonts w:ascii="Arial" w:hAnsi="Arial" w:cs="Arial"/>
                <w:lang w:val="en-US"/>
              </w:rPr>
              <w:t>36,</w:t>
            </w:r>
            <w:r w:rsidR="008B6A50" w:rsidRPr="00581D8D">
              <w:rPr>
                <w:rFonts w:ascii="Arial" w:hAnsi="Arial" w:cs="Arial"/>
                <w:lang w:val="en-US"/>
              </w:rPr>
              <w:t>989</w:t>
            </w:r>
          </w:p>
        </w:tc>
      </w:tr>
      <w:tr w:rsidR="0048055F" w:rsidRPr="00581D8D" w14:paraId="12543E0F" w14:textId="77777777" w:rsidTr="0048055F">
        <w:tc>
          <w:tcPr>
            <w:tcW w:w="2254" w:type="dxa"/>
          </w:tcPr>
          <w:p w14:paraId="59331805" w14:textId="21EFBF13" w:rsidR="0048055F" w:rsidRPr="00581D8D" w:rsidRDefault="008825BD" w:rsidP="00991A5C">
            <w:pPr>
              <w:pStyle w:val="NoSpacing"/>
              <w:rPr>
                <w:rFonts w:ascii="Arial" w:hAnsi="Arial" w:cs="Arial"/>
                <w:lang w:val="en-US"/>
              </w:rPr>
            </w:pPr>
            <w:r w:rsidRPr="00581D8D">
              <w:rPr>
                <w:rFonts w:ascii="Arial" w:hAnsi="Arial" w:cs="Arial"/>
                <w:lang w:val="en-US"/>
              </w:rPr>
              <w:t>4W</w:t>
            </w:r>
            <w:r w:rsidR="00071306" w:rsidRPr="00581D8D">
              <w:rPr>
                <w:rFonts w:ascii="Arial" w:hAnsi="Arial" w:cs="Arial"/>
                <w:lang w:val="en-US"/>
              </w:rPr>
              <w:t xml:space="preserve"> – BEV</w:t>
            </w:r>
          </w:p>
        </w:tc>
        <w:tc>
          <w:tcPr>
            <w:tcW w:w="2254" w:type="dxa"/>
          </w:tcPr>
          <w:p w14:paraId="182D613E" w14:textId="36260394" w:rsidR="0048055F" w:rsidRPr="00581D8D" w:rsidRDefault="006909BD" w:rsidP="006D188E">
            <w:pPr>
              <w:pStyle w:val="NoSpacing"/>
              <w:jc w:val="center"/>
              <w:rPr>
                <w:rFonts w:ascii="Arial" w:hAnsi="Arial" w:cs="Arial"/>
                <w:lang w:val="en-US"/>
              </w:rPr>
            </w:pPr>
            <w:r w:rsidRPr="00581D8D">
              <w:rPr>
                <w:rFonts w:ascii="Arial" w:hAnsi="Arial" w:cs="Arial"/>
                <w:lang w:val="en-US"/>
              </w:rPr>
              <w:t>35,001</w:t>
            </w:r>
          </w:p>
        </w:tc>
        <w:tc>
          <w:tcPr>
            <w:tcW w:w="2254" w:type="dxa"/>
          </w:tcPr>
          <w:p w14:paraId="1FF850CE" w14:textId="6EF67E0B" w:rsidR="0048055F" w:rsidRPr="00581D8D" w:rsidRDefault="006923BA" w:rsidP="006D188E">
            <w:pPr>
              <w:pStyle w:val="NoSpacing"/>
              <w:jc w:val="center"/>
              <w:rPr>
                <w:rFonts w:ascii="Arial" w:hAnsi="Arial" w:cs="Arial"/>
                <w:lang w:val="en-US"/>
              </w:rPr>
            </w:pPr>
            <w:r w:rsidRPr="00581D8D">
              <w:rPr>
                <w:rFonts w:ascii="Arial" w:hAnsi="Arial" w:cs="Arial"/>
                <w:lang w:val="en-US"/>
              </w:rPr>
              <w:t>163,712</w:t>
            </w:r>
          </w:p>
        </w:tc>
        <w:tc>
          <w:tcPr>
            <w:tcW w:w="2254" w:type="dxa"/>
          </w:tcPr>
          <w:p w14:paraId="1440BB0A" w14:textId="1A4685C6" w:rsidR="0048055F" w:rsidRPr="00581D8D" w:rsidRDefault="005A189E" w:rsidP="006D188E">
            <w:pPr>
              <w:pStyle w:val="NoSpacing"/>
              <w:jc w:val="center"/>
              <w:rPr>
                <w:rFonts w:ascii="Arial" w:hAnsi="Arial" w:cs="Arial"/>
                <w:lang w:val="en-US"/>
              </w:rPr>
            </w:pPr>
            <w:r w:rsidRPr="00581D8D">
              <w:rPr>
                <w:rFonts w:ascii="Arial" w:hAnsi="Arial" w:cs="Arial"/>
                <w:lang w:val="en-US"/>
              </w:rPr>
              <w:t>2</w:t>
            </w:r>
            <w:r w:rsidR="00C01E89" w:rsidRPr="00581D8D">
              <w:rPr>
                <w:rFonts w:ascii="Arial" w:hAnsi="Arial" w:cs="Arial"/>
                <w:lang w:val="en-US"/>
              </w:rPr>
              <w:t>21,931</w:t>
            </w:r>
          </w:p>
        </w:tc>
      </w:tr>
      <w:tr w:rsidR="0048055F" w:rsidRPr="00581D8D" w14:paraId="6653AC08" w14:textId="77777777" w:rsidTr="0048055F">
        <w:tc>
          <w:tcPr>
            <w:tcW w:w="2254" w:type="dxa"/>
          </w:tcPr>
          <w:p w14:paraId="44DD8D9B" w14:textId="6440F8F8" w:rsidR="0048055F" w:rsidRPr="00581D8D" w:rsidRDefault="0039171B" w:rsidP="00991A5C">
            <w:pPr>
              <w:pStyle w:val="NoSpacing"/>
              <w:rPr>
                <w:rFonts w:ascii="Arial" w:hAnsi="Arial" w:cs="Arial"/>
                <w:lang w:val="en-US"/>
              </w:rPr>
            </w:pPr>
            <w:r w:rsidRPr="00581D8D">
              <w:rPr>
                <w:rFonts w:ascii="Arial" w:hAnsi="Arial" w:cs="Arial"/>
                <w:lang w:val="en-US"/>
              </w:rPr>
              <w:t>Tricycle</w:t>
            </w:r>
            <w:r w:rsidR="0074789A" w:rsidRPr="00581D8D">
              <w:rPr>
                <w:rFonts w:ascii="Arial" w:hAnsi="Arial" w:cs="Arial"/>
                <w:lang w:val="en-US"/>
              </w:rPr>
              <w:t xml:space="preserve"> – BEV</w:t>
            </w:r>
          </w:p>
        </w:tc>
        <w:tc>
          <w:tcPr>
            <w:tcW w:w="2254" w:type="dxa"/>
          </w:tcPr>
          <w:p w14:paraId="028E4A14" w14:textId="13882FB3" w:rsidR="0048055F" w:rsidRPr="00581D8D" w:rsidRDefault="00905944" w:rsidP="006D188E">
            <w:pPr>
              <w:pStyle w:val="NoSpacing"/>
              <w:jc w:val="center"/>
              <w:rPr>
                <w:rFonts w:ascii="Arial" w:hAnsi="Arial" w:cs="Arial"/>
                <w:lang w:val="en-US"/>
              </w:rPr>
            </w:pPr>
            <w:r w:rsidRPr="00581D8D">
              <w:rPr>
                <w:rFonts w:ascii="Arial" w:hAnsi="Arial" w:cs="Arial"/>
                <w:lang w:val="en-US"/>
              </w:rPr>
              <w:t>96,672</w:t>
            </w:r>
          </w:p>
        </w:tc>
        <w:tc>
          <w:tcPr>
            <w:tcW w:w="2254" w:type="dxa"/>
          </w:tcPr>
          <w:p w14:paraId="27BCA1C8" w14:textId="791C58CC" w:rsidR="0048055F" w:rsidRPr="00581D8D" w:rsidRDefault="00CF090E" w:rsidP="006D188E">
            <w:pPr>
              <w:pStyle w:val="NoSpacing"/>
              <w:jc w:val="center"/>
              <w:rPr>
                <w:rFonts w:ascii="Arial" w:hAnsi="Arial" w:cs="Arial"/>
                <w:lang w:val="en-US"/>
              </w:rPr>
            </w:pPr>
            <w:r w:rsidRPr="00581D8D">
              <w:rPr>
                <w:rFonts w:ascii="Arial" w:hAnsi="Arial" w:cs="Arial"/>
                <w:lang w:val="en-US"/>
              </w:rPr>
              <w:t>107,224</w:t>
            </w:r>
          </w:p>
        </w:tc>
        <w:tc>
          <w:tcPr>
            <w:tcW w:w="2254" w:type="dxa"/>
          </w:tcPr>
          <w:p w14:paraId="0A973833" w14:textId="6B131253" w:rsidR="0048055F" w:rsidRPr="00581D8D" w:rsidRDefault="005A189E" w:rsidP="006D188E">
            <w:pPr>
              <w:pStyle w:val="NoSpacing"/>
              <w:jc w:val="center"/>
              <w:rPr>
                <w:rFonts w:ascii="Arial" w:hAnsi="Arial" w:cs="Arial"/>
                <w:lang w:val="en-US"/>
              </w:rPr>
            </w:pPr>
            <w:r w:rsidRPr="00581D8D">
              <w:rPr>
                <w:rFonts w:ascii="Arial" w:hAnsi="Arial" w:cs="Arial"/>
                <w:lang w:val="en-US"/>
              </w:rPr>
              <w:t>10</w:t>
            </w:r>
            <w:r w:rsidR="00081B0A" w:rsidRPr="00581D8D">
              <w:rPr>
                <w:rFonts w:ascii="Arial" w:hAnsi="Arial" w:cs="Arial"/>
                <w:lang w:val="en-US"/>
              </w:rPr>
              <w:t>2</w:t>
            </w:r>
            <w:r w:rsidRPr="00581D8D">
              <w:rPr>
                <w:rFonts w:ascii="Arial" w:hAnsi="Arial" w:cs="Arial"/>
                <w:lang w:val="en-US"/>
              </w:rPr>
              <w:t>,</w:t>
            </w:r>
            <w:r w:rsidR="00081B0A" w:rsidRPr="00581D8D">
              <w:rPr>
                <w:rFonts w:ascii="Arial" w:hAnsi="Arial" w:cs="Arial"/>
                <w:lang w:val="en-US"/>
              </w:rPr>
              <w:t>065</w:t>
            </w:r>
          </w:p>
        </w:tc>
      </w:tr>
      <w:tr w:rsidR="0048055F" w:rsidRPr="00581D8D" w14:paraId="729BA7C2" w14:textId="77777777" w:rsidTr="0048055F">
        <w:tc>
          <w:tcPr>
            <w:tcW w:w="2254" w:type="dxa"/>
          </w:tcPr>
          <w:p w14:paraId="32FB8EE4" w14:textId="68D97D1D" w:rsidR="0048055F" w:rsidRPr="00581D8D" w:rsidRDefault="0039171B" w:rsidP="00991A5C">
            <w:pPr>
              <w:pStyle w:val="NoSpacing"/>
              <w:rPr>
                <w:rFonts w:ascii="Arial" w:hAnsi="Arial" w:cs="Arial"/>
                <w:lang w:val="en-US"/>
              </w:rPr>
            </w:pPr>
            <w:r w:rsidRPr="00581D8D">
              <w:rPr>
                <w:rFonts w:ascii="Arial" w:hAnsi="Arial" w:cs="Arial"/>
                <w:lang w:val="en-US"/>
              </w:rPr>
              <w:t>Motorcycle</w:t>
            </w:r>
            <w:r w:rsidR="0074789A" w:rsidRPr="00581D8D">
              <w:rPr>
                <w:rFonts w:ascii="Arial" w:hAnsi="Arial" w:cs="Arial"/>
                <w:lang w:val="en-US"/>
              </w:rPr>
              <w:t xml:space="preserve"> – BEV</w:t>
            </w:r>
          </w:p>
        </w:tc>
        <w:tc>
          <w:tcPr>
            <w:tcW w:w="2254" w:type="dxa"/>
          </w:tcPr>
          <w:p w14:paraId="77A58E73" w14:textId="776BA08E" w:rsidR="0048055F" w:rsidRPr="00581D8D" w:rsidRDefault="0029352A" w:rsidP="006D188E">
            <w:pPr>
              <w:pStyle w:val="NoSpacing"/>
              <w:jc w:val="center"/>
              <w:rPr>
                <w:rFonts w:ascii="Arial" w:hAnsi="Arial" w:cs="Arial"/>
                <w:lang w:val="en-US"/>
              </w:rPr>
            </w:pPr>
            <w:r w:rsidRPr="00581D8D">
              <w:rPr>
                <w:rFonts w:ascii="Arial" w:hAnsi="Arial" w:cs="Arial"/>
                <w:lang w:val="en-US"/>
              </w:rPr>
              <w:t>424</w:t>
            </w:r>
            <w:r w:rsidR="00CE18B4" w:rsidRPr="00581D8D">
              <w:rPr>
                <w:rFonts w:ascii="Arial" w:hAnsi="Arial" w:cs="Arial"/>
                <w:lang w:val="en-US"/>
              </w:rPr>
              <w:t>,</w:t>
            </w:r>
            <w:r w:rsidRPr="00581D8D">
              <w:rPr>
                <w:rFonts w:ascii="Arial" w:hAnsi="Arial" w:cs="Arial"/>
                <w:lang w:val="en-US"/>
              </w:rPr>
              <w:t>847</w:t>
            </w:r>
          </w:p>
        </w:tc>
        <w:tc>
          <w:tcPr>
            <w:tcW w:w="2254" w:type="dxa"/>
          </w:tcPr>
          <w:p w14:paraId="2556D8E0" w14:textId="061226FB" w:rsidR="0048055F" w:rsidRPr="00581D8D" w:rsidRDefault="00AF0294" w:rsidP="006D188E">
            <w:pPr>
              <w:pStyle w:val="NoSpacing"/>
              <w:jc w:val="center"/>
              <w:rPr>
                <w:rFonts w:ascii="Arial" w:hAnsi="Arial" w:cs="Arial"/>
                <w:lang w:val="en-US"/>
              </w:rPr>
            </w:pPr>
            <w:r w:rsidRPr="00581D8D">
              <w:rPr>
                <w:rFonts w:ascii="Arial" w:hAnsi="Arial" w:cs="Arial"/>
                <w:lang w:val="en-US"/>
              </w:rPr>
              <w:t>563,262</w:t>
            </w:r>
          </w:p>
        </w:tc>
        <w:tc>
          <w:tcPr>
            <w:tcW w:w="2254" w:type="dxa"/>
          </w:tcPr>
          <w:p w14:paraId="0FCAD009" w14:textId="7E9CEC4B" w:rsidR="0048055F" w:rsidRPr="00581D8D" w:rsidRDefault="00081B0A" w:rsidP="006D188E">
            <w:pPr>
              <w:pStyle w:val="NoSpacing"/>
              <w:jc w:val="center"/>
              <w:rPr>
                <w:rFonts w:ascii="Arial" w:hAnsi="Arial" w:cs="Arial"/>
                <w:lang w:val="en-US"/>
              </w:rPr>
            </w:pPr>
            <w:r w:rsidRPr="00581D8D">
              <w:rPr>
                <w:rFonts w:ascii="Arial" w:hAnsi="Arial" w:cs="Arial"/>
                <w:lang w:val="en-US"/>
              </w:rPr>
              <w:t>555,883</w:t>
            </w:r>
          </w:p>
        </w:tc>
      </w:tr>
      <w:tr w:rsidR="0048055F" w:rsidRPr="00581D8D" w14:paraId="5D5F1147" w14:textId="77777777" w:rsidTr="0048055F">
        <w:tc>
          <w:tcPr>
            <w:tcW w:w="2254" w:type="dxa"/>
          </w:tcPr>
          <w:p w14:paraId="587FAA0C" w14:textId="30636BF0" w:rsidR="0048055F" w:rsidRPr="00581D8D" w:rsidRDefault="0039171B" w:rsidP="00991A5C">
            <w:pPr>
              <w:pStyle w:val="NoSpacing"/>
              <w:rPr>
                <w:rFonts w:ascii="Arial" w:hAnsi="Arial" w:cs="Arial"/>
                <w:lang w:val="en-US"/>
              </w:rPr>
            </w:pPr>
            <w:r w:rsidRPr="00581D8D">
              <w:rPr>
                <w:rFonts w:ascii="Arial" w:hAnsi="Arial" w:cs="Arial"/>
                <w:lang w:val="en-US"/>
              </w:rPr>
              <w:t>Bus</w:t>
            </w:r>
            <w:r w:rsidR="0074789A" w:rsidRPr="00581D8D">
              <w:rPr>
                <w:rFonts w:ascii="Arial" w:hAnsi="Arial" w:cs="Arial"/>
                <w:lang w:val="en-US"/>
              </w:rPr>
              <w:t xml:space="preserve"> – BEV</w:t>
            </w:r>
          </w:p>
        </w:tc>
        <w:tc>
          <w:tcPr>
            <w:tcW w:w="2254" w:type="dxa"/>
          </w:tcPr>
          <w:p w14:paraId="34AB6FD8" w14:textId="2D55F5C7" w:rsidR="0048055F" w:rsidRPr="00581D8D" w:rsidRDefault="003E3910" w:rsidP="006D188E">
            <w:pPr>
              <w:pStyle w:val="NoSpacing"/>
              <w:jc w:val="center"/>
              <w:rPr>
                <w:rFonts w:ascii="Arial" w:hAnsi="Arial" w:cs="Arial"/>
                <w:lang w:val="en-US"/>
              </w:rPr>
            </w:pPr>
            <w:r w:rsidRPr="00581D8D">
              <w:rPr>
                <w:rFonts w:ascii="Arial" w:hAnsi="Arial" w:cs="Arial"/>
                <w:lang w:val="en-US"/>
              </w:rPr>
              <w:t>1,642</w:t>
            </w:r>
          </w:p>
        </w:tc>
        <w:tc>
          <w:tcPr>
            <w:tcW w:w="2254" w:type="dxa"/>
          </w:tcPr>
          <w:p w14:paraId="2FEE7102" w14:textId="77036EF7" w:rsidR="0048055F" w:rsidRPr="00581D8D" w:rsidRDefault="007B5EAA" w:rsidP="006D188E">
            <w:pPr>
              <w:pStyle w:val="NoSpacing"/>
              <w:jc w:val="center"/>
              <w:rPr>
                <w:rFonts w:ascii="Arial" w:hAnsi="Arial" w:cs="Arial"/>
                <w:lang w:val="en-US"/>
              </w:rPr>
            </w:pPr>
            <w:r w:rsidRPr="00581D8D">
              <w:rPr>
                <w:rFonts w:ascii="Arial" w:hAnsi="Arial" w:cs="Arial"/>
                <w:lang w:val="en-US"/>
              </w:rPr>
              <w:t>1,</w:t>
            </w:r>
            <w:r w:rsidR="00AF0294" w:rsidRPr="00581D8D">
              <w:rPr>
                <w:rFonts w:ascii="Arial" w:hAnsi="Arial" w:cs="Arial"/>
                <w:lang w:val="en-US"/>
              </w:rPr>
              <w:t>821</w:t>
            </w:r>
          </w:p>
        </w:tc>
        <w:tc>
          <w:tcPr>
            <w:tcW w:w="2254" w:type="dxa"/>
          </w:tcPr>
          <w:p w14:paraId="697234C3" w14:textId="35475822" w:rsidR="0048055F" w:rsidRPr="00581D8D" w:rsidRDefault="007B5EAA" w:rsidP="006D188E">
            <w:pPr>
              <w:pStyle w:val="NoSpacing"/>
              <w:jc w:val="center"/>
              <w:rPr>
                <w:rFonts w:ascii="Arial" w:hAnsi="Arial" w:cs="Arial"/>
                <w:lang w:val="en-US"/>
              </w:rPr>
            </w:pPr>
            <w:r w:rsidRPr="00581D8D">
              <w:rPr>
                <w:rFonts w:ascii="Arial" w:hAnsi="Arial" w:cs="Arial"/>
                <w:lang w:val="en-US"/>
              </w:rPr>
              <w:t>1,</w:t>
            </w:r>
            <w:r w:rsidR="00276169" w:rsidRPr="00581D8D">
              <w:rPr>
                <w:rFonts w:ascii="Arial" w:hAnsi="Arial" w:cs="Arial"/>
                <w:lang w:val="en-US"/>
              </w:rPr>
              <w:t>735</w:t>
            </w:r>
          </w:p>
        </w:tc>
      </w:tr>
      <w:tr w:rsidR="0048055F" w:rsidRPr="00581D8D" w14:paraId="4980E3E0" w14:textId="77777777" w:rsidTr="0048055F">
        <w:tc>
          <w:tcPr>
            <w:tcW w:w="2254" w:type="dxa"/>
          </w:tcPr>
          <w:p w14:paraId="2326B4F9" w14:textId="575C794E" w:rsidR="0048055F" w:rsidRPr="00581D8D" w:rsidRDefault="00071306" w:rsidP="00991A5C">
            <w:pPr>
              <w:pStyle w:val="NoSpacing"/>
              <w:rPr>
                <w:rFonts w:ascii="Arial" w:hAnsi="Arial" w:cs="Arial"/>
                <w:b/>
                <w:bCs/>
                <w:lang w:val="en-US"/>
              </w:rPr>
            </w:pPr>
            <w:r w:rsidRPr="00581D8D">
              <w:rPr>
                <w:rFonts w:ascii="Arial" w:hAnsi="Arial" w:cs="Arial"/>
                <w:b/>
                <w:bCs/>
                <w:lang w:val="en-US"/>
              </w:rPr>
              <w:t>EV Charging Stations</w:t>
            </w:r>
          </w:p>
        </w:tc>
        <w:tc>
          <w:tcPr>
            <w:tcW w:w="2254" w:type="dxa"/>
          </w:tcPr>
          <w:p w14:paraId="1EF988AE" w14:textId="002DCFEE" w:rsidR="0048055F" w:rsidRPr="00581D8D" w:rsidRDefault="00CA7D4E" w:rsidP="006D188E">
            <w:pPr>
              <w:pStyle w:val="NoSpacing"/>
              <w:jc w:val="center"/>
              <w:rPr>
                <w:rFonts w:ascii="Arial" w:hAnsi="Arial" w:cs="Arial"/>
                <w:b/>
                <w:bCs/>
                <w:lang w:val="en-US"/>
              </w:rPr>
            </w:pPr>
            <w:r w:rsidRPr="00581D8D">
              <w:rPr>
                <w:rFonts w:ascii="Arial" w:hAnsi="Arial" w:cs="Arial"/>
                <w:b/>
                <w:bCs/>
                <w:lang w:val="en-US"/>
              </w:rPr>
              <w:t>7,300</w:t>
            </w:r>
          </w:p>
        </w:tc>
        <w:tc>
          <w:tcPr>
            <w:tcW w:w="2254" w:type="dxa"/>
          </w:tcPr>
          <w:p w14:paraId="65FD34FB" w14:textId="56578E08" w:rsidR="0048055F" w:rsidRPr="00581D8D" w:rsidRDefault="00761F01" w:rsidP="006D188E">
            <w:pPr>
              <w:pStyle w:val="NoSpacing"/>
              <w:jc w:val="center"/>
              <w:rPr>
                <w:rFonts w:ascii="Arial" w:hAnsi="Arial" w:cs="Arial"/>
                <w:b/>
                <w:bCs/>
                <w:lang w:val="en-US"/>
              </w:rPr>
            </w:pPr>
            <w:r w:rsidRPr="00581D8D">
              <w:rPr>
                <w:rFonts w:ascii="Arial" w:hAnsi="Arial" w:cs="Arial"/>
                <w:b/>
                <w:bCs/>
                <w:lang w:val="en-US"/>
              </w:rPr>
              <w:t>14,000</w:t>
            </w:r>
          </w:p>
        </w:tc>
        <w:tc>
          <w:tcPr>
            <w:tcW w:w="2254" w:type="dxa"/>
          </w:tcPr>
          <w:p w14:paraId="3DE65CBF" w14:textId="10DAABC7" w:rsidR="0048055F" w:rsidRPr="00581D8D" w:rsidRDefault="00AA65BF" w:rsidP="006D188E">
            <w:pPr>
              <w:pStyle w:val="NoSpacing"/>
              <w:jc w:val="center"/>
              <w:rPr>
                <w:rFonts w:ascii="Arial" w:hAnsi="Arial" w:cs="Arial"/>
                <w:b/>
                <w:bCs/>
                <w:lang w:val="en-US"/>
              </w:rPr>
            </w:pPr>
            <w:r w:rsidRPr="00581D8D">
              <w:rPr>
                <w:rFonts w:ascii="Arial" w:hAnsi="Arial" w:cs="Arial"/>
                <w:b/>
                <w:bCs/>
                <w:lang w:val="en-US"/>
              </w:rPr>
              <w:t>20,400</w:t>
            </w:r>
          </w:p>
        </w:tc>
      </w:tr>
    </w:tbl>
    <w:p w14:paraId="7121079A" w14:textId="77777777" w:rsidR="00991A5C" w:rsidRDefault="00991A5C" w:rsidP="00991A5C">
      <w:pPr>
        <w:pStyle w:val="NoSpacing"/>
        <w:rPr>
          <w:rFonts w:ascii="Arial" w:hAnsi="Arial" w:cs="Arial"/>
          <w:lang w:val="en-US"/>
        </w:rPr>
      </w:pPr>
    </w:p>
    <w:p w14:paraId="3A28809A" w14:textId="77777777" w:rsidR="0087104F" w:rsidRDefault="0087104F" w:rsidP="00991A5C">
      <w:pPr>
        <w:pStyle w:val="NoSpacing"/>
        <w:rPr>
          <w:rFonts w:ascii="Arial" w:hAnsi="Arial" w:cs="Arial"/>
          <w:lang w:val="en-US"/>
        </w:rPr>
      </w:pPr>
    </w:p>
    <w:p w14:paraId="5C848BC2" w14:textId="77777777" w:rsidR="0087104F" w:rsidRDefault="0087104F" w:rsidP="00991A5C">
      <w:pPr>
        <w:pStyle w:val="NoSpacing"/>
        <w:rPr>
          <w:rFonts w:ascii="Arial" w:hAnsi="Arial" w:cs="Arial"/>
          <w:lang w:val="en-US"/>
        </w:rPr>
      </w:pPr>
    </w:p>
    <w:p w14:paraId="6A1C6548" w14:textId="77777777" w:rsidR="0087104F" w:rsidRDefault="0087104F" w:rsidP="00991A5C">
      <w:pPr>
        <w:pStyle w:val="NoSpacing"/>
        <w:rPr>
          <w:rFonts w:ascii="Arial" w:hAnsi="Arial" w:cs="Arial"/>
          <w:lang w:val="en-US"/>
        </w:rPr>
      </w:pPr>
    </w:p>
    <w:p w14:paraId="176D0596" w14:textId="77777777" w:rsidR="0087104F" w:rsidRDefault="0087104F" w:rsidP="00991A5C">
      <w:pPr>
        <w:pStyle w:val="NoSpacing"/>
        <w:rPr>
          <w:rFonts w:ascii="Arial" w:hAnsi="Arial" w:cs="Arial"/>
          <w:lang w:val="en-US"/>
        </w:rPr>
      </w:pPr>
    </w:p>
    <w:p w14:paraId="4E416720" w14:textId="77777777" w:rsidR="0087104F" w:rsidRDefault="0087104F" w:rsidP="00991A5C">
      <w:pPr>
        <w:pStyle w:val="NoSpacing"/>
        <w:rPr>
          <w:rFonts w:ascii="Arial" w:hAnsi="Arial" w:cs="Arial"/>
          <w:lang w:val="en-US"/>
        </w:rPr>
      </w:pPr>
    </w:p>
    <w:p w14:paraId="219B8037" w14:textId="77777777" w:rsidR="0087104F" w:rsidRPr="00581D8D" w:rsidRDefault="0087104F" w:rsidP="00991A5C">
      <w:pPr>
        <w:pStyle w:val="NoSpacing"/>
        <w:rPr>
          <w:rFonts w:ascii="Arial" w:hAnsi="Arial" w:cs="Arial"/>
          <w:lang w:val="en-US"/>
        </w:rPr>
      </w:pPr>
    </w:p>
    <w:p w14:paraId="28E07477" w14:textId="0A4DDC57" w:rsidR="00991A5C" w:rsidRPr="00581D8D" w:rsidRDefault="00B77CFC" w:rsidP="00991A5C">
      <w:pPr>
        <w:pStyle w:val="NoSpacing"/>
        <w:rPr>
          <w:rFonts w:ascii="Arial" w:hAnsi="Arial" w:cs="Arial"/>
          <w:b/>
          <w:bCs/>
          <w:lang w:val="en-US"/>
        </w:rPr>
      </w:pPr>
      <w:r w:rsidRPr="00581D8D">
        <w:rPr>
          <w:rFonts w:ascii="Arial" w:hAnsi="Arial" w:cs="Arial"/>
          <w:b/>
          <w:bCs/>
          <w:lang w:val="en-US"/>
        </w:rPr>
        <w:t>Clean Energy</w:t>
      </w:r>
      <w:r w:rsidR="00991A5C" w:rsidRPr="00581D8D">
        <w:rPr>
          <w:rFonts w:ascii="Arial" w:hAnsi="Arial" w:cs="Arial"/>
          <w:b/>
          <w:bCs/>
          <w:lang w:val="en-US"/>
        </w:rPr>
        <w:t xml:space="preserve"> Scenario (</w:t>
      </w:r>
      <w:r w:rsidR="009D2004" w:rsidRPr="00581D8D">
        <w:rPr>
          <w:rFonts w:ascii="Arial" w:hAnsi="Arial" w:cs="Arial"/>
          <w:b/>
          <w:bCs/>
          <w:lang w:val="en-US"/>
        </w:rPr>
        <w:t>5</w:t>
      </w:r>
      <w:r w:rsidR="00991A5C" w:rsidRPr="00581D8D">
        <w:rPr>
          <w:rFonts w:ascii="Arial" w:hAnsi="Arial" w:cs="Arial"/>
          <w:b/>
          <w:bCs/>
          <w:lang w:val="en-US"/>
        </w:rPr>
        <w:t>0% EV Fleet Share by 2040)</w:t>
      </w:r>
    </w:p>
    <w:tbl>
      <w:tblPr>
        <w:tblStyle w:val="TableGrid"/>
        <w:tblW w:w="0" w:type="auto"/>
        <w:tblLook w:val="04A0" w:firstRow="1" w:lastRow="0" w:firstColumn="1" w:lastColumn="0" w:noHBand="0" w:noVBand="1"/>
      </w:tblPr>
      <w:tblGrid>
        <w:gridCol w:w="2254"/>
        <w:gridCol w:w="2254"/>
        <w:gridCol w:w="2254"/>
        <w:gridCol w:w="2254"/>
      </w:tblGrid>
      <w:tr w:rsidR="00991A5C" w:rsidRPr="00581D8D" w14:paraId="3BAC59F7" w14:textId="77777777" w:rsidTr="000F7EDD">
        <w:tc>
          <w:tcPr>
            <w:tcW w:w="2254" w:type="dxa"/>
          </w:tcPr>
          <w:p w14:paraId="5B4AEE41" w14:textId="77777777" w:rsidR="00991A5C" w:rsidRPr="00581D8D" w:rsidRDefault="00991A5C" w:rsidP="006D188E">
            <w:pPr>
              <w:pStyle w:val="NoSpacing"/>
              <w:jc w:val="center"/>
              <w:rPr>
                <w:rFonts w:ascii="Arial" w:hAnsi="Arial" w:cs="Arial"/>
                <w:b/>
                <w:bCs/>
                <w:lang w:val="en-US"/>
              </w:rPr>
            </w:pPr>
            <w:r w:rsidRPr="00581D8D">
              <w:rPr>
                <w:rFonts w:ascii="Arial" w:hAnsi="Arial" w:cs="Arial"/>
                <w:b/>
                <w:bCs/>
                <w:lang w:val="en-US"/>
              </w:rPr>
              <w:t>Type</w:t>
            </w:r>
          </w:p>
        </w:tc>
        <w:tc>
          <w:tcPr>
            <w:tcW w:w="2254" w:type="dxa"/>
          </w:tcPr>
          <w:p w14:paraId="64A30E20" w14:textId="77777777" w:rsidR="00991A5C" w:rsidRPr="00581D8D" w:rsidRDefault="00991A5C" w:rsidP="006D188E">
            <w:pPr>
              <w:pStyle w:val="NoSpacing"/>
              <w:jc w:val="center"/>
              <w:rPr>
                <w:rFonts w:ascii="Arial" w:hAnsi="Arial" w:cs="Arial"/>
                <w:b/>
                <w:bCs/>
                <w:lang w:val="en-US"/>
              </w:rPr>
            </w:pPr>
            <w:r w:rsidRPr="00581D8D">
              <w:rPr>
                <w:rFonts w:ascii="Arial" w:hAnsi="Arial" w:cs="Arial"/>
                <w:b/>
                <w:bCs/>
                <w:lang w:val="en-US"/>
              </w:rPr>
              <w:t>Short Term</w:t>
            </w:r>
          </w:p>
          <w:p w14:paraId="5E61CBA6" w14:textId="77777777" w:rsidR="00991A5C" w:rsidRPr="00581D8D" w:rsidRDefault="00991A5C" w:rsidP="006D188E">
            <w:pPr>
              <w:pStyle w:val="NoSpacing"/>
              <w:jc w:val="center"/>
              <w:rPr>
                <w:rFonts w:ascii="Arial" w:hAnsi="Arial" w:cs="Arial"/>
                <w:b/>
                <w:bCs/>
                <w:lang w:val="en-US"/>
              </w:rPr>
            </w:pPr>
            <w:r w:rsidRPr="00581D8D">
              <w:rPr>
                <w:rFonts w:ascii="Arial" w:hAnsi="Arial" w:cs="Arial"/>
                <w:b/>
                <w:bCs/>
                <w:lang w:val="en-US"/>
              </w:rPr>
              <w:t>(2023-2028)</w:t>
            </w:r>
          </w:p>
        </w:tc>
        <w:tc>
          <w:tcPr>
            <w:tcW w:w="2254" w:type="dxa"/>
          </w:tcPr>
          <w:p w14:paraId="68CE79F7" w14:textId="77777777" w:rsidR="00991A5C" w:rsidRPr="00581D8D" w:rsidRDefault="00991A5C" w:rsidP="006D188E">
            <w:pPr>
              <w:pStyle w:val="NoSpacing"/>
              <w:jc w:val="center"/>
              <w:rPr>
                <w:rFonts w:ascii="Arial" w:hAnsi="Arial" w:cs="Arial"/>
                <w:b/>
                <w:bCs/>
                <w:lang w:val="en-US"/>
              </w:rPr>
            </w:pPr>
            <w:r w:rsidRPr="00581D8D">
              <w:rPr>
                <w:rFonts w:ascii="Arial" w:hAnsi="Arial" w:cs="Arial"/>
                <w:b/>
                <w:bCs/>
                <w:lang w:val="en-US"/>
              </w:rPr>
              <w:t>Medium Term</w:t>
            </w:r>
          </w:p>
          <w:p w14:paraId="5429F0B1" w14:textId="77777777" w:rsidR="00991A5C" w:rsidRPr="00581D8D" w:rsidRDefault="00991A5C" w:rsidP="006D188E">
            <w:pPr>
              <w:pStyle w:val="NoSpacing"/>
              <w:jc w:val="center"/>
              <w:rPr>
                <w:rFonts w:ascii="Arial" w:hAnsi="Arial" w:cs="Arial"/>
                <w:b/>
                <w:bCs/>
                <w:lang w:val="en-US"/>
              </w:rPr>
            </w:pPr>
            <w:r w:rsidRPr="00581D8D">
              <w:rPr>
                <w:rFonts w:ascii="Arial" w:hAnsi="Arial" w:cs="Arial"/>
                <w:b/>
                <w:bCs/>
                <w:lang w:val="en-US"/>
              </w:rPr>
              <w:t>(2029-2034)</w:t>
            </w:r>
          </w:p>
        </w:tc>
        <w:tc>
          <w:tcPr>
            <w:tcW w:w="2254" w:type="dxa"/>
          </w:tcPr>
          <w:p w14:paraId="680388B8" w14:textId="77777777" w:rsidR="00991A5C" w:rsidRPr="00581D8D" w:rsidRDefault="00991A5C" w:rsidP="006D188E">
            <w:pPr>
              <w:pStyle w:val="NoSpacing"/>
              <w:jc w:val="center"/>
              <w:rPr>
                <w:rFonts w:ascii="Arial" w:hAnsi="Arial" w:cs="Arial"/>
                <w:b/>
                <w:bCs/>
                <w:lang w:val="en-US"/>
              </w:rPr>
            </w:pPr>
            <w:r w:rsidRPr="00581D8D">
              <w:rPr>
                <w:rFonts w:ascii="Arial" w:hAnsi="Arial" w:cs="Arial"/>
                <w:b/>
                <w:bCs/>
                <w:lang w:val="en-US"/>
              </w:rPr>
              <w:t>Long Term</w:t>
            </w:r>
          </w:p>
          <w:p w14:paraId="6AA0F38D" w14:textId="77777777" w:rsidR="00991A5C" w:rsidRPr="00581D8D" w:rsidRDefault="00991A5C" w:rsidP="006D188E">
            <w:pPr>
              <w:pStyle w:val="NoSpacing"/>
              <w:jc w:val="center"/>
              <w:rPr>
                <w:rFonts w:ascii="Arial" w:hAnsi="Arial" w:cs="Arial"/>
                <w:b/>
                <w:bCs/>
                <w:lang w:val="en-US"/>
              </w:rPr>
            </w:pPr>
            <w:r w:rsidRPr="00581D8D">
              <w:rPr>
                <w:rFonts w:ascii="Arial" w:hAnsi="Arial" w:cs="Arial"/>
                <w:b/>
                <w:bCs/>
                <w:lang w:val="en-US"/>
              </w:rPr>
              <w:t>(2035-2040)</w:t>
            </w:r>
          </w:p>
        </w:tc>
      </w:tr>
      <w:tr w:rsidR="00991A5C" w:rsidRPr="00581D8D" w14:paraId="4AA63CF9" w14:textId="77777777" w:rsidTr="000F7EDD">
        <w:tc>
          <w:tcPr>
            <w:tcW w:w="2254" w:type="dxa"/>
          </w:tcPr>
          <w:p w14:paraId="5E04283A" w14:textId="77777777" w:rsidR="00991A5C" w:rsidRPr="00581D8D" w:rsidRDefault="00991A5C" w:rsidP="00991A5C">
            <w:pPr>
              <w:pStyle w:val="NoSpacing"/>
              <w:rPr>
                <w:rFonts w:ascii="Arial" w:hAnsi="Arial" w:cs="Arial"/>
                <w:b/>
                <w:bCs/>
                <w:lang w:val="en-US"/>
              </w:rPr>
            </w:pPr>
            <w:r w:rsidRPr="00581D8D">
              <w:rPr>
                <w:rFonts w:ascii="Arial" w:hAnsi="Arial" w:cs="Arial"/>
                <w:b/>
                <w:bCs/>
                <w:lang w:val="en-US"/>
              </w:rPr>
              <w:t>Electric Vehicle</w:t>
            </w:r>
          </w:p>
        </w:tc>
        <w:tc>
          <w:tcPr>
            <w:tcW w:w="2254" w:type="dxa"/>
          </w:tcPr>
          <w:p w14:paraId="60882E8E" w14:textId="13C98A10" w:rsidR="00991A5C" w:rsidRPr="00581D8D" w:rsidRDefault="00146E21" w:rsidP="006D188E">
            <w:pPr>
              <w:pStyle w:val="NoSpacing"/>
              <w:jc w:val="center"/>
              <w:rPr>
                <w:rFonts w:ascii="Arial" w:hAnsi="Arial" w:cs="Arial"/>
                <w:b/>
                <w:bCs/>
                <w:lang w:val="en-US"/>
              </w:rPr>
            </w:pPr>
            <w:r w:rsidRPr="00581D8D">
              <w:rPr>
                <w:rFonts w:ascii="Arial" w:hAnsi="Arial" w:cs="Arial"/>
                <w:b/>
                <w:bCs/>
                <w:lang w:val="en-US"/>
              </w:rPr>
              <w:t>4,595,959</w:t>
            </w:r>
          </w:p>
        </w:tc>
        <w:tc>
          <w:tcPr>
            <w:tcW w:w="2254" w:type="dxa"/>
          </w:tcPr>
          <w:p w14:paraId="636EF698" w14:textId="78F7D002" w:rsidR="00991A5C" w:rsidRPr="00581D8D" w:rsidRDefault="00355FC9" w:rsidP="006D188E">
            <w:pPr>
              <w:pStyle w:val="NoSpacing"/>
              <w:jc w:val="center"/>
              <w:rPr>
                <w:rFonts w:ascii="Arial" w:hAnsi="Arial" w:cs="Arial"/>
                <w:b/>
                <w:bCs/>
                <w:lang w:val="en-US"/>
              </w:rPr>
            </w:pPr>
            <w:r w:rsidRPr="00581D8D">
              <w:rPr>
                <w:rFonts w:ascii="Arial" w:hAnsi="Arial" w:cs="Arial"/>
                <w:b/>
                <w:bCs/>
                <w:lang w:val="en-US"/>
              </w:rPr>
              <w:t>4,215,337</w:t>
            </w:r>
          </w:p>
        </w:tc>
        <w:tc>
          <w:tcPr>
            <w:tcW w:w="2254" w:type="dxa"/>
          </w:tcPr>
          <w:p w14:paraId="32F70C79" w14:textId="1DD82188" w:rsidR="00991A5C" w:rsidRPr="00581D8D" w:rsidRDefault="00004ED5" w:rsidP="006D188E">
            <w:pPr>
              <w:pStyle w:val="NoSpacing"/>
              <w:jc w:val="center"/>
              <w:rPr>
                <w:rFonts w:ascii="Arial" w:hAnsi="Arial" w:cs="Arial"/>
                <w:b/>
                <w:bCs/>
                <w:lang w:val="en-US"/>
              </w:rPr>
            </w:pPr>
            <w:r w:rsidRPr="00581D8D">
              <w:rPr>
                <w:rFonts w:ascii="Arial" w:hAnsi="Arial" w:cs="Arial"/>
                <w:b/>
                <w:bCs/>
                <w:lang w:val="en-US"/>
              </w:rPr>
              <w:t>4,411,244</w:t>
            </w:r>
          </w:p>
        </w:tc>
      </w:tr>
      <w:tr w:rsidR="00991A5C" w:rsidRPr="00581D8D" w14:paraId="5B7B7C5B" w14:textId="77777777" w:rsidTr="000F7EDD">
        <w:tc>
          <w:tcPr>
            <w:tcW w:w="2254" w:type="dxa"/>
          </w:tcPr>
          <w:p w14:paraId="667DED14" w14:textId="777B43DD" w:rsidR="00991A5C" w:rsidRPr="00581D8D" w:rsidRDefault="00C955EF" w:rsidP="00991A5C">
            <w:pPr>
              <w:pStyle w:val="NoSpacing"/>
              <w:rPr>
                <w:rFonts w:ascii="Arial" w:hAnsi="Arial" w:cs="Arial"/>
                <w:lang w:val="en-US"/>
              </w:rPr>
            </w:pPr>
            <w:r w:rsidRPr="00581D8D">
              <w:rPr>
                <w:rFonts w:ascii="Arial" w:hAnsi="Arial" w:cs="Arial"/>
                <w:lang w:val="en-US"/>
              </w:rPr>
              <w:t>4W</w:t>
            </w:r>
            <w:r w:rsidR="00991A5C" w:rsidRPr="00581D8D">
              <w:rPr>
                <w:rFonts w:ascii="Arial" w:hAnsi="Arial" w:cs="Arial"/>
                <w:lang w:val="en-US"/>
              </w:rPr>
              <w:t xml:space="preserve"> – HEV</w:t>
            </w:r>
          </w:p>
        </w:tc>
        <w:tc>
          <w:tcPr>
            <w:tcW w:w="2254" w:type="dxa"/>
          </w:tcPr>
          <w:p w14:paraId="07FD0331" w14:textId="52ABC0F5" w:rsidR="00991A5C" w:rsidRPr="00581D8D" w:rsidRDefault="009A57F2" w:rsidP="006D188E">
            <w:pPr>
              <w:pStyle w:val="NoSpacing"/>
              <w:jc w:val="center"/>
              <w:rPr>
                <w:rFonts w:ascii="Arial" w:hAnsi="Arial" w:cs="Arial"/>
                <w:lang w:val="en-US"/>
              </w:rPr>
            </w:pPr>
            <w:r w:rsidRPr="00581D8D">
              <w:rPr>
                <w:rFonts w:ascii="Arial" w:hAnsi="Arial" w:cs="Arial"/>
                <w:lang w:val="en-US"/>
              </w:rPr>
              <w:t>932,063</w:t>
            </w:r>
          </w:p>
        </w:tc>
        <w:tc>
          <w:tcPr>
            <w:tcW w:w="2254" w:type="dxa"/>
          </w:tcPr>
          <w:p w14:paraId="107029FF" w14:textId="651C751B" w:rsidR="00991A5C" w:rsidRPr="00581D8D" w:rsidRDefault="00EB29CF" w:rsidP="006D188E">
            <w:pPr>
              <w:pStyle w:val="NoSpacing"/>
              <w:jc w:val="center"/>
              <w:rPr>
                <w:rFonts w:ascii="Arial" w:hAnsi="Arial" w:cs="Arial"/>
                <w:lang w:val="en-US"/>
              </w:rPr>
            </w:pPr>
            <w:r w:rsidRPr="00581D8D">
              <w:rPr>
                <w:rFonts w:ascii="Arial" w:hAnsi="Arial" w:cs="Arial"/>
                <w:lang w:val="en-US"/>
              </w:rPr>
              <w:t>528,817</w:t>
            </w:r>
          </w:p>
        </w:tc>
        <w:tc>
          <w:tcPr>
            <w:tcW w:w="2254" w:type="dxa"/>
          </w:tcPr>
          <w:p w14:paraId="3A07E225" w14:textId="4B644853" w:rsidR="00991A5C" w:rsidRPr="00581D8D" w:rsidRDefault="006B7898" w:rsidP="006D188E">
            <w:pPr>
              <w:pStyle w:val="NoSpacing"/>
              <w:jc w:val="center"/>
              <w:rPr>
                <w:rFonts w:ascii="Arial" w:hAnsi="Arial" w:cs="Arial"/>
                <w:lang w:val="en-US"/>
              </w:rPr>
            </w:pPr>
            <w:r w:rsidRPr="00581D8D">
              <w:rPr>
                <w:rFonts w:ascii="Arial" w:hAnsi="Arial" w:cs="Arial"/>
                <w:lang w:val="en-US"/>
              </w:rPr>
              <w:t>216,756</w:t>
            </w:r>
          </w:p>
        </w:tc>
      </w:tr>
      <w:tr w:rsidR="00991A5C" w:rsidRPr="00581D8D" w14:paraId="03857950" w14:textId="77777777" w:rsidTr="000F7EDD">
        <w:tc>
          <w:tcPr>
            <w:tcW w:w="2254" w:type="dxa"/>
          </w:tcPr>
          <w:p w14:paraId="2B5EA3E0" w14:textId="29D43F59" w:rsidR="00991A5C" w:rsidRPr="00581D8D" w:rsidRDefault="006B7898" w:rsidP="00991A5C">
            <w:pPr>
              <w:pStyle w:val="NoSpacing"/>
              <w:rPr>
                <w:rFonts w:ascii="Arial" w:hAnsi="Arial" w:cs="Arial"/>
                <w:lang w:val="en-US"/>
              </w:rPr>
            </w:pPr>
            <w:r w:rsidRPr="00581D8D">
              <w:rPr>
                <w:rFonts w:ascii="Arial" w:hAnsi="Arial" w:cs="Arial"/>
                <w:lang w:val="en-US"/>
              </w:rPr>
              <w:t>4W</w:t>
            </w:r>
            <w:r w:rsidR="00991A5C" w:rsidRPr="00581D8D">
              <w:rPr>
                <w:rFonts w:ascii="Arial" w:hAnsi="Arial" w:cs="Arial"/>
                <w:lang w:val="en-US"/>
              </w:rPr>
              <w:t xml:space="preserve"> – PHEV</w:t>
            </w:r>
          </w:p>
        </w:tc>
        <w:tc>
          <w:tcPr>
            <w:tcW w:w="2254" w:type="dxa"/>
          </w:tcPr>
          <w:p w14:paraId="68C182AB" w14:textId="6E64C6D9" w:rsidR="00991A5C" w:rsidRPr="00581D8D" w:rsidRDefault="00FA3682" w:rsidP="006D188E">
            <w:pPr>
              <w:pStyle w:val="NoSpacing"/>
              <w:jc w:val="center"/>
              <w:rPr>
                <w:rFonts w:ascii="Arial" w:hAnsi="Arial" w:cs="Arial"/>
                <w:lang w:val="en-US"/>
              </w:rPr>
            </w:pPr>
            <w:r w:rsidRPr="00581D8D">
              <w:rPr>
                <w:rFonts w:ascii="Arial" w:hAnsi="Arial" w:cs="Arial"/>
                <w:lang w:val="en-US"/>
              </w:rPr>
              <w:t>155,346</w:t>
            </w:r>
          </w:p>
        </w:tc>
        <w:tc>
          <w:tcPr>
            <w:tcW w:w="2254" w:type="dxa"/>
          </w:tcPr>
          <w:p w14:paraId="62BEC019" w14:textId="01E96E56" w:rsidR="00991A5C" w:rsidRPr="00581D8D" w:rsidRDefault="00765A0B" w:rsidP="006D188E">
            <w:pPr>
              <w:pStyle w:val="NoSpacing"/>
              <w:jc w:val="center"/>
              <w:rPr>
                <w:rFonts w:ascii="Arial" w:hAnsi="Arial" w:cs="Arial"/>
                <w:lang w:val="en-US"/>
              </w:rPr>
            </w:pPr>
            <w:r w:rsidRPr="00581D8D">
              <w:rPr>
                <w:rFonts w:ascii="Arial" w:hAnsi="Arial" w:cs="Arial"/>
                <w:lang w:val="en-US"/>
              </w:rPr>
              <w:t>181,6</w:t>
            </w:r>
            <w:r w:rsidR="00AB5BE1" w:rsidRPr="00581D8D">
              <w:rPr>
                <w:rFonts w:ascii="Arial" w:hAnsi="Arial" w:cs="Arial"/>
                <w:lang w:val="en-US"/>
              </w:rPr>
              <w:t>91</w:t>
            </w:r>
          </w:p>
        </w:tc>
        <w:tc>
          <w:tcPr>
            <w:tcW w:w="2254" w:type="dxa"/>
          </w:tcPr>
          <w:p w14:paraId="4ADC6117" w14:textId="0A09D6A6" w:rsidR="00991A5C" w:rsidRPr="00581D8D" w:rsidRDefault="005859F5" w:rsidP="006D188E">
            <w:pPr>
              <w:pStyle w:val="NoSpacing"/>
              <w:jc w:val="center"/>
              <w:rPr>
                <w:rFonts w:ascii="Arial" w:hAnsi="Arial" w:cs="Arial"/>
                <w:lang w:val="en-US"/>
              </w:rPr>
            </w:pPr>
            <w:r w:rsidRPr="00581D8D">
              <w:rPr>
                <w:rFonts w:ascii="Arial" w:hAnsi="Arial" w:cs="Arial"/>
                <w:lang w:val="en-US"/>
              </w:rPr>
              <w:t>216,756</w:t>
            </w:r>
          </w:p>
        </w:tc>
      </w:tr>
      <w:tr w:rsidR="00991A5C" w:rsidRPr="00581D8D" w14:paraId="2E094834" w14:textId="77777777" w:rsidTr="000F7EDD">
        <w:tc>
          <w:tcPr>
            <w:tcW w:w="2254" w:type="dxa"/>
          </w:tcPr>
          <w:p w14:paraId="328BB041" w14:textId="1C1E725F" w:rsidR="00991A5C" w:rsidRPr="00581D8D" w:rsidRDefault="006B7898" w:rsidP="00991A5C">
            <w:pPr>
              <w:pStyle w:val="NoSpacing"/>
              <w:rPr>
                <w:rFonts w:ascii="Arial" w:hAnsi="Arial" w:cs="Arial"/>
                <w:lang w:val="en-US"/>
              </w:rPr>
            </w:pPr>
            <w:r w:rsidRPr="00581D8D">
              <w:rPr>
                <w:rFonts w:ascii="Arial" w:hAnsi="Arial" w:cs="Arial"/>
                <w:lang w:val="en-US"/>
              </w:rPr>
              <w:t>4W</w:t>
            </w:r>
            <w:r w:rsidR="00991A5C" w:rsidRPr="00581D8D">
              <w:rPr>
                <w:rFonts w:ascii="Arial" w:hAnsi="Arial" w:cs="Arial"/>
                <w:lang w:val="en-US"/>
              </w:rPr>
              <w:t xml:space="preserve"> – BEV</w:t>
            </w:r>
          </w:p>
        </w:tc>
        <w:tc>
          <w:tcPr>
            <w:tcW w:w="2254" w:type="dxa"/>
          </w:tcPr>
          <w:p w14:paraId="33F57E50" w14:textId="028E8437" w:rsidR="00991A5C" w:rsidRPr="00581D8D" w:rsidRDefault="002744B9" w:rsidP="006D188E">
            <w:pPr>
              <w:pStyle w:val="NoSpacing"/>
              <w:jc w:val="center"/>
              <w:rPr>
                <w:rFonts w:ascii="Arial" w:hAnsi="Arial" w:cs="Arial"/>
                <w:lang w:val="en-US"/>
              </w:rPr>
            </w:pPr>
            <w:r w:rsidRPr="00581D8D">
              <w:rPr>
                <w:rFonts w:ascii="Arial" w:hAnsi="Arial" w:cs="Arial"/>
                <w:lang w:val="en-US"/>
              </w:rPr>
              <w:t>155,346</w:t>
            </w:r>
          </w:p>
        </w:tc>
        <w:tc>
          <w:tcPr>
            <w:tcW w:w="2254" w:type="dxa"/>
          </w:tcPr>
          <w:p w14:paraId="6BFB8E96" w14:textId="31514707" w:rsidR="00991A5C" w:rsidRPr="00581D8D" w:rsidRDefault="00A01C4A" w:rsidP="006D188E">
            <w:pPr>
              <w:pStyle w:val="NoSpacing"/>
              <w:jc w:val="center"/>
              <w:rPr>
                <w:rFonts w:ascii="Arial" w:hAnsi="Arial" w:cs="Arial"/>
                <w:lang w:val="en-US"/>
              </w:rPr>
            </w:pPr>
            <w:r w:rsidRPr="00581D8D">
              <w:rPr>
                <w:rFonts w:ascii="Arial" w:hAnsi="Arial" w:cs="Arial"/>
                <w:lang w:val="en-US"/>
              </w:rPr>
              <w:t>742,997</w:t>
            </w:r>
          </w:p>
        </w:tc>
        <w:tc>
          <w:tcPr>
            <w:tcW w:w="2254" w:type="dxa"/>
          </w:tcPr>
          <w:p w14:paraId="2C9A144B" w14:textId="392CC387" w:rsidR="00991A5C" w:rsidRPr="00581D8D" w:rsidRDefault="000C238A" w:rsidP="006D188E">
            <w:pPr>
              <w:pStyle w:val="NoSpacing"/>
              <w:jc w:val="center"/>
              <w:rPr>
                <w:rFonts w:ascii="Arial" w:hAnsi="Arial" w:cs="Arial"/>
                <w:lang w:val="en-US"/>
              </w:rPr>
            </w:pPr>
            <w:r w:rsidRPr="00581D8D">
              <w:rPr>
                <w:rFonts w:ascii="Arial" w:hAnsi="Arial" w:cs="Arial"/>
                <w:lang w:val="en-US"/>
              </w:rPr>
              <w:t>1,300,517</w:t>
            </w:r>
          </w:p>
        </w:tc>
      </w:tr>
      <w:tr w:rsidR="00991A5C" w:rsidRPr="00581D8D" w14:paraId="153393F4" w14:textId="77777777" w:rsidTr="000F7EDD">
        <w:tc>
          <w:tcPr>
            <w:tcW w:w="2254" w:type="dxa"/>
          </w:tcPr>
          <w:p w14:paraId="3523CD41" w14:textId="77777777" w:rsidR="00991A5C" w:rsidRPr="00581D8D" w:rsidRDefault="00991A5C" w:rsidP="00991A5C">
            <w:pPr>
              <w:pStyle w:val="NoSpacing"/>
              <w:rPr>
                <w:rFonts w:ascii="Arial" w:hAnsi="Arial" w:cs="Arial"/>
                <w:lang w:val="en-US"/>
              </w:rPr>
            </w:pPr>
            <w:r w:rsidRPr="00581D8D">
              <w:rPr>
                <w:rFonts w:ascii="Arial" w:hAnsi="Arial" w:cs="Arial"/>
                <w:lang w:val="en-US"/>
              </w:rPr>
              <w:t>Tricycle – BEV</w:t>
            </w:r>
          </w:p>
        </w:tc>
        <w:tc>
          <w:tcPr>
            <w:tcW w:w="2254" w:type="dxa"/>
          </w:tcPr>
          <w:p w14:paraId="398612B3" w14:textId="1294DEDD" w:rsidR="00991A5C" w:rsidRPr="00581D8D" w:rsidRDefault="002744B9" w:rsidP="006D188E">
            <w:pPr>
              <w:pStyle w:val="NoSpacing"/>
              <w:jc w:val="center"/>
              <w:rPr>
                <w:rFonts w:ascii="Arial" w:hAnsi="Arial" w:cs="Arial"/>
                <w:lang w:val="en-US"/>
              </w:rPr>
            </w:pPr>
            <w:r w:rsidRPr="00581D8D">
              <w:rPr>
                <w:rFonts w:ascii="Arial" w:hAnsi="Arial" w:cs="Arial"/>
                <w:lang w:val="en-US"/>
              </w:rPr>
              <w:t>706,280</w:t>
            </w:r>
          </w:p>
        </w:tc>
        <w:tc>
          <w:tcPr>
            <w:tcW w:w="2254" w:type="dxa"/>
          </w:tcPr>
          <w:p w14:paraId="67883FEE" w14:textId="255A806D" w:rsidR="00991A5C" w:rsidRPr="00581D8D" w:rsidRDefault="005C65B9" w:rsidP="006D188E">
            <w:pPr>
              <w:pStyle w:val="NoSpacing"/>
              <w:jc w:val="center"/>
              <w:rPr>
                <w:rFonts w:ascii="Arial" w:hAnsi="Arial" w:cs="Arial"/>
                <w:lang w:val="en-US"/>
              </w:rPr>
            </w:pPr>
            <w:r w:rsidRPr="00581D8D">
              <w:rPr>
                <w:rFonts w:ascii="Arial" w:hAnsi="Arial" w:cs="Arial"/>
                <w:lang w:val="en-US"/>
              </w:rPr>
              <w:t>562,448</w:t>
            </w:r>
          </w:p>
        </w:tc>
        <w:tc>
          <w:tcPr>
            <w:tcW w:w="2254" w:type="dxa"/>
          </w:tcPr>
          <w:p w14:paraId="710984AB" w14:textId="0CACDE49" w:rsidR="00991A5C" w:rsidRPr="00581D8D" w:rsidRDefault="00C955EF" w:rsidP="006D188E">
            <w:pPr>
              <w:pStyle w:val="NoSpacing"/>
              <w:jc w:val="center"/>
              <w:rPr>
                <w:rFonts w:ascii="Arial" w:hAnsi="Arial" w:cs="Arial"/>
                <w:lang w:val="en-US"/>
              </w:rPr>
            </w:pPr>
            <w:r w:rsidRPr="00581D8D">
              <w:rPr>
                <w:rFonts w:ascii="Arial" w:hAnsi="Arial" w:cs="Arial"/>
                <w:lang w:val="en-US"/>
              </w:rPr>
              <w:t>501,456</w:t>
            </w:r>
          </w:p>
        </w:tc>
      </w:tr>
      <w:tr w:rsidR="00991A5C" w:rsidRPr="00581D8D" w14:paraId="42426DFB" w14:textId="77777777" w:rsidTr="000F7EDD">
        <w:tc>
          <w:tcPr>
            <w:tcW w:w="2254" w:type="dxa"/>
          </w:tcPr>
          <w:p w14:paraId="76BFA69E" w14:textId="77777777" w:rsidR="00991A5C" w:rsidRPr="00581D8D" w:rsidRDefault="00991A5C" w:rsidP="00991A5C">
            <w:pPr>
              <w:pStyle w:val="NoSpacing"/>
              <w:rPr>
                <w:rFonts w:ascii="Arial" w:hAnsi="Arial" w:cs="Arial"/>
                <w:lang w:val="en-US"/>
              </w:rPr>
            </w:pPr>
            <w:r w:rsidRPr="00581D8D">
              <w:rPr>
                <w:rFonts w:ascii="Arial" w:hAnsi="Arial" w:cs="Arial"/>
                <w:lang w:val="en-US"/>
              </w:rPr>
              <w:t>Motorcycle – BEV</w:t>
            </w:r>
          </w:p>
        </w:tc>
        <w:tc>
          <w:tcPr>
            <w:tcW w:w="2254" w:type="dxa"/>
          </w:tcPr>
          <w:p w14:paraId="3167F755" w14:textId="49BDCC8B" w:rsidR="00991A5C" w:rsidRPr="00581D8D" w:rsidRDefault="00146E21" w:rsidP="006D188E">
            <w:pPr>
              <w:pStyle w:val="NoSpacing"/>
              <w:jc w:val="center"/>
              <w:rPr>
                <w:rFonts w:ascii="Arial" w:hAnsi="Arial" w:cs="Arial"/>
                <w:lang w:val="en-US"/>
              </w:rPr>
            </w:pPr>
            <w:r w:rsidRPr="00581D8D">
              <w:rPr>
                <w:rFonts w:ascii="Arial" w:hAnsi="Arial" w:cs="Arial"/>
                <w:lang w:val="en-US"/>
              </w:rPr>
              <w:t>2,641,224</w:t>
            </w:r>
          </w:p>
        </w:tc>
        <w:tc>
          <w:tcPr>
            <w:tcW w:w="2254" w:type="dxa"/>
          </w:tcPr>
          <w:p w14:paraId="7C883C23" w14:textId="7B3850D9" w:rsidR="00991A5C" w:rsidRPr="00581D8D" w:rsidRDefault="000431FF" w:rsidP="006D188E">
            <w:pPr>
              <w:pStyle w:val="NoSpacing"/>
              <w:jc w:val="center"/>
              <w:rPr>
                <w:rFonts w:ascii="Arial" w:hAnsi="Arial" w:cs="Arial"/>
                <w:lang w:val="en-US"/>
              </w:rPr>
            </w:pPr>
            <w:r w:rsidRPr="00581D8D">
              <w:rPr>
                <w:rFonts w:ascii="Arial" w:hAnsi="Arial" w:cs="Arial"/>
                <w:lang w:val="en-US"/>
              </w:rPr>
              <w:t>2,195,347</w:t>
            </w:r>
          </w:p>
        </w:tc>
        <w:tc>
          <w:tcPr>
            <w:tcW w:w="2254" w:type="dxa"/>
          </w:tcPr>
          <w:p w14:paraId="1177F6C4" w14:textId="110193BB" w:rsidR="00991A5C" w:rsidRPr="00581D8D" w:rsidRDefault="00281339" w:rsidP="006D188E">
            <w:pPr>
              <w:pStyle w:val="NoSpacing"/>
              <w:jc w:val="center"/>
              <w:rPr>
                <w:rFonts w:ascii="Arial" w:hAnsi="Arial" w:cs="Arial"/>
                <w:lang w:val="en-US"/>
              </w:rPr>
            </w:pPr>
            <w:r w:rsidRPr="00581D8D">
              <w:rPr>
                <w:rFonts w:ascii="Arial" w:hAnsi="Arial" w:cs="Arial"/>
                <w:lang w:val="en-US"/>
              </w:rPr>
              <w:t>2,172,297</w:t>
            </w:r>
          </w:p>
        </w:tc>
      </w:tr>
      <w:tr w:rsidR="00991A5C" w:rsidRPr="00581D8D" w14:paraId="1580A576" w14:textId="77777777" w:rsidTr="000F7EDD">
        <w:tc>
          <w:tcPr>
            <w:tcW w:w="2254" w:type="dxa"/>
          </w:tcPr>
          <w:p w14:paraId="0982198B" w14:textId="77777777" w:rsidR="00991A5C" w:rsidRPr="00581D8D" w:rsidRDefault="00991A5C" w:rsidP="00991A5C">
            <w:pPr>
              <w:pStyle w:val="NoSpacing"/>
              <w:rPr>
                <w:rFonts w:ascii="Arial" w:hAnsi="Arial" w:cs="Arial"/>
                <w:lang w:val="en-US"/>
              </w:rPr>
            </w:pPr>
            <w:r w:rsidRPr="00581D8D">
              <w:rPr>
                <w:rFonts w:ascii="Arial" w:hAnsi="Arial" w:cs="Arial"/>
                <w:lang w:val="en-US"/>
              </w:rPr>
              <w:t>Bus – BEV</w:t>
            </w:r>
          </w:p>
        </w:tc>
        <w:tc>
          <w:tcPr>
            <w:tcW w:w="2254" w:type="dxa"/>
          </w:tcPr>
          <w:p w14:paraId="5F1A976D" w14:textId="1BABAE73" w:rsidR="00991A5C" w:rsidRPr="00581D8D" w:rsidRDefault="00146E21" w:rsidP="006D188E">
            <w:pPr>
              <w:pStyle w:val="NoSpacing"/>
              <w:jc w:val="center"/>
              <w:rPr>
                <w:rFonts w:ascii="Arial" w:hAnsi="Arial" w:cs="Arial"/>
                <w:lang w:val="en-US"/>
              </w:rPr>
            </w:pPr>
            <w:r w:rsidRPr="00581D8D">
              <w:rPr>
                <w:rFonts w:ascii="Arial" w:hAnsi="Arial" w:cs="Arial"/>
                <w:lang w:val="en-US"/>
              </w:rPr>
              <w:t>5,700</w:t>
            </w:r>
          </w:p>
        </w:tc>
        <w:tc>
          <w:tcPr>
            <w:tcW w:w="2254" w:type="dxa"/>
          </w:tcPr>
          <w:p w14:paraId="1A3017B4" w14:textId="2252D396" w:rsidR="00991A5C" w:rsidRPr="00581D8D" w:rsidRDefault="000431FF" w:rsidP="006D188E">
            <w:pPr>
              <w:pStyle w:val="NoSpacing"/>
              <w:jc w:val="center"/>
              <w:rPr>
                <w:rFonts w:ascii="Arial" w:hAnsi="Arial" w:cs="Arial"/>
                <w:lang w:val="en-US"/>
              </w:rPr>
            </w:pPr>
            <w:r w:rsidRPr="00581D8D">
              <w:rPr>
                <w:rFonts w:ascii="Arial" w:hAnsi="Arial" w:cs="Arial"/>
                <w:lang w:val="en-US"/>
              </w:rPr>
              <w:t>4,037</w:t>
            </w:r>
          </w:p>
        </w:tc>
        <w:tc>
          <w:tcPr>
            <w:tcW w:w="2254" w:type="dxa"/>
          </w:tcPr>
          <w:p w14:paraId="420A0578" w14:textId="3EA70C48" w:rsidR="00991A5C" w:rsidRPr="00581D8D" w:rsidRDefault="00281339" w:rsidP="006D188E">
            <w:pPr>
              <w:pStyle w:val="NoSpacing"/>
              <w:jc w:val="center"/>
              <w:rPr>
                <w:rFonts w:ascii="Arial" w:hAnsi="Arial" w:cs="Arial"/>
                <w:lang w:val="en-US"/>
              </w:rPr>
            </w:pPr>
            <w:r w:rsidRPr="00581D8D">
              <w:rPr>
                <w:rFonts w:ascii="Arial" w:hAnsi="Arial" w:cs="Arial"/>
                <w:lang w:val="en-US"/>
              </w:rPr>
              <w:t>3,462</w:t>
            </w:r>
          </w:p>
        </w:tc>
      </w:tr>
      <w:tr w:rsidR="00991A5C" w:rsidRPr="00581D8D" w14:paraId="60F307ED" w14:textId="77777777" w:rsidTr="000F7EDD">
        <w:tc>
          <w:tcPr>
            <w:tcW w:w="2254" w:type="dxa"/>
          </w:tcPr>
          <w:p w14:paraId="035863AE" w14:textId="77777777" w:rsidR="00991A5C" w:rsidRPr="00581D8D" w:rsidRDefault="00991A5C" w:rsidP="00991A5C">
            <w:pPr>
              <w:pStyle w:val="NoSpacing"/>
              <w:rPr>
                <w:rFonts w:ascii="Arial" w:hAnsi="Arial" w:cs="Arial"/>
                <w:b/>
                <w:bCs/>
                <w:lang w:val="en-US"/>
              </w:rPr>
            </w:pPr>
            <w:r w:rsidRPr="00581D8D">
              <w:rPr>
                <w:rFonts w:ascii="Arial" w:hAnsi="Arial" w:cs="Arial"/>
                <w:b/>
                <w:bCs/>
                <w:lang w:val="en-US"/>
              </w:rPr>
              <w:t>EV Charging Stations</w:t>
            </w:r>
          </w:p>
        </w:tc>
        <w:tc>
          <w:tcPr>
            <w:tcW w:w="2254" w:type="dxa"/>
          </w:tcPr>
          <w:p w14:paraId="70F4CC72" w14:textId="1D803E67" w:rsidR="00991A5C" w:rsidRPr="00581D8D" w:rsidRDefault="00A132E9" w:rsidP="006D188E">
            <w:pPr>
              <w:pStyle w:val="NoSpacing"/>
              <w:jc w:val="center"/>
              <w:rPr>
                <w:rFonts w:ascii="Arial" w:hAnsi="Arial" w:cs="Arial"/>
                <w:b/>
                <w:bCs/>
                <w:lang w:val="en-US"/>
              </w:rPr>
            </w:pPr>
            <w:r w:rsidRPr="00581D8D">
              <w:rPr>
                <w:rFonts w:ascii="Arial" w:hAnsi="Arial" w:cs="Arial"/>
                <w:b/>
                <w:bCs/>
                <w:lang w:val="en-US"/>
              </w:rPr>
              <w:t>66</w:t>
            </w:r>
            <w:r w:rsidR="00991A5C" w:rsidRPr="00581D8D">
              <w:rPr>
                <w:rFonts w:ascii="Arial" w:hAnsi="Arial" w:cs="Arial"/>
                <w:b/>
                <w:bCs/>
                <w:lang w:val="en-US"/>
              </w:rPr>
              <w:t>,</w:t>
            </w:r>
            <w:r w:rsidRPr="00581D8D">
              <w:rPr>
                <w:rFonts w:ascii="Arial" w:hAnsi="Arial" w:cs="Arial"/>
                <w:b/>
                <w:bCs/>
                <w:lang w:val="en-US"/>
              </w:rPr>
              <w:t>500</w:t>
            </w:r>
          </w:p>
        </w:tc>
        <w:tc>
          <w:tcPr>
            <w:tcW w:w="2254" w:type="dxa"/>
          </w:tcPr>
          <w:p w14:paraId="7A542121" w14:textId="6D7C8DBF" w:rsidR="00991A5C" w:rsidRPr="00581D8D" w:rsidRDefault="00A132E9" w:rsidP="006D188E">
            <w:pPr>
              <w:pStyle w:val="NoSpacing"/>
              <w:jc w:val="center"/>
              <w:rPr>
                <w:rFonts w:ascii="Arial" w:hAnsi="Arial" w:cs="Arial"/>
                <w:b/>
                <w:bCs/>
                <w:lang w:val="en-US"/>
              </w:rPr>
            </w:pPr>
            <w:r w:rsidRPr="00581D8D">
              <w:rPr>
                <w:rFonts w:ascii="Arial" w:hAnsi="Arial" w:cs="Arial"/>
                <w:b/>
                <w:bCs/>
                <w:lang w:val="en-US"/>
              </w:rPr>
              <w:t>41</w:t>
            </w:r>
            <w:r w:rsidR="00991A5C" w:rsidRPr="00581D8D">
              <w:rPr>
                <w:rFonts w:ascii="Arial" w:hAnsi="Arial" w:cs="Arial"/>
                <w:b/>
                <w:bCs/>
                <w:lang w:val="en-US"/>
              </w:rPr>
              <w:t>,</w:t>
            </w:r>
            <w:r w:rsidRPr="00581D8D">
              <w:rPr>
                <w:rFonts w:ascii="Arial" w:hAnsi="Arial" w:cs="Arial"/>
                <w:b/>
                <w:bCs/>
                <w:lang w:val="en-US"/>
              </w:rPr>
              <w:t>800</w:t>
            </w:r>
          </w:p>
        </w:tc>
        <w:tc>
          <w:tcPr>
            <w:tcW w:w="2254" w:type="dxa"/>
          </w:tcPr>
          <w:p w14:paraId="0887E89A" w14:textId="2D4DE1FE" w:rsidR="00991A5C" w:rsidRPr="00581D8D" w:rsidRDefault="00A132E9" w:rsidP="006D188E">
            <w:pPr>
              <w:pStyle w:val="NoSpacing"/>
              <w:jc w:val="center"/>
              <w:rPr>
                <w:rFonts w:ascii="Arial" w:hAnsi="Arial" w:cs="Arial"/>
                <w:b/>
                <w:bCs/>
                <w:lang w:val="en-US"/>
              </w:rPr>
            </w:pPr>
            <w:r w:rsidRPr="00581D8D">
              <w:rPr>
                <w:rFonts w:ascii="Arial" w:hAnsi="Arial" w:cs="Arial"/>
                <w:b/>
                <w:bCs/>
                <w:lang w:val="en-US"/>
              </w:rPr>
              <w:t>39</w:t>
            </w:r>
            <w:r w:rsidR="00991A5C" w:rsidRPr="00581D8D">
              <w:rPr>
                <w:rFonts w:ascii="Arial" w:hAnsi="Arial" w:cs="Arial"/>
                <w:b/>
                <w:bCs/>
                <w:lang w:val="en-US"/>
              </w:rPr>
              <w:t>,</w:t>
            </w:r>
            <w:r w:rsidRPr="00581D8D">
              <w:rPr>
                <w:rFonts w:ascii="Arial" w:hAnsi="Arial" w:cs="Arial"/>
                <w:b/>
                <w:bCs/>
                <w:lang w:val="en-US"/>
              </w:rPr>
              <w:t>8</w:t>
            </w:r>
            <w:r w:rsidR="00991A5C" w:rsidRPr="00581D8D">
              <w:rPr>
                <w:rFonts w:ascii="Arial" w:hAnsi="Arial" w:cs="Arial"/>
                <w:b/>
                <w:bCs/>
                <w:lang w:val="en-US"/>
              </w:rPr>
              <w:t>00</w:t>
            </w:r>
          </w:p>
        </w:tc>
      </w:tr>
    </w:tbl>
    <w:p w14:paraId="50CB7FF1" w14:textId="77777777" w:rsidR="00BA3418" w:rsidRPr="00581D8D" w:rsidRDefault="00BA3418" w:rsidP="005C338F">
      <w:pPr>
        <w:pStyle w:val="NoSpacing"/>
        <w:rPr>
          <w:rFonts w:ascii="Arial" w:hAnsi="Arial" w:cs="Arial"/>
        </w:rPr>
      </w:pPr>
    </w:p>
    <w:p w14:paraId="60E61185" w14:textId="2067B52F" w:rsidR="00F47C6E" w:rsidRPr="00581D8D" w:rsidRDefault="00CF1BDE" w:rsidP="00E76451">
      <w:pPr>
        <w:pStyle w:val="NoSpacing"/>
        <w:jc w:val="both"/>
        <w:rPr>
          <w:rFonts w:ascii="Arial" w:hAnsi="Arial" w:cs="Arial"/>
        </w:rPr>
      </w:pPr>
      <w:r w:rsidRPr="00581D8D">
        <w:rPr>
          <w:rFonts w:ascii="Arial" w:hAnsi="Arial" w:cs="Arial"/>
        </w:rPr>
        <w:t xml:space="preserve">In terms of Philippine Development Plan targets, the government has set a goal of increasing the capacity of the country’s airports, seaports, and train stations and improving their connectivity to other transport modes. The plan also aims to increase the share of public transport in the </w:t>
      </w:r>
      <w:r w:rsidR="00502605" w:rsidRPr="00581D8D">
        <w:rPr>
          <w:rFonts w:ascii="Arial" w:hAnsi="Arial" w:cs="Arial"/>
        </w:rPr>
        <w:t>country’s overall transport mix and to reduce the number of private vehicles on the roads.</w:t>
      </w:r>
    </w:p>
    <w:p w14:paraId="744224DD" w14:textId="77777777" w:rsidR="00D27FB3" w:rsidRPr="00581D8D" w:rsidRDefault="00D27FB3" w:rsidP="00E76451">
      <w:pPr>
        <w:pStyle w:val="NoSpacing"/>
        <w:jc w:val="both"/>
        <w:rPr>
          <w:rFonts w:ascii="Arial" w:hAnsi="Arial" w:cs="Arial"/>
        </w:rPr>
      </w:pPr>
    </w:p>
    <w:p w14:paraId="692B51AB" w14:textId="2297C33C" w:rsidR="00F8265A" w:rsidRPr="00581D8D" w:rsidRDefault="008421EF" w:rsidP="00CE0969">
      <w:pPr>
        <w:pStyle w:val="NoSpacing"/>
        <w:jc w:val="both"/>
        <w:rPr>
          <w:rFonts w:ascii="Arial" w:hAnsi="Arial" w:cs="Arial"/>
        </w:rPr>
      </w:pPr>
      <w:r w:rsidRPr="00581D8D">
        <w:rPr>
          <w:rFonts w:ascii="Arial" w:hAnsi="Arial" w:cs="Arial"/>
        </w:rPr>
        <w:t>Build-Better-More Program – The flagship projects cover investments in the areas of physical connectivity</w:t>
      </w:r>
      <w:r w:rsidR="00E76451" w:rsidRPr="00581D8D">
        <w:rPr>
          <w:rFonts w:ascii="Arial" w:hAnsi="Arial" w:cs="Arial"/>
        </w:rPr>
        <w:t>, water resources, agriculture, health, digital connectivity, and energy. Physical connectivity infrastructure – such as roads, bridges, seaports, airports, and mass transport – accounts for 83% of this program.</w:t>
      </w:r>
    </w:p>
    <w:p w14:paraId="0DD5A489" w14:textId="77777777" w:rsidR="00F55756" w:rsidRPr="00581D8D" w:rsidRDefault="00F55756" w:rsidP="00155EFD">
      <w:pPr>
        <w:pStyle w:val="NoSpacing"/>
        <w:jc w:val="both"/>
        <w:rPr>
          <w:rFonts w:ascii="Arial" w:hAnsi="Arial" w:cs="Arial"/>
          <w:b/>
          <w:bCs/>
        </w:rPr>
      </w:pPr>
    </w:p>
    <w:p w14:paraId="70A199D6" w14:textId="6464EA28" w:rsidR="00274691" w:rsidRPr="00581D8D" w:rsidRDefault="00274691" w:rsidP="00A47F46">
      <w:pPr>
        <w:pStyle w:val="NoSpacing"/>
        <w:numPr>
          <w:ilvl w:val="0"/>
          <w:numId w:val="6"/>
        </w:numPr>
        <w:jc w:val="both"/>
        <w:rPr>
          <w:rFonts w:ascii="Arial" w:hAnsi="Arial" w:cs="Arial"/>
          <w:b/>
          <w:bCs/>
        </w:rPr>
      </w:pPr>
      <w:r w:rsidRPr="00581D8D">
        <w:rPr>
          <w:rFonts w:ascii="Arial" w:hAnsi="Arial" w:cs="Arial"/>
          <w:b/>
          <w:bCs/>
        </w:rPr>
        <w:lastRenderedPageBreak/>
        <w:t>Ref</w:t>
      </w:r>
      <w:r w:rsidR="00A0042D" w:rsidRPr="00581D8D">
        <w:rPr>
          <w:rFonts w:ascii="Arial" w:hAnsi="Arial" w:cs="Arial"/>
          <w:b/>
          <w:bCs/>
        </w:rPr>
        <w:t>ining</w:t>
      </w:r>
    </w:p>
    <w:p w14:paraId="2B5F6DE1" w14:textId="77777777" w:rsidR="00A0042D" w:rsidRPr="00581D8D" w:rsidRDefault="00A0042D" w:rsidP="00A0042D">
      <w:pPr>
        <w:pStyle w:val="NoSpacing"/>
        <w:ind w:left="360"/>
        <w:jc w:val="both"/>
        <w:rPr>
          <w:rFonts w:ascii="Arial" w:hAnsi="Arial" w:cs="Arial"/>
          <w:b/>
          <w:bCs/>
        </w:rPr>
      </w:pPr>
    </w:p>
    <w:p w14:paraId="34619655" w14:textId="12E1CDA9" w:rsidR="00A0042D" w:rsidRPr="00581D8D" w:rsidRDefault="003F1DED" w:rsidP="00A0042D">
      <w:pPr>
        <w:pStyle w:val="NoSpacing"/>
        <w:jc w:val="both"/>
        <w:rPr>
          <w:rFonts w:ascii="Arial" w:hAnsi="Arial" w:cs="Arial"/>
          <w:b/>
          <w:bCs/>
        </w:rPr>
      </w:pPr>
      <w:r w:rsidRPr="00581D8D">
        <w:rPr>
          <w:rFonts w:ascii="Arial" w:hAnsi="Arial" w:cs="Arial"/>
          <w:b/>
          <w:bCs/>
        </w:rPr>
        <w:t>Notes</w:t>
      </w:r>
    </w:p>
    <w:p w14:paraId="6E409C0D" w14:textId="23D1CFDE" w:rsidR="00A0042D" w:rsidRPr="00581D8D" w:rsidRDefault="00A0042D" w:rsidP="00A0042D">
      <w:pPr>
        <w:pStyle w:val="NoSpacing"/>
        <w:numPr>
          <w:ilvl w:val="0"/>
          <w:numId w:val="15"/>
        </w:numPr>
        <w:jc w:val="both"/>
        <w:rPr>
          <w:rFonts w:ascii="Arial" w:hAnsi="Arial" w:cs="Arial"/>
          <w:b/>
          <w:bCs/>
        </w:rPr>
      </w:pPr>
      <w:r w:rsidRPr="00581D8D">
        <w:rPr>
          <w:rFonts w:ascii="Arial" w:hAnsi="Arial" w:cs="Arial"/>
        </w:rPr>
        <w:t>There is</w:t>
      </w:r>
      <w:r w:rsidR="001E599B" w:rsidRPr="00581D8D">
        <w:rPr>
          <w:rFonts w:ascii="Arial" w:hAnsi="Arial" w:cs="Arial"/>
        </w:rPr>
        <w:t xml:space="preserve"> only</w:t>
      </w:r>
      <w:r w:rsidRPr="00581D8D">
        <w:rPr>
          <w:rFonts w:ascii="Arial" w:hAnsi="Arial" w:cs="Arial"/>
        </w:rPr>
        <w:t xml:space="preserve"> one (1) refinery in the Philippines (Petron Bataan) with </w:t>
      </w:r>
      <w:r w:rsidR="005F3C65" w:rsidRPr="00581D8D">
        <w:rPr>
          <w:rFonts w:ascii="Arial" w:hAnsi="Arial" w:cs="Arial"/>
        </w:rPr>
        <w:t>a capacity of 180,000 barrels per day.</w:t>
      </w:r>
    </w:p>
    <w:p w14:paraId="55A48D8F" w14:textId="77777777" w:rsidR="00A0042D" w:rsidRPr="00581D8D" w:rsidRDefault="00A0042D" w:rsidP="00A0042D">
      <w:pPr>
        <w:pStyle w:val="NoSpacing"/>
        <w:ind w:left="360"/>
        <w:jc w:val="both"/>
        <w:rPr>
          <w:rFonts w:ascii="Arial" w:hAnsi="Arial" w:cs="Arial"/>
          <w:b/>
          <w:bCs/>
        </w:rPr>
      </w:pPr>
    </w:p>
    <w:p w14:paraId="0A929201" w14:textId="77777777" w:rsidR="005C338F" w:rsidRPr="00581D8D" w:rsidRDefault="005C338F" w:rsidP="005C338F">
      <w:pPr>
        <w:pStyle w:val="NoSpacing"/>
        <w:rPr>
          <w:rFonts w:ascii="Arial" w:hAnsi="Arial" w:cs="Arial"/>
          <w:lang w:val="en-AU" w:eastAsia="ja-JP"/>
        </w:rPr>
      </w:pPr>
    </w:p>
    <w:p w14:paraId="14BFB183" w14:textId="70C85756" w:rsidR="00EC4987" w:rsidRPr="00581D8D" w:rsidRDefault="00BD1CEB" w:rsidP="000121DD">
      <w:pPr>
        <w:pStyle w:val="Heading2"/>
        <w:rPr>
          <w:rFonts w:ascii="Arial" w:hAnsi="Arial" w:cs="Arial"/>
          <w:b/>
          <w:bCs/>
        </w:rPr>
      </w:pPr>
      <w:r w:rsidRPr="00581D8D">
        <w:rPr>
          <w:rFonts w:ascii="Arial" w:hAnsi="Arial" w:cs="Arial"/>
          <w:b/>
          <w:bCs/>
        </w:rPr>
        <w:t>Scenario</w:t>
      </w:r>
      <w:r w:rsidR="00CA425F" w:rsidRPr="00581D8D">
        <w:rPr>
          <w:rFonts w:ascii="Arial" w:hAnsi="Arial" w:cs="Arial"/>
          <w:b/>
          <w:bCs/>
        </w:rPr>
        <w:t>s</w:t>
      </w:r>
      <w:r w:rsidRPr="00581D8D">
        <w:rPr>
          <w:rFonts w:ascii="Arial" w:hAnsi="Arial" w:cs="Arial"/>
          <w:b/>
          <w:bCs/>
        </w:rPr>
        <w:t xml:space="preserve"> Description</w:t>
      </w:r>
    </w:p>
    <w:p w14:paraId="0D425E05" w14:textId="25D2F499" w:rsidR="009B3EDB" w:rsidRPr="00581D8D" w:rsidRDefault="00F61B46" w:rsidP="00932293">
      <w:pPr>
        <w:pStyle w:val="Heading3"/>
        <w:rPr>
          <w:rFonts w:ascii="Arial" w:hAnsi="Arial" w:cs="Arial"/>
          <w:b/>
          <w:bCs/>
          <w:lang w:val="en-US"/>
        </w:rPr>
      </w:pPr>
      <w:r w:rsidRPr="00581D8D">
        <w:rPr>
          <w:rFonts w:ascii="Arial" w:hAnsi="Arial" w:cs="Arial"/>
          <w:b/>
          <w:bCs/>
          <w:lang w:val="en-US"/>
        </w:rPr>
        <w:t>The Reference scenario</w:t>
      </w:r>
    </w:p>
    <w:p w14:paraId="76E0DF4E" w14:textId="77777777" w:rsidR="00991A5C" w:rsidRPr="00581D8D" w:rsidRDefault="00991A5C" w:rsidP="00991A5C">
      <w:pPr>
        <w:pStyle w:val="NoSpacing"/>
        <w:jc w:val="both"/>
        <w:rPr>
          <w:rFonts w:ascii="Arial" w:hAnsi="Arial" w:cs="Arial"/>
          <w:lang w:val="en-US"/>
        </w:rPr>
      </w:pPr>
    </w:p>
    <w:p w14:paraId="1F237D2B" w14:textId="19F893FC" w:rsidR="008E4470" w:rsidRPr="00581D8D" w:rsidRDefault="009B3EDB" w:rsidP="00991A5C">
      <w:pPr>
        <w:pStyle w:val="NoSpacing"/>
        <w:jc w:val="both"/>
        <w:rPr>
          <w:rFonts w:ascii="Arial" w:hAnsi="Arial" w:cs="Arial"/>
          <w:lang w:val="en-US"/>
        </w:rPr>
      </w:pPr>
      <w:r w:rsidRPr="00581D8D">
        <w:rPr>
          <w:rFonts w:ascii="Arial" w:hAnsi="Arial" w:cs="Arial"/>
          <w:lang w:val="en-US"/>
        </w:rPr>
        <w:t>REF is</w:t>
      </w:r>
      <w:r w:rsidR="00B92C83" w:rsidRPr="00581D8D">
        <w:rPr>
          <w:rFonts w:ascii="Arial" w:hAnsi="Arial" w:cs="Arial"/>
          <w:lang w:val="en-US"/>
        </w:rPr>
        <w:t xml:space="preserve"> to be aligned with the </w:t>
      </w:r>
      <w:r w:rsidR="000414A5">
        <w:rPr>
          <w:rFonts w:ascii="Arial" w:hAnsi="Arial" w:cs="Arial"/>
          <w:lang w:val="en-US"/>
        </w:rPr>
        <w:t>Reference</w:t>
      </w:r>
      <w:r w:rsidR="00B92C83" w:rsidRPr="00581D8D">
        <w:rPr>
          <w:rFonts w:ascii="Arial" w:hAnsi="Arial" w:cs="Arial"/>
          <w:lang w:val="en-US"/>
        </w:rPr>
        <w:t xml:space="preserve"> Scenario of the Philippines Energy Plan.</w:t>
      </w:r>
    </w:p>
    <w:p w14:paraId="6D9808C2" w14:textId="77777777" w:rsidR="00991A5C" w:rsidRPr="00581D8D" w:rsidRDefault="00991A5C" w:rsidP="00991A5C">
      <w:pPr>
        <w:pStyle w:val="NoSpacing"/>
        <w:jc w:val="both"/>
        <w:rPr>
          <w:rFonts w:ascii="Arial" w:hAnsi="Arial" w:cs="Arial"/>
          <w:lang w:val="en-US"/>
        </w:rPr>
      </w:pPr>
    </w:p>
    <w:p w14:paraId="4B026746" w14:textId="55E21F6C" w:rsidR="009A3E12" w:rsidRPr="00581D8D" w:rsidRDefault="00B92C83" w:rsidP="00991A5C">
      <w:pPr>
        <w:pStyle w:val="NoSpacing"/>
        <w:jc w:val="both"/>
        <w:rPr>
          <w:rFonts w:ascii="Arial" w:hAnsi="Arial" w:cs="Arial"/>
          <w:lang w:val="en-US"/>
        </w:rPr>
      </w:pPr>
      <w:r w:rsidRPr="00581D8D">
        <w:rPr>
          <w:rFonts w:ascii="Arial" w:hAnsi="Arial" w:cs="Arial"/>
          <w:lang w:val="en-US"/>
        </w:rPr>
        <w:t>On the supply side,</w:t>
      </w:r>
      <w:r w:rsidR="006D26F9" w:rsidRPr="00581D8D">
        <w:rPr>
          <w:rFonts w:ascii="Arial" w:hAnsi="Arial" w:cs="Arial"/>
          <w:lang w:val="en-US"/>
        </w:rPr>
        <w:t xml:space="preserve"> gas is mainly sourced via LNG imports. </w:t>
      </w:r>
      <w:r w:rsidR="00BA1046" w:rsidRPr="00581D8D">
        <w:rPr>
          <w:rFonts w:ascii="Arial" w:hAnsi="Arial" w:cs="Arial"/>
          <w:lang w:val="en-US"/>
        </w:rPr>
        <w:t xml:space="preserve">Domestic gas </w:t>
      </w:r>
      <w:r w:rsidR="00F0581E">
        <w:rPr>
          <w:rFonts w:ascii="Arial" w:hAnsi="Arial" w:cs="Arial"/>
          <w:lang w:val="en-US"/>
        </w:rPr>
        <w:t>will</w:t>
      </w:r>
      <w:r w:rsidR="008E5519" w:rsidRPr="00581D8D">
        <w:rPr>
          <w:rFonts w:ascii="Arial" w:hAnsi="Arial" w:cs="Arial"/>
          <w:lang w:val="en-US"/>
        </w:rPr>
        <w:t xml:space="preserve"> no </w:t>
      </w:r>
      <w:r w:rsidR="00DC2A46" w:rsidRPr="00581D8D">
        <w:rPr>
          <w:rFonts w:ascii="Arial" w:hAnsi="Arial" w:cs="Arial"/>
          <w:lang w:val="en-US"/>
        </w:rPr>
        <w:t>longer</w:t>
      </w:r>
      <w:r w:rsidR="008E5519" w:rsidRPr="00581D8D">
        <w:rPr>
          <w:rFonts w:ascii="Arial" w:hAnsi="Arial" w:cs="Arial"/>
          <w:lang w:val="en-US"/>
        </w:rPr>
        <w:t xml:space="preserve"> </w:t>
      </w:r>
      <w:r w:rsidR="00F0581E">
        <w:rPr>
          <w:rFonts w:ascii="Arial" w:hAnsi="Arial" w:cs="Arial"/>
          <w:lang w:val="en-US"/>
        </w:rPr>
        <w:t xml:space="preserve">be </w:t>
      </w:r>
      <w:r w:rsidR="008E5519" w:rsidRPr="00581D8D">
        <w:rPr>
          <w:rFonts w:ascii="Arial" w:hAnsi="Arial" w:cs="Arial"/>
          <w:lang w:val="en-US"/>
        </w:rPr>
        <w:t xml:space="preserve">available from </w:t>
      </w:r>
      <w:r w:rsidR="00F0581E">
        <w:rPr>
          <w:rFonts w:ascii="Arial" w:hAnsi="Arial" w:cs="Arial"/>
          <w:lang w:val="en-US"/>
        </w:rPr>
        <w:t xml:space="preserve">the </w:t>
      </w:r>
      <w:r w:rsidR="008E5519" w:rsidRPr="00581D8D">
        <w:rPr>
          <w:rFonts w:ascii="Arial" w:hAnsi="Arial" w:cs="Arial"/>
          <w:lang w:val="en-US"/>
        </w:rPr>
        <w:t>Malampaya field from 2027 onwards</w:t>
      </w:r>
      <w:r w:rsidR="007B0B12" w:rsidRPr="00581D8D">
        <w:rPr>
          <w:rFonts w:ascii="Arial" w:hAnsi="Arial" w:cs="Arial"/>
          <w:lang w:val="en-US"/>
        </w:rPr>
        <w:t xml:space="preserve"> due to </w:t>
      </w:r>
      <w:r w:rsidR="00DC2A46" w:rsidRPr="00581D8D">
        <w:rPr>
          <w:rFonts w:ascii="Arial" w:hAnsi="Arial" w:cs="Arial"/>
          <w:lang w:val="en-US"/>
        </w:rPr>
        <w:t>depleted reserves</w:t>
      </w:r>
      <w:r w:rsidR="008E5519" w:rsidRPr="00581D8D">
        <w:rPr>
          <w:rFonts w:ascii="Arial" w:hAnsi="Arial" w:cs="Arial"/>
          <w:lang w:val="en-US"/>
        </w:rPr>
        <w:t>. However</w:t>
      </w:r>
      <w:r w:rsidR="00DC2A46" w:rsidRPr="00581D8D">
        <w:rPr>
          <w:rFonts w:ascii="Arial" w:hAnsi="Arial" w:cs="Arial"/>
          <w:lang w:val="en-US"/>
        </w:rPr>
        <w:t xml:space="preserve"> continuous</w:t>
      </w:r>
      <w:r w:rsidR="008E5519" w:rsidRPr="00581D8D">
        <w:rPr>
          <w:rFonts w:ascii="Arial" w:hAnsi="Arial" w:cs="Arial"/>
          <w:lang w:val="en-US"/>
        </w:rPr>
        <w:t xml:space="preserve"> geopolitical uncertainties may see</w:t>
      </w:r>
      <w:r w:rsidR="00B93999" w:rsidRPr="00581D8D">
        <w:rPr>
          <w:rFonts w:ascii="Arial" w:hAnsi="Arial" w:cs="Arial"/>
          <w:lang w:val="en-US"/>
        </w:rPr>
        <w:t xml:space="preserve"> </w:t>
      </w:r>
      <w:r w:rsidR="00F0581E">
        <w:rPr>
          <w:rFonts w:ascii="Arial" w:hAnsi="Arial" w:cs="Arial"/>
          <w:lang w:val="en-US"/>
        </w:rPr>
        <w:t xml:space="preserve">a </w:t>
      </w:r>
      <w:r w:rsidR="00257795" w:rsidRPr="00581D8D">
        <w:rPr>
          <w:rFonts w:ascii="Arial" w:hAnsi="Arial" w:cs="Arial"/>
          <w:lang w:val="en-US"/>
        </w:rPr>
        <w:t xml:space="preserve">limited volume of LNG </w:t>
      </w:r>
      <w:r w:rsidR="00422376" w:rsidRPr="00581D8D">
        <w:rPr>
          <w:rFonts w:ascii="Arial" w:hAnsi="Arial" w:cs="Arial"/>
          <w:lang w:val="en-US"/>
        </w:rPr>
        <w:t>on board the Philippines</w:t>
      </w:r>
      <w:r w:rsidR="00DC2A46" w:rsidRPr="00581D8D">
        <w:rPr>
          <w:rFonts w:ascii="Arial" w:hAnsi="Arial" w:cs="Arial"/>
          <w:lang w:val="en-US"/>
        </w:rPr>
        <w:t xml:space="preserve"> (and not maximizing its import capacity)</w:t>
      </w:r>
      <w:r w:rsidR="00B93999" w:rsidRPr="00581D8D">
        <w:rPr>
          <w:rFonts w:ascii="Arial" w:hAnsi="Arial" w:cs="Arial"/>
          <w:lang w:val="en-US"/>
        </w:rPr>
        <w:t>.</w:t>
      </w:r>
      <w:r w:rsidR="00257795" w:rsidRPr="00581D8D">
        <w:rPr>
          <w:rFonts w:ascii="Arial" w:hAnsi="Arial" w:cs="Arial"/>
          <w:lang w:val="en-US"/>
        </w:rPr>
        <w:t xml:space="preserve"> </w:t>
      </w:r>
      <w:r w:rsidR="00942188" w:rsidRPr="00581D8D">
        <w:rPr>
          <w:rFonts w:ascii="Arial" w:hAnsi="Arial" w:cs="Arial"/>
          <w:lang w:val="en-US"/>
        </w:rPr>
        <w:t xml:space="preserve">In addition, coal and oil imports continue but </w:t>
      </w:r>
      <w:r w:rsidR="00D93DD0" w:rsidRPr="00581D8D">
        <w:rPr>
          <w:rFonts w:ascii="Arial" w:hAnsi="Arial" w:cs="Arial"/>
          <w:lang w:val="en-US"/>
        </w:rPr>
        <w:t>at a slower rate due to</w:t>
      </w:r>
      <w:r w:rsidR="0084418C" w:rsidRPr="00581D8D">
        <w:rPr>
          <w:rFonts w:ascii="Arial" w:hAnsi="Arial" w:cs="Arial"/>
          <w:lang w:val="en-US"/>
        </w:rPr>
        <w:t xml:space="preserve"> the existing moratorium,</w:t>
      </w:r>
      <w:r w:rsidR="00D93DD0" w:rsidRPr="00581D8D">
        <w:rPr>
          <w:rFonts w:ascii="Arial" w:hAnsi="Arial" w:cs="Arial"/>
          <w:lang w:val="en-US"/>
        </w:rPr>
        <w:t xml:space="preserve"> fuel switching</w:t>
      </w:r>
      <w:r w:rsidR="0064782E">
        <w:rPr>
          <w:rFonts w:ascii="Arial" w:hAnsi="Arial" w:cs="Arial"/>
          <w:lang w:val="en-US"/>
        </w:rPr>
        <w:t>,</w:t>
      </w:r>
      <w:r w:rsidR="00D93DD0" w:rsidRPr="00581D8D">
        <w:rPr>
          <w:rFonts w:ascii="Arial" w:hAnsi="Arial" w:cs="Arial"/>
          <w:lang w:val="en-US"/>
        </w:rPr>
        <w:t xml:space="preserve"> and preference towards cleaner fuels.</w:t>
      </w:r>
    </w:p>
    <w:p w14:paraId="6735D6BE" w14:textId="77777777" w:rsidR="00991A5C" w:rsidRPr="00581D8D" w:rsidRDefault="00991A5C" w:rsidP="00991A5C">
      <w:pPr>
        <w:pStyle w:val="NoSpacing"/>
        <w:jc w:val="both"/>
        <w:rPr>
          <w:rFonts w:ascii="Arial" w:hAnsi="Arial" w:cs="Arial"/>
          <w:lang w:val="en-US"/>
        </w:rPr>
      </w:pPr>
    </w:p>
    <w:p w14:paraId="2B706634" w14:textId="736FB04E" w:rsidR="004848B7" w:rsidRPr="00581D8D" w:rsidRDefault="00803589" w:rsidP="00991A5C">
      <w:pPr>
        <w:pStyle w:val="NoSpacing"/>
        <w:jc w:val="both"/>
        <w:rPr>
          <w:rFonts w:ascii="Arial" w:hAnsi="Arial" w:cs="Arial"/>
          <w:lang w:val="en-US"/>
        </w:rPr>
      </w:pPr>
      <w:r w:rsidRPr="00581D8D">
        <w:rPr>
          <w:rFonts w:ascii="Arial" w:hAnsi="Arial" w:cs="Arial"/>
          <w:lang w:val="en-US"/>
        </w:rPr>
        <w:t>In the power sector,</w:t>
      </w:r>
      <w:r w:rsidR="002C6A4D" w:rsidRPr="00581D8D">
        <w:rPr>
          <w:rFonts w:ascii="Arial" w:hAnsi="Arial" w:cs="Arial"/>
          <w:lang w:val="en-US"/>
        </w:rPr>
        <w:t xml:space="preserve"> gas </w:t>
      </w:r>
      <w:r w:rsidR="002D1D1D" w:rsidRPr="00581D8D">
        <w:rPr>
          <w:rFonts w:ascii="Arial" w:hAnsi="Arial" w:cs="Arial"/>
          <w:lang w:val="en-US"/>
        </w:rPr>
        <w:t>becomes</w:t>
      </w:r>
      <w:r w:rsidR="002C6A4D" w:rsidRPr="00581D8D">
        <w:rPr>
          <w:rFonts w:ascii="Arial" w:hAnsi="Arial" w:cs="Arial"/>
          <w:lang w:val="en-US"/>
        </w:rPr>
        <w:t xml:space="preserve"> the major fossil fuel source</w:t>
      </w:r>
      <w:r w:rsidR="00736AE9" w:rsidRPr="00581D8D">
        <w:rPr>
          <w:rFonts w:ascii="Arial" w:hAnsi="Arial" w:cs="Arial"/>
          <w:lang w:val="en-US"/>
        </w:rPr>
        <w:t xml:space="preserve"> wit</w:t>
      </w:r>
      <w:r w:rsidR="002D1D1D" w:rsidRPr="00581D8D">
        <w:rPr>
          <w:rFonts w:ascii="Arial" w:hAnsi="Arial" w:cs="Arial"/>
          <w:lang w:val="en-US"/>
        </w:rPr>
        <w:t>h coal becoming less significant</w:t>
      </w:r>
      <w:r w:rsidR="00736AE9" w:rsidRPr="00581D8D">
        <w:rPr>
          <w:rFonts w:ascii="Arial" w:hAnsi="Arial" w:cs="Arial"/>
          <w:lang w:val="en-US"/>
        </w:rPr>
        <w:t xml:space="preserve">. </w:t>
      </w:r>
      <w:r w:rsidR="000A1D6B" w:rsidRPr="00581D8D">
        <w:rPr>
          <w:rFonts w:ascii="Arial" w:hAnsi="Arial" w:cs="Arial"/>
          <w:lang w:val="en-US"/>
        </w:rPr>
        <w:t xml:space="preserve">Renewables </w:t>
      </w:r>
      <w:r w:rsidR="00340DF9" w:rsidRPr="00581D8D">
        <w:rPr>
          <w:rFonts w:ascii="Arial" w:hAnsi="Arial" w:cs="Arial"/>
          <w:lang w:val="en-US"/>
        </w:rPr>
        <w:t>are also</w:t>
      </w:r>
      <w:r w:rsidR="000A1D6B" w:rsidRPr="00581D8D">
        <w:rPr>
          <w:rFonts w:ascii="Arial" w:hAnsi="Arial" w:cs="Arial"/>
          <w:lang w:val="en-US"/>
        </w:rPr>
        <w:t xml:space="preserve"> </w:t>
      </w:r>
      <w:r w:rsidR="00340DF9" w:rsidRPr="00581D8D">
        <w:rPr>
          <w:rFonts w:ascii="Arial" w:hAnsi="Arial" w:cs="Arial"/>
          <w:lang w:val="en-US"/>
        </w:rPr>
        <w:t>expanding</w:t>
      </w:r>
      <w:r w:rsidR="004848B7" w:rsidRPr="00581D8D">
        <w:rPr>
          <w:rFonts w:ascii="Arial" w:hAnsi="Arial" w:cs="Arial"/>
          <w:lang w:val="en-US"/>
        </w:rPr>
        <w:t xml:space="preserve"> to reach the intended target of 50% in </w:t>
      </w:r>
      <w:r w:rsidR="00E7361D" w:rsidRPr="00581D8D">
        <w:rPr>
          <w:rFonts w:ascii="Arial" w:hAnsi="Arial" w:cs="Arial"/>
          <w:lang w:val="en-US"/>
        </w:rPr>
        <w:t>2040 and</w:t>
      </w:r>
      <w:r w:rsidR="002D1D1D" w:rsidRPr="00581D8D">
        <w:rPr>
          <w:rFonts w:ascii="Arial" w:hAnsi="Arial" w:cs="Arial"/>
          <w:lang w:val="en-US"/>
        </w:rPr>
        <w:t xml:space="preserve"> assumed to increase further towards 2060.</w:t>
      </w:r>
      <w:r w:rsidR="00415DA7" w:rsidRPr="00581D8D">
        <w:rPr>
          <w:rFonts w:ascii="Arial" w:hAnsi="Arial" w:cs="Arial"/>
          <w:lang w:val="en-US"/>
        </w:rPr>
        <w:t xml:space="preserve"> Large-scale solar PVs and offshore wind become prominent for renewables, while hydropower and geothermal may </w:t>
      </w:r>
      <w:r w:rsidR="00E7361D" w:rsidRPr="00581D8D">
        <w:rPr>
          <w:rFonts w:ascii="Arial" w:hAnsi="Arial" w:cs="Arial"/>
          <w:lang w:val="en-US"/>
        </w:rPr>
        <w:t>play a marginal role due to limited capacity.</w:t>
      </w:r>
      <w:r w:rsidR="004848B7" w:rsidRPr="00581D8D">
        <w:rPr>
          <w:rFonts w:ascii="Arial" w:hAnsi="Arial" w:cs="Arial"/>
          <w:lang w:val="en-US"/>
        </w:rPr>
        <w:t xml:space="preserve"> </w:t>
      </w:r>
    </w:p>
    <w:p w14:paraId="0F858A1B" w14:textId="77777777" w:rsidR="00991A5C" w:rsidRPr="00581D8D" w:rsidRDefault="00991A5C" w:rsidP="00991A5C">
      <w:pPr>
        <w:pStyle w:val="NoSpacing"/>
        <w:jc w:val="both"/>
        <w:rPr>
          <w:rFonts w:ascii="Arial" w:hAnsi="Arial" w:cs="Arial"/>
          <w:lang w:val="en-US"/>
        </w:rPr>
      </w:pPr>
    </w:p>
    <w:p w14:paraId="026A3B79" w14:textId="1CF44A7E" w:rsidR="002D3E6D" w:rsidRPr="00581D8D" w:rsidRDefault="002D3E6D" w:rsidP="00991A5C">
      <w:pPr>
        <w:pStyle w:val="NoSpacing"/>
        <w:jc w:val="both"/>
        <w:rPr>
          <w:rFonts w:ascii="Arial" w:hAnsi="Arial" w:cs="Arial"/>
          <w:lang w:val="en-US"/>
        </w:rPr>
      </w:pPr>
      <w:r w:rsidRPr="00581D8D">
        <w:rPr>
          <w:rFonts w:ascii="Arial" w:hAnsi="Arial" w:cs="Arial"/>
          <w:lang w:val="en-US"/>
        </w:rPr>
        <w:t>On the demand side,</w:t>
      </w:r>
      <w:r w:rsidR="00D55CCF" w:rsidRPr="00581D8D">
        <w:rPr>
          <w:rFonts w:ascii="Arial" w:hAnsi="Arial" w:cs="Arial"/>
          <w:lang w:val="en-US"/>
        </w:rPr>
        <w:t xml:space="preserve"> </w:t>
      </w:r>
      <w:r w:rsidR="00543FA0" w:rsidRPr="00581D8D">
        <w:rPr>
          <w:rFonts w:ascii="Arial" w:hAnsi="Arial" w:cs="Arial"/>
          <w:lang w:val="en-US"/>
        </w:rPr>
        <w:t xml:space="preserve">electricity and oil </w:t>
      </w:r>
      <w:r w:rsidR="00A94440" w:rsidRPr="00581D8D">
        <w:rPr>
          <w:rFonts w:ascii="Arial" w:hAnsi="Arial" w:cs="Arial"/>
          <w:lang w:val="en-US"/>
        </w:rPr>
        <w:t>remain</w:t>
      </w:r>
      <w:r w:rsidR="00275628" w:rsidRPr="00581D8D">
        <w:rPr>
          <w:rFonts w:ascii="Arial" w:hAnsi="Arial" w:cs="Arial"/>
          <w:lang w:val="en-US"/>
        </w:rPr>
        <w:t xml:space="preserve"> </w:t>
      </w:r>
      <w:r w:rsidR="00543FA0" w:rsidRPr="00581D8D">
        <w:rPr>
          <w:rFonts w:ascii="Arial" w:hAnsi="Arial" w:cs="Arial"/>
          <w:lang w:val="en-US"/>
        </w:rPr>
        <w:t>the most</w:t>
      </w:r>
      <w:r w:rsidR="004F5993" w:rsidRPr="00581D8D">
        <w:rPr>
          <w:rFonts w:ascii="Arial" w:hAnsi="Arial" w:cs="Arial"/>
          <w:lang w:val="en-US"/>
        </w:rPr>
        <w:t xml:space="preserve"> significant fuel</w:t>
      </w:r>
      <w:r w:rsidR="00543FA0" w:rsidRPr="00581D8D">
        <w:rPr>
          <w:rFonts w:ascii="Arial" w:hAnsi="Arial" w:cs="Arial"/>
          <w:lang w:val="en-US"/>
        </w:rPr>
        <w:t>s</w:t>
      </w:r>
      <w:r w:rsidR="007920CD" w:rsidRPr="00581D8D">
        <w:rPr>
          <w:rFonts w:ascii="Arial" w:hAnsi="Arial" w:cs="Arial"/>
          <w:lang w:val="en-US"/>
        </w:rPr>
        <w:t xml:space="preserve">. </w:t>
      </w:r>
      <w:r w:rsidR="00FB2FA4" w:rsidRPr="00CE0969">
        <w:rPr>
          <w:rFonts w:ascii="Arial" w:hAnsi="Arial" w:cs="Arial"/>
          <w:highlight w:val="yellow"/>
          <w:lang w:val="en-US"/>
        </w:rPr>
        <w:t>The transport</w:t>
      </w:r>
      <w:r w:rsidR="00D567EB" w:rsidRPr="00CE0969">
        <w:rPr>
          <w:rFonts w:ascii="Arial" w:hAnsi="Arial" w:cs="Arial"/>
          <w:highlight w:val="yellow"/>
          <w:lang w:val="en-US"/>
        </w:rPr>
        <w:t xml:space="preserve"> sector</w:t>
      </w:r>
      <w:r w:rsidR="003D530A" w:rsidRPr="00CE0969">
        <w:rPr>
          <w:rFonts w:ascii="Arial" w:hAnsi="Arial" w:cs="Arial"/>
          <w:highlight w:val="yellow"/>
          <w:lang w:val="en-US"/>
        </w:rPr>
        <w:t>, particularly in public transport,</w:t>
      </w:r>
      <w:r w:rsidR="00D567EB" w:rsidRPr="00CE0969">
        <w:rPr>
          <w:rFonts w:ascii="Arial" w:hAnsi="Arial" w:cs="Arial"/>
          <w:highlight w:val="yellow"/>
          <w:lang w:val="en-US"/>
        </w:rPr>
        <w:t xml:space="preserve"> </w:t>
      </w:r>
      <w:r w:rsidR="00D63506" w:rsidRPr="00CE0969">
        <w:rPr>
          <w:rFonts w:ascii="Arial" w:hAnsi="Arial" w:cs="Arial"/>
          <w:highlight w:val="yellow"/>
          <w:lang w:val="en-US"/>
        </w:rPr>
        <w:t>has begun</w:t>
      </w:r>
      <w:r w:rsidR="00D567EB" w:rsidRPr="00CE0969">
        <w:rPr>
          <w:rFonts w:ascii="Arial" w:hAnsi="Arial" w:cs="Arial"/>
          <w:highlight w:val="yellow"/>
          <w:lang w:val="en-US"/>
        </w:rPr>
        <w:t xml:space="preserve"> adopt</w:t>
      </w:r>
      <w:r w:rsidR="00D63506" w:rsidRPr="00CE0969">
        <w:rPr>
          <w:rFonts w:ascii="Arial" w:hAnsi="Arial" w:cs="Arial"/>
          <w:highlight w:val="yellow"/>
          <w:lang w:val="en-US"/>
        </w:rPr>
        <w:t>ing</w:t>
      </w:r>
      <w:r w:rsidR="00D567EB" w:rsidRPr="00CE0969">
        <w:rPr>
          <w:rFonts w:ascii="Arial" w:hAnsi="Arial" w:cs="Arial"/>
          <w:highlight w:val="yellow"/>
          <w:lang w:val="en-US"/>
        </w:rPr>
        <w:t xml:space="preserve"> EVs </w:t>
      </w:r>
      <w:r w:rsidR="00FA7373" w:rsidRPr="00CE0969">
        <w:rPr>
          <w:rFonts w:ascii="Arial" w:hAnsi="Arial" w:cs="Arial"/>
          <w:highlight w:val="yellow"/>
          <w:lang w:val="en-US"/>
        </w:rPr>
        <w:t>at a faster rate</w:t>
      </w:r>
      <w:r w:rsidR="002C5A08" w:rsidRPr="00CE0969">
        <w:rPr>
          <w:rFonts w:ascii="Arial" w:hAnsi="Arial" w:cs="Arial"/>
          <w:highlight w:val="yellow"/>
          <w:lang w:val="en-US"/>
        </w:rPr>
        <w:t>,</w:t>
      </w:r>
      <w:r w:rsidR="006F2A05" w:rsidRPr="00CE0969">
        <w:rPr>
          <w:rFonts w:ascii="Arial" w:hAnsi="Arial" w:cs="Arial"/>
          <w:highlight w:val="yellow"/>
          <w:lang w:val="en-US"/>
        </w:rPr>
        <w:t xml:space="preserve"> in line with </w:t>
      </w:r>
      <w:r w:rsidR="00D63506" w:rsidRPr="00CE0969">
        <w:rPr>
          <w:rFonts w:ascii="Arial" w:hAnsi="Arial" w:cs="Arial"/>
          <w:highlight w:val="yellow"/>
          <w:lang w:val="en-US"/>
        </w:rPr>
        <w:t xml:space="preserve">the </w:t>
      </w:r>
      <w:r w:rsidR="00FB2FA4" w:rsidRPr="00CE0969">
        <w:rPr>
          <w:rFonts w:ascii="Arial" w:hAnsi="Arial" w:cs="Arial"/>
          <w:highlight w:val="yellow"/>
          <w:lang w:val="en-US"/>
        </w:rPr>
        <w:t>enforcement of EVIDA</w:t>
      </w:r>
      <w:r w:rsidR="003D530A" w:rsidRPr="00CE0969">
        <w:rPr>
          <w:rFonts w:ascii="Arial" w:hAnsi="Arial" w:cs="Arial"/>
          <w:highlight w:val="yellow"/>
          <w:lang w:val="en-US"/>
        </w:rPr>
        <w:t>.</w:t>
      </w:r>
      <w:r w:rsidR="003D530A" w:rsidRPr="00581D8D">
        <w:rPr>
          <w:rFonts w:ascii="Arial" w:hAnsi="Arial" w:cs="Arial"/>
          <w:lang w:val="en-US"/>
        </w:rPr>
        <w:t xml:space="preserve"> The services sector continues to become </w:t>
      </w:r>
      <w:r w:rsidR="004957DB" w:rsidRPr="00581D8D">
        <w:rPr>
          <w:rFonts w:ascii="Arial" w:hAnsi="Arial" w:cs="Arial"/>
          <w:lang w:val="en-US"/>
        </w:rPr>
        <w:t xml:space="preserve">one of the main drivers of </w:t>
      </w:r>
      <w:r w:rsidR="00D63506" w:rsidRPr="00581D8D">
        <w:rPr>
          <w:rFonts w:ascii="Arial" w:hAnsi="Arial" w:cs="Arial"/>
          <w:lang w:val="en-US"/>
        </w:rPr>
        <w:t xml:space="preserve">the </w:t>
      </w:r>
      <w:r w:rsidR="004957DB" w:rsidRPr="00581D8D">
        <w:rPr>
          <w:rFonts w:ascii="Arial" w:hAnsi="Arial" w:cs="Arial"/>
          <w:lang w:val="en-US"/>
        </w:rPr>
        <w:t>Philippine economy, and as a result</w:t>
      </w:r>
      <w:r w:rsidR="00D63506" w:rsidRPr="00581D8D">
        <w:rPr>
          <w:rFonts w:ascii="Arial" w:hAnsi="Arial" w:cs="Arial"/>
          <w:lang w:val="en-US"/>
        </w:rPr>
        <w:t>,</w:t>
      </w:r>
      <w:r w:rsidR="004957DB" w:rsidRPr="00581D8D">
        <w:rPr>
          <w:rFonts w:ascii="Arial" w:hAnsi="Arial" w:cs="Arial"/>
          <w:lang w:val="en-US"/>
        </w:rPr>
        <w:t xml:space="preserve"> electricity demand will increase rapidly. </w:t>
      </w:r>
      <w:r w:rsidR="000216A1" w:rsidRPr="00581D8D">
        <w:rPr>
          <w:rFonts w:ascii="Arial" w:hAnsi="Arial" w:cs="Arial"/>
          <w:lang w:val="en-US"/>
        </w:rPr>
        <w:t xml:space="preserve">Similarly, the industry sector expands at </w:t>
      </w:r>
      <w:r w:rsidR="00EA029D" w:rsidRPr="00581D8D">
        <w:rPr>
          <w:rFonts w:ascii="Arial" w:hAnsi="Arial" w:cs="Arial"/>
          <w:lang w:val="en-US"/>
        </w:rPr>
        <w:t>a</w:t>
      </w:r>
      <w:r w:rsidR="000216A1" w:rsidRPr="00581D8D">
        <w:rPr>
          <w:rFonts w:ascii="Arial" w:hAnsi="Arial" w:cs="Arial"/>
          <w:lang w:val="en-US"/>
        </w:rPr>
        <w:t xml:space="preserve"> fast rate</w:t>
      </w:r>
      <w:r w:rsidR="00EA029D" w:rsidRPr="00581D8D">
        <w:rPr>
          <w:rFonts w:ascii="Arial" w:hAnsi="Arial" w:cs="Arial"/>
          <w:lang w:val="en-US"/>
        </w:rPr>
        <w:t>, while adopting energy efficiency measures</w:t>
      </w:r>
      <w:r w:rsidR="009C6917" w:rsidRPr="00581D8D">
        <w:rPr>
          <w:rFonts w:ascii="Arial" w:hAnsi="Arial" w:cs="Arial"/>
          <w:lang w:val="en-US"/>
        </w:rPr>
        <w:t xml:space="preserve"> and fuel switching.</w:t>
      </w:r>
    </w:p>
    <w:p w14:paraId="284E2A30" w14:textId="77777777" w:rsidR="00991A5C" w:rsidRPr="00581D8D" w:rsidRDefault="00991A5C" w:rsidP="00991A5C">
      <w:pPr>
        <w:pStyle w:val="NoSpacing"/>
        <w:jc w:val="both"/>
        <w:rPr>
          <w:rFonts w:ascii="Arial" w:hAnsi="Arial" w:cs="Arial"/>
          <w:lang w:val="en-US"/>
        </w:rPr>
      </w:pPr>
    </w:p>
    <w:p w14:paraId="085B10E8" w14:textId="110FDAEB" w:rsidR="00330B4A" w:rsidRPr="00581D8D" w:rsidRDefault="009B32AA" w:rsidP="00991A5C">
      <w:pPr>
        <w:pStyle w:val="NoSpacing"/>
        <w:jc w:val="both"/>
        <w:rPr>
          <w:rFonts w:ascii="Arial" w:hAnsi="Arial" w:cs="Arial"/>
          <w:lang w:val="en-US"/>
        </w:rPr>
      </w:pPr>
      <w:r w:rsidRPr="00581D8D">
        <w:rPr>
          <w:rFonts w:ascii="Arial" w:hAnsi="Arial" w:cs="Arial"/>
          <w:lang w:val="en-US"/>
        </w:rPr>
        <w:t>Based on the above measures, the Philippines may (or may not?) reach the desired</w:t>
      </w:r>
      <w:r w:rsidR="00943CA8" w:rsidRPr="00581D8D">
        <w:rPr>
          <w:rFonts w:ascii="Arial" w:hAnsi="Arial" w:cs="Arial"/>
          <w:lang w:val="en-US"/>
        </w:rPr>
        <w:t xml:space="preserve"> unconditional emissions reduction</w:t>
      </w:r>
      <w:r w:rsidR="00CB2961" w:rsidRPr="00581D8D">
        <w:rPr>
          <w:rFonts w:ascii="Arial" w:hAnsi="Arial" w:cs="Arial"/>
          <w:lang w:val="en-US"/>
        </w:rPr>
        <w:t xml:space="preserve"> by 2030.</w:t>
      </w:r>
    </w:p>
    <w:p w14:paraId="579F9B92" w14:textId="77777777" w:rsidR="00991A5C" w:rsidRPr="00581D8D" w:rsidRDefault="00991A5C" w:rsidP="00991A5C">
      <w:pPr>
        <w:pStyle w:val="NoSpacing"/>
        <w:jc w:val="both"/>
        <w:rPr>
          <w:rFonts w:ascii="Arial" w:hAnsi="Arial" w:cs="Arial"/>
          <w:lang w:val="en-US"/>
        </w:rPr>
      </w:pPr>
    </w:p>
    <w:p w14:paraId="2860FCE2" w14:textId="7BD8187B" w:rsidR="00821DE9" w:rsidRPr="00581D8D" w:rsidRDefault="00AD7442" w:rsidP="005D4F51">
      <w:pPr>
        <w:pStyle w:val="Heading3"/>
        <w:rPr>
          <w:rFonts w:ascii="Arial" w:hAnsi="Arial" w:cs="Arial"/>
          <w:b/>
          <w:bCs/>
          <w:lang w:val="en-US"/>
        </w:rPr>
      </w:pPr>
      <w:r w:rsidRPr="00581D8D">
        <w:rPr>
          <w:rFonts w:ascii="Arial" w:hAnsi="Arial" w:cs="Arial"/>
          <w:b/>
          <w:bCs/>
          <w:lang w:val="en-US"/>
        </w:rPr>
        <w:t xml:space="preserve">The </w:t>
      </w:r>
      <w:r w:rsidR="00BA3ED7" w:rsidRPr="00581D8D">
        <w:rPr>
          <w:rFonts w:ascii="Arial" w:hAnsi="Arial" w:cs="Arial"/>
          <w:b/>
          <w:bCs/>
          <w:lang w:val="en-US"/>
        </w:rPr>
        <w:t>Target</w:t>
      </w:r>
      <w:r w:rsidRPr="00581D8D">
        <w:rPr>
          <w:rFonts w:ascii="Arial" w:hAnsi="Arial" w:cs="Arial"/>
          <w:b/>
          <w:bCs/>
          <w:lang w:val="en-US"/>
        </w:rPr>
        <w:t xml:space="preserve"> scenario</w:t>
      </w:r>
    </w:p>
    <w:p w14:paraId="7F8A4654" w14:textId="77777777" w:rsidR="00991A5C" w:rsidRPr="00581D8D" w:rsidRDefault="00991A5C" w:rsidP="00991A5C">
      <w:pPr>
        <w:pStyle w:val="NoSpacing"/>
        <w:jc w:val="both"/>
        <w:rPr>
          <w:rFonts w:ascii="Arial" w:hAnsi="Arial" w:cs="Arial"/>
          <w:lang w:val="en-US"/>
        </w:rPr>
      </w:pPr>
    </w:p>
    <w:p w14:paraId="2BC60563" w14:textId="339BE8A4" w:rsidR="0007705E" w:rsidRPr="00581D8D" w:rsidRDefault="0007705E" w:rsidP="00991A5C">
      <w:pPr>
        <w:pStyle w:val="NoSpacing"/>
        <w:jc w:val="both"/>
        <w:rPr>
          <w:rFonts w:ascii="Arial" w:hAnsi="Arial" w:cs="Arial"/>
          <w:lang w:val="en-US"/>
        </w:rPr>
      </w:pPr>
      <w:r w:rsidRPr="00581D8D">
        <w:rPr>
          <w:rFonts w:ascii="Arial" w:hAnsi="Arial" w:cs="Arial"/>
          <w:lang w:val="en-US"/>
        </w:rPr>
        <w:t>The TGT sees the Ph</w:t>
      </w:r>
      <w:r w:rsidR="001249F2" w:rsidRPr="00581D8D">
        <w:rPr>
          <w:rFonts w:ascii="Arial" w:hAnsi="Arial" w:cs="Arial"/>
          <w:lang w:val="en-US"/>
        </w:rPr>
        <w:t xml:space="preserve">ilippines assuming to increase their climate ambitions </w:t>
      </w:r>
      <w:r w:rsidR="00444CC6" w:rsidRPr="00581D8D">
        <w:rPr>
          <w:rFonts w:ascii="Arial" w:hAnsi="Arial" w:cs="Arial"/>
          <w:lang w:val="en-US"/>
        </w:rPr>
        <w:t xml:space="preserve">even </w:t>
      </w:r>
      <w:r w:rsidR="003122BD" w:rsidRPr="00581D8D">
        <w:rPr>
          <w:rFonts w:ascii="Arial" w:hAnsi="Arial" w:cs="Arial"/>
          <w:lang w:val="en-US"/>
        </w:rPr>
        <w:t xml:space="preserve">without </w:t>
      </w:r>
      <w:r w:rsidR="00B81DED" w:rsidRPr="00581D8D">
        <w:rPr>
          <w:rFonts w:ascii="Arial" w:hAnsi="Arial" w:cs="Arial"/>
          <w:lang w:val="en-US"/>
        </w:rPr>
        <w:t xml:space="preserve">a </w:t>
      </w:r>
      <w:r w:rsidR="003122BD" w:rsidRPr="00581D8D">
        <w:rPr>
          <w:rFonts w:ascii="Arial" w:hAnsi="Arial" w:cs="Arial"/>
          <w:lang w:val="en-US"/>
        </w:rPr>
        <w:t xml:space="preserve">net-zero emissions goal. </w:t>
      </w:r>
      <w:r w:rsidR="00D62987" w:rsidRPr="00581D8D">
        <w:rPr>
          <w:rFonts w:ascii="Arial" w:hAnsi="Arial" w:cs="Arial"/>
          <w:lang w:val="en-US"/>
        </w:rPr>
        <w:t>Increased adoption of technologies</w:t>
      </w:r>
      <w:r w:rsidR="009410EF" w:rsidRPr="00581D8D">
        <w:rPr>
          <w:rFonts w:ascii="Arial" w:hAnsi="Arial" w:cs="Arial"/>
          <w:lang w:val="en-US"/>
        </w:rPr>
        <w:t xml:space="preserve">, fuel </w:t>
      </w:r>
      <w:r w:rsidR="00802392" w:rsidRPr="00581D8D">
        <w:rPr>
          <w:rFonts w:ascii="Arial" w:hAnsi="Arial" w:cs="Arial"/>
          <w:lang w:val="en-US"/>
        </w:rPr>
        <w:t>switching,</w:t>
      </w:r>
      <w:r w:rsidR="009410EF" w:rsidRPr="00581D8D">
        <w:rPr>
          <w:rFonts w:ascii="Arial" w:hAnsi="Arial" w:cs="Arial"/>
          <w:lang w:val="en-US"/>
        </w:rPr>
        <w:t xml:space="preserve"> and enhanced energy efficiency measures </w:t>
      </w:r>
      <w:r w:rsidR="0000112C" w:rsidRPr="00581D8D">
        <w:rPr>
          <w:rFonts w:ascii="Arial" w:hAnsi="Arial" w:cs="Arial"/>
          <w:lang w:val="en-US"/>
        </w:rPr>
        <w:t xml:space="preserve">across all sectors </w:t>
      </w:r>
      <w:r w:rsidR="009410EF" w:rsidRPr="00581D8D">
        <w:rPr>
          <w:rFonts w:ascii="Arial" w:hAnsi="Arial" w:cs="Arial"/>
          <w:lang w:val="en-US"/>
        </w:rPr>
        <w:t xml:space="preserve">are </w:t>
      </w:r>
      <w:r w:rsidR="0000112C" w:rsidRPr="00581D8D">
        <w:rPr>
          <w:rFonts w:ascii="Arial" w:hAnsi="Arial" w:cs="Arial"/>
          <w:lang w:val="en-US"/>
        </w:rPr>
        <w:t>vital</w:t>
      </w:r>
      <w:r w:rsidR="009410EF" w:rsidRPr="00581D8D">
        <w:rPr>
          <w:rFonts w:ascii="Arial" w:hAnsi="Arial" w:cs="Arial"/>
          <w:lang w:val="en-US"/>
        </w:rPr>
        <w:t xml:space="preserve"> to</w:t>
      </w:r>
      <w:r w:rsidR="00802392" w:rsidRPr="00581D8D">
        <w:rPr>
          <w:rFonts w:ascii="Arial" w:hAnsi="Arial" w:cs="Arial"/>
          <w:lang w:val="en-US"/>
        </w:rPr>
        <w:t xml:space="preserve"> </w:t>
      </w:r>
      <w:r w:rsidR="00B81DED" w:rsidRPr="00581D8D">
        <w:rPr>
          <w:rFonts w:ascii="Arial" w:hAnsi="Arial" w:cs="Arial"/>
          <w:lang w:val="en-US"/>
        </w:rPr>
        <w:t>achieving</w:t>
      </w:r>
      <w:r w:rsidR="00802392" w:rsidRPr="00581D8D">
        <w:rPr>
          <w:rFonts w:ascii="Arial" w:hAnsi="Arial" w:cs="Arial"/>
          <w:lang w:val="en-US"/>
        </w:rPr>
        <w:t xml:space="preserve"> such ambitions. </w:t>
      </w:r>
    </w:p>
    <w:p w14:paraId="708AB84A" w14:textId="77777777" w:rsidR="00991A5C" w:rsidRPr="00581D8D" w:rsidRDefault="00991A5C" w:rsidP="00991A5C">
      <w:pPr>
        <w:pStyle w:val="NoSpacing"/>
        <w:jc w:val="both"/>
        <w:rPr>
          <w:rFonts w:ascii="Arial" w:hAnsi="Arial" w:cs="Arial"/>
          <w:lang w:val="en-US"/>
        </w:rPr>
      </w:pPr>
    </w:p>
    <w:p w14:paraId="56998778" w14:textId="24656501" w:rsidR="0007705E" w:rsidRPr="00581D8D" w:rsidRDefault="0000112C" w:rsidP="00991A5C">
      <w:pPr>
        <w:pStyle w:val="NoSpacing"/>
        <w:jc w:val="both"/>
        <w:rPr>
          <w:rFonts w:ascii="Arial" w:hAnsi="Arial" w:cs="Arial"/>
          <w:lang w:val="en-US"/>
        </w:rPr>
      </w:pPr>
      <w:r w:rsidRPr="00581D8D">
        <w:rPr>
          <w:rFonts w:ascii="Arial" w:hAnsi="Arial" w:cs="Arial"/>
          <w:lang w:val="en-US"/>
        </w:rPr>
        <w:t>On the supply side,</w:t>
      </w:r>
      <w:r w:rsidR="00BB7586" w:rsidRPr="00581D8D">
        <w:rPr>
          <w:rFonts w:ascii="Arial" w:hAnsi="Arial" w:cs="Arial"/>
          <w:lang w:val="en-US"/>
        </w:rPr>
        <w:t xml:space="preserve"> gas remains pivotal in providing baseload electricity generation. Hence, LNG import is assumed to </w:t>
      </w:r>
      <w:r w:rsidR="0084418C" w:rsidRPr="00581D8D">
        <w:rPr>
          <w:rFonts w:ascii="Arial" w:hAnsi="Arial" w:cs="Arial"/>
          <w:lang w:val="en-US"/>
        </w:rPr>
        <w:t xml:space="preserve">remain strong in TGT. On the other hand, </w:t>
      </w:r>
      <w:r w:rsidR="009C598C">
        <w:rPr>
          <w:rFonts w:ascii="Arial" w:hAnsi="Arial" w:cs="Arial"/>
          <w:lang w:val="en-US"/>
        </w:rPr>
        <w:t xml:space="preserve">the </w:t>
      </w:r>
      <w:r w:rsidR="0084418C" w:rsidRPr="00581D8D">
        <w:rPr>
          <w:rFonts w:ascii="Arial" w:hAnsi="Arial" w:cs="Arial"/>
          <w:lang w:val="en-US"/>
        </w:rPr>
        <w:t>supply of coal is expected to decline</w:t>
      </w:r>
      <w:r w:rsidR="00594F98" w:rsidRPr="00581D8D">
        <w:rPr>
          <w:rFonts w:ascii="Arial" w:hAnsi="Arial" w:cs="Arial"/>
          <w:lang w:val="en-US"/>
        </w:rPr>
        <w:t xml:space="preserve"> more rapidly than it does in the REF</w:t>
      </w:r>
      <w:r w:rsidR="00EE7643" w:rsidRPr="00581D8D">
        <w:rPr>
          <w:rFonts w:ascii="Arial" w:hAnsi="Arial" w:cs="Arial"/>
          <w:lang w:val="en-US"/>
        </w:rPr>
        <w:t xml:space="preserve">, </w:t>
      </w:r>
      <w:r w:rsidR="0084418C" w:rsidRPr="00581D8D">
        <w:rPr>
          <w:rFonts w:ascii="Arial" w:hAnsi="Arial" w:cs="Arial"/>
          <w:lang w:val="en-US"/>
        </w:rPr>
        <w:t xml:space="preserve">in line with the </w:t>
      </w:r>
      <w:r w:rsidR="00594F98" w:rsidRPr="00581D8D">
        <w:rPr>
          <w:rFonts w:ascii="Arial" w:hAnsi="Arial" w:cs="Arial"/>
          <w:lang w:val="en-US"/>
        </w:rPr>
        <w:t>existing moratorium and other enhanced policy measures.</w:t>
      </w:r>
      <w:r w:rsidR="006D1E33" w:rsidRPr="00581D8D">
        <w:rPr>
          <w:rFonts w:ascii="Arial" w:hAnsi="Arial" w:cs="Arial"/>
          <w:lang w:val="en-US"/>
        </w:rPr>
        <w:t xml:space="preserve"> </w:t>
      </w:r>
    </w:p>
    <w:p w14:paraId="3286BD8F" w14:textId="77777777" w:rsidR="00991A5C" w:rsidRPr="00581D8D" w:rsidRDefault="00991A5C" w:rsidP="00991A5C">
      <w:pPr>
        <w:pStyle w:val="NoSpacing"/>
        <w:jc w:val="both"/>
        <w:rPr>
          <w:rFonts w:ascii="Arial" w:hAnsi="Arial" w:cs="Arial"/>
          <w:lang w:val="en-US"/>
        </w:rPr>
      </w:pPr>
    </w:p>
    <w:p w14:paraId="1D263CEA" w14:textId="53AA1E02" w:rsidR="00772CE1" w:rsidRPr="00581D8D" w:rsidRDefault="00990945" w:rsidP="00991A5C">
      <w:pPr>
        <w:pStyle w:val="NoSpacing"/>
        <w:jc w:val="both"/>
        <w:rPr>
          <w:rFonts w:ascii="Arial" w:hAnsi="Arial" w:cs="Arial"/>
          <w:lang w:val="en-US"/>
        </w:rPr>
      </w:pPr>
      <w:r w:rsidRPr="00581D8D">
        <w:rPr>
          <w:rFonts w:ascii="Arial" w:hAnsi="Arial" w:cs="Arial"/>
          <w:lang w:val="en-US"/>
        </w:rPr>
        <w:t>In the power sector, w</w:t>
      </w:r>
      <w:r w:rsidR="00B86423" w:rsidRPr="00581D8D">
        <w:rPr>
          <w:rFonts w:ascii="Arial" w:hAnsi="Arial" w:cs="Arial"/>
          <w:lang w:val="en-US"/>
        </w:rPr>
        <w:t>hile gas remains pivotal in providing baseload electricity generation</w:t>
      </w:r>
      <w:r w:rsidR="00EF75E3" w:rsidRPr="00581D8D">
        <w:rPr>
          <w:rFonts w:ascii="Arial" w:hAnsi="Arial" w:cs="Arial"/>
          <w:lang w:val="en-US"/>
        </w:rPr>
        <w:t xml:space="preserve">, renewables are assumed </w:t>
      </w:r>
      <w:r w:rsidR="00BD7805" w:rsidRPr="00581D8D">
        <w:rPr>
          <w:rFonts w:ascii="Arial" w:hAnsi="Arial" w:cs="Arial"/>
          <w:lang w:val="en-US"/>
        </w:rPr>
        <w:t xml:space="preserve">to accelerate at a faster pace </w:t>
      </w:r>
      <w:r w:rsidR="00E21DC8" w:rsidRPr="00581D8D">
        <w:rPr>
          <w:rFonts w:ascii="Arial" w:hAnsi="Arial" w:cs="Arial"/>
          <w:lang w:val="en-US"/>
        </w:rPr>
        <w:t>with solar and offshore wind contributing majorly</w:t>
      </w:r>
      <w:r w:rsidR="008A2A12" w:rsidRPr="00581D8D">
        <w:rPr>
          <w:rFonts w:ascii="Arial" w:hAnsi="Arial" w:cs="Arial"/>
          <w:lang w:val="en-US"/>
        </w:rPr>
        <w:t xml:space="preserve">, supported by </w:t>
      </w:r>
      <w:r w:rsidR="007754B6" w:rsidRPr="00581D8D">
        <w:rPr>
          <w:rFonts w:ascii="Arial" w:hAnsi="Arial" w:cs="Arial"/>
          <w:lang w:val="en-US"/>
        </w:rPr>
        <w:t xml:space="preserve">the </w:t>
      </w:r>
      <w:r w:rsidR="00772CE1" w:rsidRPr="00581D8D">
        <w:rPr>
          <w:rFonts w:ascii="Arial" w:hAnsi="Arial" w:cs="Arial"/>
          <w:lang w:val="en-US"/>
        </w:rPr>
        <w:t>adoption of battery storage that is assumed to be commercially available in TGT</w:t>
      </w:r>
      <w:r w:rsidR="00E21DC8" w:rsidRPr="00581D8D">
        <w:rPr>
          <w:rFonts w:ascii="Arial" w:hAnsi="Arial" w:cs="Arial"/>
          <w:lang w:val="en-US"/>
        </w:rPr>
        <w:t>.</w:t>
      </w:r>
      <w:r w:rsidR="00DF01B7" w:rsidRPr="00581D8D">
        <w:rPr>
          <w:rFonts w:ascii="Arial" w:hAnsi="Arial" w:cs="Arial"/>
          <w:lang w:val="en-US"/>
        </w:rPr>
        <w:t xml:space="preserve"> </w:t>
      </w:r>
      <w:r w:rsidR="00A453DB" w:rsidRPr="00581D8D">
        <w:rPr>
          <w:rFonts w:ascii="Arial" w:hAnsi="Arial" w:cs="Arial"/>
          <w:lang w:val="en-US"/>
        </w:rPr>
        <w:t>Nuclear power is also assumed to be commissioned.</w:t>
      </w:r>
      <w:r w:rsidR="001A0520" w:rsidRPr="00581D8D">
        <w:rPr>
          <w:rFonts w:ascii="Arial" w:hAnsi="Arial" w:cs="Arial"/>
          <w:lang w:val="en-US"/>
        </w:rPr>
        <w:t xml:space="preserve"> Existing coal power plants are assumed to be repurposed</w:t>
      </w:r>
      <w:r w:rsidR="000E4B0E" w:rsidRPr="00581D8D">
        <w:rPr>
          <w:rFonts w:ascii="Arial" w:hAnsi="Arial" w:cs="Arial"/>
          <w:lang w:val="en-US"/>
        </w:rPr>
        <w:t xml:space="preserve"> </w:t>
      </w:r>
      <w:r w:rsidR="00537B0A" w:rsidRPr="00581D8D">
        <w:rPr>
          <w:rFonts w:ascii="Arial" w:hAnsi="Arial" w:cs="Arial"/>
          <w:lang w:val="en-US"/>
        </w:rPr>
        <w:t>for co-firing.</w:t>
      </w:r>
    </w:p>
    <w:p w14:paraId="3684BB28" w14:textId="77777777" w:rsidR="00991A5C" w:rsidRPr="00581D8D" w:rsidRDefault="00991A5C" w:rsidP="00991A5C">
      <w:pPr>
        <w:pStyle w:val="NoSpacing"/>
        <w:jc w:val="both"/>
        <w:rPr>
          <w:rFonts w:ascii="Arial" w:hAnsi="Arial" w:cs="Arial"/>
          <w:lang w:val="en-US"/>
        </w:rPr>
      </w:pPr>
    </w:p>
    <w:p w14:paraId="6CFFB011" w14:textId="3537A095" w:rsidR="00E84F6E" w:rsidRPr="00581D8D" w:rsidRDefault="00853E3F" w:rsidP="00991A5C">
      <w:pPr>
        <w:pStyle w:val="NoSpacing"/>
        <w:jc w:val="both"/>
        <w:rPr>
          <w:rFonts w:ascii="Arial" w:hAnsi="Arial" w:cs="Arial"/>
          <w:lang w:val="en-US"/>
        </w:rPr>
      </w:pPr>
      <w:r w:rsidRPr="00581D8D">
        <w:rPr>
          <w:rFonts w:ascii="Arial" w:hAnsi="Arial" w:cs="Arial"/>
          <w:lang w:val="en-US"/>
        </w:rPr>
        <w:lastRenderedPageBreak/>
        <w:t xml:space="preserve">On the demand side, enhanced energy efficiency measures are applied across all sectors and hence </w:t>
      </w:r>
      <w:r w:rsidR="00F32E75" w:rsidRPr="00581D8D">
        <w:rPr>
          <w:rFonts w:ascii="Arial" w:hAnsi="Arial" w:cs="Arial"/>
          <w:lang w:val="en-US"/>
        </w:rPr>
        <w:t xml:space="preserve">energy demand is expected to be lower than in REF. </w:t>
      </w:r>
      <w:r w:rsidR="00F32E75" w:rsidRPr="00CE0969">
        <w:rPr>
          <w:rFonts w:ascii="Arial" w:hAnsi="Arial" w:cs="Arial"/>
          <w:highlight w:val="yellow"/>
          <w:lang w:val="en-US"/>
        </w:rPr>
        <w:t xml:space="preserve">Electrification is substantial in </w:t>
      </w:r>
      <w:r w:rsidR="0062186F" w:rsidRPr="00CE0969">
        <w:rPr>
          <w:rFonts w:ascii="Arial" w:hAnsi="Arial" w:cs="Arial"/>
          <w:highlight w:val="yellow"/>
          <w:lang w:val="en-US"/>
        </w:rPr>
        <w:t xml:space="preserve">buildings, transport, and agriculture sectors, resulting in </w:t>
      </w:r>
      <w:r w:rsidR="007754B6" w:rsidRPr="00CE0969">
        <w:rPr>
          <w:rFonts w:ascii="Arial" w:hAnsi="Arial" w:cs="Arial"/>
          <w:highlight w:val="yellow"/>
          <w:lang w:val="en-US"/>
        </w:rPr>
        <w:t>less</w:t>
      </w:r>
      <w:r w:rsidR="0062186F" w:rsidRPr="00CE0969">
        <w:rPr>
          <w:rFonts w:ascii="Arial" w:hAnsi="Arial" w:cs="Arial"/>
          <w:highlight w:val="yellow"/>
          <w:lang w:val="en-US"/>
        </w:rPr>
        <w:t xml:space="preserve"> demand for oil products.</w:t>
      </w:r>
      <w:r w:rsidR="0062186F" w:rsidRPr="00581D8D">
        <w:rPr>
          <w:rFonts w:ascii="Arial" w:hAnsi="Arial" w:cs="Arial"/>
          <w:lang w:val="en-US"/>
        </w:rPr>
        <w:t xml:space="preserve"> </w:t>
      </w:r>
    </w:p>
    <w:p w14:paraId="0EEA51F2" w14:textId="77777777" w:rsidR="00991A5C" w:rsidRPr="00581D8D" w:rsidRDefault="00991A5C" w:rsidP="00991A5C">
      <w:pPr>
        <w:pStyle w:val="NoSpacing"/>
        <w:jc w:val="both"/>
        <w:rPr>
          <w:rFonts w:ascii="Arial" w:hAnsi="Arial" w:cs="Arial"/>
          <w:lang w:val="en-US"/>
        </w:rPr>
      </w:pPr>
    </w:p>
    <w:p w14:paraId="27130F3F" w14:textId="72A17E26" w:rsidR="00B445C5" w:rsidRPr="00581D8D" w:rsidRDefault="009525CE" w:rsidP="00991A5C">
      <w:pPr>
        <w:pStyle w:val="NoSpacing"/>
        <w:jc w:val="both"/>
        <w:rPr>
          <w:rFonts w:ascii="Arial" w:hAnsi="Arial" w:cs="Arial"/>
          <w:color w:val="FF0000"/>
          <w:lang w:val="en-US"/>
        </w:rPr>
      </w:pPr>
      <w:r w:rsidRPr="00581D8D">
        <w:rPr>
          <w:rFonts w:ascii="Arial" w:hAnsi="Arial" w:cs="Arial"/>
          <w:lang w:val="en-US"/>
        </w:rPr>
        <w:t>CCS is assumed t</w:t>
      </w:r>
      <w:r w:rsidR="00BF2784" w:rsidRPr="00581D8D">
        <w:rPr>
          <w:rFonts w:ascii="Arial" w:hAnsi="Arial" w:cs="Arial"/>
          <w:lang w:val="en-US"/>
        </w:rPr>
        <w:t>o be adopted in both power and industry sectors as it is available commercially.</w:t>
      </w:r>
      <w:r w:rsidR="00A765D8" w:rsidRPr="00581D8D">
        <w:rPr>
          <w:rFonts w:ascii="Arial" w:hAnsi="Arial" w:cs="Arial"/>
          <w:lang w:val="en-US"/>
        </w:rPr>
        <w:t xml:space="preserve"> CCS retrofitting for </w:t>
      </w:r>
      <w:r w:rsidR="009C3E1B" w:rsidRPr="00581D8D">
        <w:rPr>
          <w:rFonts w:ascii="Arial" w:hAnsi="Arial" w:cs="Arial"/>
          <w:lang w:val="en-US"/>
        </w:rPr>
        <w:t>gas-fired power plants</w:t>
      </w:r>
      <w:r w:rsidR="00D4729F" w:rsidRPr="00581D8D">
        <w:rPr>
          <w:rFonts w:ascii="Arial" w:hAnsi="Arial" w:cs="Arial"/>
          <w:lang w:val="en-US"/>
        </w:rPr>
        <w:t xml:space="preserve"> </w:t>
      </w:r>
      <w:r w:rsidR="00E478AE">
        <w:rPr>
          <w:rFonts w:ascii="Arial" w:hAnsi="Arial" w:cs="Arial"/>
          <w:lang w:val="en-US"/>
        </w:rPr>
        <w:t>will become</w:t>
      </w:r>
      <w:r w:rsidR="00D4729F" w:rsidRPr="00581D8D">
        <w:rPr>
          <w:rFonts w:ascii="Arial" w:hAnsi="Arial" w:cs="Arial"/>
          <w:lang w:val="en-US"/>
        </w:rPr>
        <w:t xml:space="preserve"> available in 2030</w:t>
      </w:r>
      <w:r w:rsidR="00E478AE">
        <w:rPr>
          <w:rFonts w:ascii="Arial" w:hAnsi="Arial" w:cs="Arial"/>
          <w:lang w:val="en-US"/>
        </w:rPr>
        <w:t>.</w:t>
      </w:r>
    </w:p>
    <w:p w14:paraId="632DE3CF" w14:textId="77777777" w:rsidR="00991A5C" w:rsidRPr="00581D8D" w:rsidRDefault="00991A5C" w:rsidP="00991A5C">
      <w:pPr>
        <w:pStyle w:val="NoSpacing"/>
        <w:jc w:val="both"/>
        <w:rPr>
          <w:rFonts w:ascii="Arial" w:hAnsi="Arial" w:cs="Arial"/>
          <w:lang w:val="en-US"/>
        </w:rPr>
      </w:pPr>
    </w:p>
    <w:p w14:paraId="30E0C8FC" w14:textId="5C08E5C9" w:rsidR="00AB7C57" w:rsidRPr="00581D8D" w:rsidRDefault="00195F02" w:rsidP="00753570">
      <w:pPr>
        <w:pStyle w:val="NoSpacing"/>
        <w:jc w:val="both"/>
        <w:rPr>
          <w:rFonts w:ascii="Arial" w:hAnsi="Arial" w:cs="Arial"/>
          <w:lang w:val="en-US"/>
        </w:rPr>
      </w:pPr>
      <w:r w:rsidRPr="00581D8D">
        <w:rPr>
          <w:rFonts w:ascii="Arial" w:hAnsi="Arial" w:cs="Arial"/>
          <w:lang w:val="en-US"/>
        </w:rPr>
        <w:t xml:space="preserve">The availability of CCS and </w:t>
      </w:r>
      <w:r w:rsidR="005D029C" w:rsidRPr="00581D8D">
        <w:rPr>
          <w:rFonts w:ascii="Arial" w:hAnsi="Arial" w:cs="Arial"/>
          <w:lang w:val="en-US"/>
        </w:rPr>
        <w:t>maximizing</w:t>
      </w:r>
      <w:r w:rsidRPr="00581D8D">
        <w:rPr>
          <w:rFonts w:ascii="Arial" w:hAnsi="Arial" w:cs="Arial"/>
          <w:lang w:val="en-US"/>
        </w:rPr>
        <w:t xml:space="preserve"> the use of domestic </w:t>
      </w:r>
      <w:r w:rsidR="007754B6" w:rsidRPr="00581D8D">
        <w:rPr>
          <w:rFonts w:ascii="Arial" w:hAnsi="Arial" w:cs="Arial"/>
          <w:lang w:val="en-US"/>
        </w:rPr>
        <w:t>renewable</w:t>
      </w:r>
      <w:r w:rsidRPr="00581D8D">
        <w:rPr>
          <w:rFonts w:ascii="Arial" w:hAnsi="Arial" w:cs="Arial"/>
          <w:lang w:val="en-US"/>
        </w:rPr>
        <w:t xml:space="preserve"> resources may see the Philippines producing hydrogen (</w:t>
      </w:r>
      <w:r w:rsidR="000414A5">
        <w:rPr>
          <w:rFonts w:ascii="Arial" w:hAnsi="Arial" w:cs="Arial"/>
          <w:lang w:val="en-US"/>
        </w:rPr>
        <w:t>green and blue</w:t>
      </w:r>
      <w:r w:rsidRPr="00581D8D">
        <w:rPr>
          <w:rFonts w:ascii="Arial" w:hAnsi="Arial" w:cs="Arial"/>
          <w:lang w:val="en-US"/>
        </w:rPr>
        <w:t>)</w:t>
      </w:r>
      <w:r w:rsidR="00B817B0" w:rsidRPr="00581D8D">
        <w:rPr>
          <w:rFonts w:ascii="Arial" w:hAnsi="Arial" w:cs="Arial"/>
          <w:lang w:val="en-US"/>
        </w:rPr>
        <w:t xml:space="preserve">, which will </w:t>
      </w:r>
      <w:r w:rsidR="000121DD" w:rsidRPr="00581D8D">
        <w:rPr>
          <w:rFonts w:ascii="Arial" w:hAnsi="Arial" w:cs="Arial"/>
          <w:lang w:val="en-US"/>
        </w:rPr>
        <w:t>be for the demand sectors.</w:t>
      </w:r>
    </w:p>
    <w:sectPr w:rsidR="00AB7C57" w:rsidRPr="00581D8D" w:rsidSect="002A620E">
      <w:head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7C0DB" w14:textId="77777777" w:rsidR="00573E22" w:rsidRDefault="00573E22" w:rsidP="00117782">
      <w:pPr>
        <w:spacing w:after="0" w:line="240" w:lineRule="auto"/>
      </w:pPr>
      <w:r>
        <w:separator/>
      </w:r>
    </w:p>
  </w:endnote>
  <w:endnote w:type="continuationSeparator" w:id="0">
    <w:p w14:paraId="5137EA18" w14:textId="77777777" w:rsidR="00573E22" w:rsidRDefault="00573E22" w:rsidP="00117782">
      <w:pPr>
        <w:spacing w:after="0" w:line="240" w:lineRule="auto"/>
      </w:pPr>
      <w:r>
        <w:continuationSeparator/>
      </w:r>
    </w:p>
  </w:endnote>
  <w:endnote w:type="continuationNotice" w:id="1">
    <w:p w14:paraId="04A1D8C3" w14:textId="77777777" w:rsidR="00573E22" w:rsidRDefault="00573E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2E009" w14:textId="77777777" w:rsidR="00573E22" w:rsidRDefault="00573E22" w:rsidP="00117782">
      <w:pPr>
        <w:spacing w:after="0" w:line="240" w:lineRule="auto"/>
      </w:pPr>
      <w:r>
        <w:separator/>
      </w:r>
    </w:p>
  </w:footnote>
  <w:footnote w:type="continuationSeparator" w:id="0">
    <w:p w14:paraId="448FC82F" w14:textId="77777777" w:rsidR="00573E22" w:rsidRDefault="00573E22" w:rsidP="00117782">
      <w:pPr>
        <w:spacing w:after="0" w:line="240" w:lineRule="auto"/>
      </w:pPr>
      <w:r>
        <w:continuationSeparator/>
      </w:r>
    </w:p>
  </w:footnote>
  <w:footnote w:type="continuationNotice" w:id="1">
    <w:p w14:paraId="19F2F17E" w14:textId="77777777" w:rsidR="00573E22" w:rsidRDefault="00573E22">
      <w:pPr>
        <w:spacing w:after="0" w:line="240" w:lineRule="auto"/>
      </w:pPr>
    </w:p>
  </w:footnote>
  <w:footnote w:id="2">
    <w:p w14:paraId="4F57CC37" w14:textId="7906B134" w:rsidR="00924A16" w:rsidRPr="00924A16" w:rsidRDefault="00924A16">
      <w:pPr>
        <w:pStyle w:val="FootnoteText"/>
        <w:rPr>
          <w:lang w:val="en-US"/>
        </w:rPr>
      </w:pPr>
      <w:r>
        <w:rPr>
          <w:rStyle w:val="FootnoteReference"/>
        </w:rPr>
        <w:footnoteRef/>
      </w:r>
      <w:r>
        <w:t xml:space="preserve"> </w:t>
      </w:r>
      <w:hyperlink r:id="rId1" w:history="1">
        <w:r w:rsidRPr="006E327E">
          <w:rPr>
            <w:rStyle w:val="Hyperlink"/>
          </w:rPr>
          <w:t>https://unfccc.int/sites/default/files/NDC/2022-06/Philippines%20-%20NDC.pdf</w:t>
        </w:r>
      </w:hyperlink>
      <w:r>
        <w:tab/>
      </w:r>
    </w:p>
  </w:footnote>
  <w:footnote w:id="3">
    <w:p w14:paraId="7D3316BC" w14:textId="7435B4DB" w:rsidR="00807CF7" w:rsidRPr="00807CF7" w:rsidRDefault="00807CF7">
      <w:pPr>
        <w:pStyle w:val="FootnoteText"/>
        <w:rPr>
          <w:lang w:val="en-US"/>
        </w:rPr>
      </w:pPr>
      <w:r>
        <w:rPr>
          <w:rStyle w:val="FootnoteReference"/>
        </w:rPr>
        <w:footnoteRef/>
      </w:r>
      <w:r>
        <w:t xml:space="preserve"> </w:t>
      </w:r>
      <w:hyperlink r:id="rId2" w:history="1">
        <w:r w:rsidR="00A062D4" w:rsidRPr="006E327E">
          <w:rPr>
            <w:rStyle w:val="Hyperlink"/>
          </w:rPr>
          <w:t>https://www.doe.gov.ph/sites/default/files/pdf/announcements/DOE%20DOTR%20IRR%20EVIDA%2008212022.pdf?withshield=2</w:t>
        </w:r>
      </w:hyperlink>
      <w:r w:rsidR="00A062D4">
        <w:tab/>
      </w:r>
    </w:p>
  </w:footnote>
  <w:footnote w:id="4">
    <w:p w14:paraId="07492C4C" w14:textId="427BFE61" w:rsidR="003E6E01" w:rsidRPr="003E6E01" w:rsidRDefault="003E6E01">
      <w:pPr>
        <w:pStyle w:val="FootnoteText"/>
        <w:rPr>
          <w:lang w:val="en-US"/>
        </w:rPr>
      </w:pPr>
      <w:r>
        <w:rPr>
          <w:rStyle w:val="FootnoteReference"/>
        </w:rPr>
        <w:footnoteRef/>
      </w:r>
      <w:r>
        <w:t xml:space="preserve"> </w:t>
      </w:r>
      <w:r w:rsidR="00705639" w:rsidRPr="00705639">
        <w:t>https://www.doe.gov.ph/sites/default/files/pdf/energy_efficiency/CREVI%20as%20of%2005-04-2023.pdf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AACC" w14:textId="6C095A0C" w:rsidR="00117782" w:rsidRPr="00117782" w:rsidRDefault="00117782" w:rsidP="00117782">
    <w:pPr>
      <w:pStyle w:val="Header"/>
      <w:jc w:val="center"/>
      <w:rPr>
        <w:color w:val="FF0000"/>
        <w:lang w:val="en-US"/>
      </w:rPr>
    </w:pPr>
    <w:r w:rsidRPr="00117782">
      <w:rPr>
        <w:color w:val="FF0000"/>
        <w:lang w:val="en-US"/>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2D4F"/>
    <w:multiLevelType w:val="hybridMultilevel"/>
    <w:tmpl w:val="ED3EEE0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6562F"/>
    <w:multiLevelType w:val="hybridMultilevel"/>
    <w:tmpl w:val="22FC9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E1E3D"/>
    <w:multiLevelType w:val="hybridMultilevel"/>
    <w:tmpl w:val="EA72B09E"/>
    <w:lvl w:ilvl="0" w:tplc="537C173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270BD"/>
    <w:multiLevelType w:val="hybridMultilevel"/>
    <w:tmpl w:val="9E14F800"/>
    <w:lvl w:ilvl="0" w:tplc="CD7A4D6A">
      <w:start w:val="1"/>
      <w:numFmt w:val="bullet"/>
      <w:lvlText w:val="•"/>
      <w:lvlJc w:val="left"/>
      <w:pPr>
        <w:tabs>
          <w:tab w:val="num" w:pos="720"/>
        </w:tabs>
        <w:ind w:left="720" w:hanging="360"/>
      </w:pPr>
      <w:rPr>
        <w:rFonts w:ascii="Arial" w:hAnsi="Arial" w:hint="default"/>
      </w:rPr>
    </w:lvl>
    <w:lvl w:ilvl="1" w:tplc="6BDAEAAA" w:tentative="1">
      <w:start w:val="1"/>
      <w:numFmt w:val="bullet"/>
      <w:lvlText w:val="•"/>
      <w:lvlJc w:val="left"/>
      <w:pPr>
        <w:tabs>
          <w:tab w:val="num" w:pos="1440"/>
        </w:tabs>
        <w:ind w:left="1440" w:hanging="360"/>
      </w:pPr>
      <w:rPr>
        <w:rFonts w:ascii="Arial" w:hAnsi="Arial" w:hint="default"/>
      </w:rPr>
    </w:lvl>
    <w:lvl w:ilvl="2" w:tplc="169263C0" w:tentative="1">
      <w:start w:val="1"/>
      <w:numFmt w:val="bullet"/>
      <w:lvlText w:val="•"/>
      <w:lvlJc w:val="left"/>
      <w:pPr>
        <w:tabs>
          <w:tab w:val="num" w:pos="2160"/>
        </w:tabs>
        <w:ind w:left="2160" w:hanging="360"/>
      </w:pPr>
      <w:rPr>
        <w:rFonts w:ascii="Arial" w:hAnsi="Arial" w:hint="default"/>
      </w:rPr>
    </w:lvl>
    <w:lvl w:ilvl="3" w:tplc="129AF550" w:tentative="1">
      <w:start w:val="1"/>
      <w:numFmt w:val="bullet"/>
      <w:lvlText w:val="•"/>
      <w:lvlJc w:val="left"/>
      <w:pPr>
        <w:tabs>
          <w:tab w:val="num" w:pos="2880"/>
        </w:tabs>
        <w:ind w:left="2880" w:hanging="360"/>
      </w:pPr>
      <w:rPr>
        <w:rFonts w:ascii="Arial" w:hAnsi="Arial" w:hint="default"/>
      </w:rPr>
    </w:lvl>
    <w:lvl w:ilvl="4" w:tplc="AAA61E2C" w:tentative="1">
      <w:start w:val="1"/>
      <w:numFmt w:val="bullet"/>
      <w:lvlText w:val="•"/>
      <w:lvlJc w:val="left"/>
      <w:pPr>
        <w:tabs>
          <w:tab w:val="num" w:pos="3600"/>
        </w:tabs>
        <w:ind w:left="3600" w:hanging="360"/>
      </w:pPr>
      <w:rPr>
        <w:rFonts w:ascii="Arial" w:hAnsi="Arial" w:hint="default"/>
      </w:rPr>
    </w:lvl>
    <w:lvl w:ilvl="5" w:tplc="D8667654" w:tentative="1">
      <w:start w:val="1"/>
      <w:numFmt w:val="bullet"/>
      <w:lvlText w:val="•"/>
      <w:lvlJc w:val="left"/>
      <w:pPr>
        <w:tabs>
          <w:tab w:val="num" w:pos="4320"/>
        </w:tabs>
        <w:ind w:left="4320" w:hanging="360"/>
      </w:pPr>
      <w:rPr>
        <w:rFonts w:ascii="Arial" w:hAnsi="Arial" w:hint="default"/>
      </w:rPr>
    </w:lvl>
    <w:lvl w:ilvl="6" w:tplc="F38E0F26" w:tentative="1">
      <w:start w:val="1"/>
      <w:numFmt w:val="bullet"/>
      <w:lvlText w:val="•"/>
      <w:lvlJc w:val="left"/>
      <w:pPr>
        <w:tabs>
          <w:tab w:val="num" w:pos="5040"/>
        </w:tabs>
        <w:ind w:left="5040" w:hanging="360"/>
      </w:pPr>
      <w:rPr>
        <w:rFonts w:ascii="Arial" w:hAnsi="Arial" w:hint="default"/>
      </w:rPr>
    </w:lvl>
    <w:lvl w:ilvl="7" w:tplc="7194987C" w:tentative="1">
      <w:start w:val="1"/>
      <w:numFmt w:val="bullet"/>
      <w:lvlText w:val="•"/>
      <w:lvlJc w:val="left"/>
      <w:pPr>
        <w:tabs>
          <w:tab w:val="num" w:pos="5760"/>
        </w:tabs>
        <w:ind w:left="5760" w:hanging="360"/>
      </w:pPr>
      <w:rPr>
        <w:rFonts w:ascii="Arial" w:hAnsi="Arial" w:hint="default"/>
      </w:rPr>
    </w:lvl>
    <w:lvl w:ilvl="8" w:tplc="46E677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91084F"/>
    <w:multiLevelType w:val="hybridMultilevel"/>
    <w:tmpl w:val="E662B9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F0116"/>
    <w:multiLevelType w:val="hybridMultilevel"/>
    <w:tmpl w:val="9AD68D84"/>
    <w:lvl w:ilvl="0" w:tplc="7752EB6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A65C6"/>
    <w:multiLevelType w:val="hybridMultilevel"/>
    <w:tmpl w:val="2304C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227BE"/>
    <w:multiLevelType w:val="hybridMultilevel"/>
    <w:tmpl w:val="A4FAA398"/>
    <w:lvl w:ilvl="0" w:tplc="A56A42F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7521F"/>
    <w:multiLevelType w:val="hybridMultilevel"/>
    <w:tmpl w:val="155A5DB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07F72"/>
    <w:multiLevelType w:val="hybridMultilevel"/>
    <w:tmpl w:val="2430B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E274F"/>
    <w:multiLevelType w:val="hybridMultilevel"/>
    <w:tmpl w:val="675A5982"/>
    <w:lvl w:ilvl="0" w:tplc="FB241B6A">
      <w:start w:val="1"/>
      <w:numFmt w:val="decimal"/>
      <w:lvlText w:val="%1."/>
      <w:lvlJc w:val="left"/>
      <w:pPr>
        <w:ind w:left="36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E264C"/>
    <w:multiLevelType w:val="hybridMultilevel"/>
    <w:tmpl w:val="D77897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9F4A1A"/>
    <w:multiLevelType w:val="hybridMultilevel"/>
    <w:tmpl w:val="05FC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1A4B4F"/>
    <w:multiLevelType w:val="hybridMultilevel"/>
    <w:tmpl w:val="C23C2952"/>
    <w:lvl w:ilvl="0" w:tplc="EFA8BB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5262D"/>
    <w:multiLevelType w:val="hybridMultilevel"/>
    <w:tmpl w:val="7F044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EC3A4F"/>
    <w:multiLevelType w:val="hybridMultilevel"/>
    <w:tmpl w:val="CEB0E40A"/>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7A4306"/>
    <w:multiLevelType w:val="hybridMultilevel"/>
    <w:tmpl w:val="F1FACD44"/>
    <w:lvl w:ilvl="0" w:tplc="0409000F">
      <w:start w:val="1"/>
      <w:numFmt w:val="decimal"/>
      <w:lvlText w:val="%1."/>
      <w:lvlJc w:val="left"/>
      <w:pPr>
        <w:ind w:left="720" w:hanging="360"/>
      </w:pPr>
      <w:rPr>
        <w:rFonts w:hint="default"/>
        <w:b w:val="0"/>
        <w:bCs w:val="0"/>
      </w:rPr>
    </w:lvl>
    <w:lvl w:ilvl="1" w:tplc="5BD8F402">
      <w:start w:val="1"/>
      <w:numFmt w:val="lowerRoman"/>
      <w:lvlText w:val="%2."/>
      <w:lvlJc w:val="right"/>
      <w:pPr>
        <w:ind w:left="1440" w:hanging="360"/>
      </w:pPr>
      <w:rPr>
        <w:b w:val="0"/>
        <w:bCs w:val="0"/>
      </w:r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096679"/>
    <w:multiLevelType w:val="hybridMultilevel"/>
    <w:tmpl w:val="36BC4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8F188F"/>
    <w:multiLevelType w:val="hybridMultilevel"/>
    <w:tmpl w:val="B93EEEBC"/>
    <w:lvl w:ilvl="0" w:tplc="5078A26E">
      <w:start w:val="1"/>
      <w:numFmt w:val="bullet"/>
      <w:lvlText w:val="•"/>
      <w:lvlJc w:val="left"/>
      <w:pPr>
        <w:tabs>
          <w:tab w:val="num" w:pos="720"/>
        </w:tabs>
        <w:ind w:left="720" w:hanging="360"/>
      </w:pPr>
      <w:rPr>
        <w:rFonts w:ascii="Arial" w:hAnsi="Arial" w:hint="default"/>
      </w:rPr>
    </w:lvl>
    <w:lvl w:ilvl="1" w:tplc="E19826DA">
      <w:numFmt w:val="bullet"/>
      <w:lvlText w:val="o"/>
      <w:lvlJc w:val="left"/>
      <w:pPr>
        <w:tabs>
          <w:tab w:val="num" w:pos="1440"/>
        </w:tabs>
        <w:ind w:left="1440" w:hanging="360"/>
      </w:pPr>
      <w:rPr>
        <w:rFonts w:ascii="Courier New" w:hAnsi="Courier New" w:hint="default"/>
      </w:rPr>
    </w:lvl>
    <w:lvl w:ilvl="2" w:tplc="DD4A2030" w:tentative="1">
      <w:start w:val="1"/>
      <w:numFmt w:val="bullet"/>
      <w:lvlText w:val="•"/>
      <w:lvlJc w:val="left"/>
      <w:pPr>
        <w:tabs>
          <w:tab w:val="num" w:pos="2160"/>
        </w:tabs>
        <w:ind w:left="2160" w:hanging="360"/>
      </w:pPr>
      <w:rPr>
        <w:rFonts w:ascii="Arial" w:hAnsi="Arial" w:hint="default"/>
      </w:rPr>
    </w:lvl>
    <w:lvl w:ilvl="3" w:tplc="46664A7C" w:tentative="1">
      <w:start w:val="1"/>
      <w:numFmt w:val="bullet"/>
      <w:lvlText w:val="•"/>
      <w:lvlJc w:val="left"/>
      <w:pPr>
        <w:tabs>
          <w:tab w:val="num" w:pos="2880"/>
        </w:tabs>
        <w:ind w:left="2880" w:hanging="360"/>
      </w:pPr>
      <w:rPr>
        <w:rFonts w:ascii="Arial" w:hAnsi="Arial" w:hint="default"/>
      </w:rPr>
    </w:lvl>
    <w:lvl w:ilvl="4" w:tplc="05C24048" w:tentative="1">
      <w:start w:val="1"/>
      <w:numFmt w:val="bullet"/>
      <w:lvlText w:val="•"/>
      <w:lvlJc w:val="left"/>
      <w:pPr>
        <w:tabs>
          <w:tab w:val="num" w:pos="3600"/>
        </w:tabs>
        <w:ind w:left="3600" w:hanging="360"/>
      </w:pPr>
      <w:rPr>
        <w:rFonts w:ascii="Arial" w:hAnsi="Arial" w:hint="default"/>
      </w:rPr>
    </w:lvl>
    <w:lvl w:ilvl="5" w:tplc="53B00772" w:tentative="1">
      <w:start w:val="1"/>
      <w:numFmt w:val="bullet"/>
      <w:lvlText w:val="•"/>
      <w:lvlJc w:val="left"/>
      <w:pPr>
        <w:tabs>
          <w:tab w:val="num" w:pos="4320"/>
        </w:tabs>
        <w:ind w:left="4320" w:hanging="360"/>
      </w:pPr>
      <w:rPr>
        <w:rFonts w:ascii="Arial" w:hAnsi="Arial" w:hint="default"/>
      </w:rPr>
    </w:lvl>
    <w:lvl w:ilvl="6" w:tplc="2196C432" w:tentative="1">
      <w:start w:val="1"/>
      <w:numFmt w:val="bullet"/>
      <w:lvlText w:val="•"/>
      <w:lvlJc w:val="left"/>
      <w:pPr>
        <w:tabs>
          <w:tab w:val="num" w:pos="5040"/>
        </w:tabs>
        <w:ind w:left="5040" w:hanging="360"/>
      </w:pPr>
      <w:rPr>
        <w:rFonts w:ascii="Arial" w:hAnsi="Arial" w:hint="default"/>
      </w:rPr>
    </w:lvl>
    <w:lvl w:ilvl="7" w:tplc="52EEC9EE" w:tentative="1">
      <w:start w:val="1"/>
      <w:numFmt w:val="bullet"/>
      <w:lvlText w:val="•"/>
      <w:lvlJc w:val="left"/>
      <w:pPr>
        <w:tabs>
          <w:tab w:val="num" w:pos="5760"/>
        </w:tabs>
        <w:ind w:left="5760" w:hanging="360"/>
      </w:pPr>
      <w:rPr>
        <w:rFonts w:ascii="Arial" w:hAnsi="Arial" w:hint="default"/>
      </w:rPr>
    </w:lvl>
    <w:lvl w:ilvl="8" w:tplc="33AC959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2B256FF"/>
    <w:multiLevelType w:val="hybridMultilevel"/>
    <w:tmpl w:val="587A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785E6F"/>
    <w:multiLevelType w:val="hybridMultilevel"/>
    <w:tmpl w:val="39D875B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2533981">
    <w:abstractNumId w:val="18"/>
  </w:num>
  <w:num w:numId="2" w16cid:durableId="1799449602">
    <w:abstractNumId w:val="3"/>
  </w:num>
  <w:num w:numId="3" w16cid:durableId="1593201155">
    <w:abstractNumId w:val="19"/>
  </w:num>
  <w:num w:numId="4" w16cid:durableId="291711427">
    <w:abstractNumId w:val="12"/>
  </w:num>
  <w:num w:numId="5" w16cid:durableId="1709866776">
    <w:abstractNumId w:val="1"/>
  </w:num>
  <w:num w:numId="6" w16cid:durableId="1600140804">
    <w:abstractNumId w:val="11"/>
  </w:num>
  <w:num w:numId="7" w16cid:durableId="780687741">
    <w:abstractNumId w:val="16"/>
  </w:num>
  <w:num w:numId="8" w16cid:durableId="1053307590">
    <w:abstractNumId w:val="2"/>
  </w:num>
  <w:num w:numId="9" w16cid:durableId="443307288">
    <w:abstractNumId w:val="15"/>
  </w:num>
  <w:num w:numId="10" w16cid:durableId="1824393839">
    <w:abstractNumId w:val="5"/>
  </w:num>
  <w:num w:numId="11" w16cid:durableId="1466779359">
    <w:abstractNumId w:val="9"/>
  </w:num>
  <w:num w:numId="12" w16cid:durableId="1000693152">
    <w:abstractNumId w:val="8"/>
  </w:num>
  <w:num w:numId="13" w16cid:durableId="2010718573">
    <w:abstractNumId w:val="17"/>
  </w:num>
  <w:num w:numId="14" w16cid:durableId="1247418908">
    <w:abstractNumId w:val="0"/>
  </w:num>
  <w:num w:numId="15" w16cid:durableId="1163744307">
    <w:abstractNumId w:val="7"/>
  </w:num>
  <w:num w:numId="16" w16cid:durableId="1754742922">
    <w:abstractNumId w:val="20"/>
  </w:num>
  <w:num w:numId="17" w16cid:durableId="1313213499">
    <w:abstractNumId w:val="4"/>
  </w:num>
  <w:num w:numId="18" w16cid:durableId="1992906360">
    <w:abstractNumId w:val="6"/>
  </w:num>
  <w:num w:numId="19" w16cid:durableId="1618372989">
    <w:abstractNumId w:val="14"/>
  </w:num>
  <w:num w:numId="20" w16cid:durableId="1680309938">
    <w:abstractNumId w:val="13"/>
  </w:num>
  <w:num w:numId="21" w16cid:durableId="3929694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7673C3"/>
    <w:rsid w:val="0000112C"/>
    <w:rsid w:val="00004ED5"/>
    <w:rsid w:val="000121DD"/>
    <w:rsid w:val="00017829"/>
    <w:rsid w:val="000216A1"/>
    <w:rsid w:val="00022A88"/>
    <w:rsid w:val="000234F8"/>
    <w:rsid w:val="000257F8"/>
    <w:rsid w:val="0002710E"/>
    <w:rsid w:val="00030C61"/>
    <w:rsid w:val="00034536"/>
    <w:rsid w:val="00034F77"/>
    <w:rsid w:val="000412C7"/>
    <w:rsid w:val="000414A5"/>
    <w:rsid w:val="000417D7"/>
    <w:rsid w:val="00042C38"/>
    <w:rsid w:val="000431FF"/>
    <w:rsid w:val="0004457D"/>
    <w:rsid w:val="00050B18"/>
    <w:rsid w:val="000617F3"/>
    <w:rsid w:val="0006310F"/>
    <w:rsid w:val="00070658"/>
    <w:rsid w:val="00071306"/>
    <w:rsid w:val="00072D7A"/>
    <w:rsid w:val="0007705E"/>
    <w:rsid w:val="00077F48"/>
    <w:rsid w:val="00080090"/>
    <w:rsid w:val="0008153D"/>
    <w:rsid w:val="00081B0A"/>
    <w:rsid w:val="00081C44"/>
    <w:rsid w:val="00083EA6"/>
    <w:rsid w:val="0008745B"/>
    <w:rsid w:val="0008759A"/>
    <w:rsid w:val="00093894"/>
    <w:rsid w:val="000949AA"/>
    <w:rsid w:val="00097084"/>
    <w:rsid w:val="000A0634"/>
    <w:rsid w:val="000A1D6B"/>
    <w:rsid w:val="000B038B"/>
    <w:rsid w:val="000B242B"/>
    <w:rsid w:val="000B577D"/>
    <w:rsid w:val="000B656B"/>
    <w:rsid w:val="000B7857"/>
    <w:rsid w:val="000C238A"/>
    <w:rsid w:val="000C4726"/>
    <w:rsid w:val="000C6B00"/>
    <w:rsid w:val="000D0D44"/>
    <w:rsid w:val="000D5995"/>
    <w:rsid w:val="000D64DC"/>
    <w:rsid w:val="000E1F5D"/>
    <w:rsid w:val="000E24F3"/>
    <w:rsid w:val="000E338A"/>
    <w:rsid w:val="000E4B0E"/>
    <w:rsid w:val="000F050E"/>
    <w:rsid w:val="000F3014"/>
    <w:rsid w:val="000F6AAF"/>
    <w:rsid w:val="000F6B8F"/>
    <w:rsid w:val="000F7D83"/>
    <w:rsid w:val="001150B6"/>
    <w:rsid w:val="00117782"/>
    <w:rsid w:val="001249F2"/>
    <w:rsid w:val="00126B2E"/>
    <w:rsid w:val="00131D95"/>
    <w:rsid w:val="001423CC"/>
    <w:rsid w:val="00142F93"/>
    <w:rsid w:val="001437E7"/>
    <w:rsid w:val="001457F4"/>
    <w:rsid w:val="00146B34"/>
    <w:rsid w:val="00146E21"/>
    <w:rsid w:val="00147EF8"/>
    <w:rsid w:val="0015004D"/>
    <w:rsid w:val="00155EFD"/>
    <w:rsid w:val="00156B2B"/>
    <w:rsid w:val="00157846"/>
    <w:rsid w:val="00161FD3"/>
    <w:rsid w:val="00163BE2"/>
    <w:rsid w:val="001646D1"/>
    <w:rsid w:val="001664DC"/>
    <w:rsid w:val="00170F9C"/>
    <w:rsid w:val="001851B2"/>
    <w:rsid w:val="001860F2"/>
    <w:rsid w:val="0019326E"/>
    <w:rsid w:val="00194DEF"/>
    <w:rsid w:val="00195F02"/>
    <w:rsid w:val="00196663"/>
    <w:rsid w:val="001974F2"/>
    <w:rsid w:val="001A0520"/>
    <w:rsid w:val="001A0DE8"/>
    <w:rsid w:val="001A576D"/>
    <w:rsid w:val="001A6D28"/>
    <w:rsid w:val="001B15E5"/>
    <w:rsid w:val="001B3E4D"/>
    <w:rsid w:val="001B4788"/>
    <w:rsid w:val="001B724F"/>
    <w:rsid w:val="001C2399"/>
    <w:rsid w:val="001C3667"/>
    <w:rsid w:val="001D0449"/>
    <w:rsid w:val="001D21F2"/>
    <w:rsid w:val="001D3B04"/>
    <w:rsid w:val="001E4D2F"/>
    <w:rsid w:val="001E599B"/>
    <w:rsid w:val="001F22FB"/>
    <w:rsid w:val="001F6127"/>
    <w:rsid w:val="001F6131"/>
    <w:rsid w:val="001F7C96"/>
    <w:rsid w:val="002120CD"/>
    <w:rsid w:val="0021236B"/>
    <w:rsid w:val="002132AD"/>
    <w:rsid w:val="00213E3D"/>
    <w:rsid w:val="00216D34"/>
    <w:rsid w:val="0022194E"/>
    <w:rsid w:val="00234B78"/>
    <w:rsid w:val="00246185"/>
    <w:rsid w:val="002500FC"/>
    <w:rsid w:val="00252A78"/>
    <w:rsid w:val="00253FA9"/>
    <w:rsid w:val="00257795"/>
    <w:rsid w:val="002623A1"/>
    <w:rsid w:val="00262A6D"/>
    <w:rsid w:val="00273C9D"/>
    <w:rsid w:val="00273F2E"/>
    <w:rsid w:val="002744B9"/>
    <w:rsid w:val="00274691"/>
    <w:rsid w:val="00275628"/>
    <w:rsid w:val="00276169"/>
    <w:rsid w:val="00281339"/>
    <w:rsid w:val="002843D9"/>
    <w:rsid w:val="002904CA"/>
    <w:rsid w:val="0029107E"/>
    <w:rsid w:val="0029352A"/>
    <w:rsid w:val="00295D8D"/>
    <w:rsid w:val="00297BD2"/>
    <w:rsid w:val="002A11EC"/>
    <w:rsid w:val="002B0761"/>
    <w:rsid w:val="002B0A44"/>
    <w:rsid w:val="002B4291"/>
    <w:rsid w:val="002C5646"/>
    <w:rsid w:val="002C5A08"/>
    <w:rsid w:val="002C6A4D"/>
    <w:rsid w:val="002C7C2E"/>
    <w:rsid w:val="002D1D1D"/>
    <w:rsid w:val="002D3E6D"/>
    <w:rsid w:val="002D68E9"/>
    <w:rsid w:val="002D717A"/>
    <w:rsid w:val="002D7B55"/>
    <w:rsid w:val="002E0AB8"/>
    <w:rsid w:val="002E4B55"/>
    <w:rsid w:val="002E75EE"/>
    <w:rsid w:val="002F2A98"/>
    <w:rsid w:val="00301F60"/>
    <w:rsid w:val="00302AFD"/>
    <w:rsid w:val="0030314C"/>
    <w:rsid w:val="00311B4E"/>
    <w:rsid w:val="003122BD"/>
    <w:rsid w:val="0031427C"/>
    <w:rsid w:val="00314801"/>
    <w:rsid w:val="00316A63"/>
    <w:rsid w:val="003173CF"/>
    <w:rsid w:val="00321CED"/>
    <w:rsid w:val="00327706"/>
    <w:rsid w:val="00330B4A"/>
    <w:rsid w:val="003364C5"/>
    <w:rsid w:val="00340900"/>
    <w:rsid w:val="00340DF9"/>
    <w:rsid w:val="0035556D"/>
    <w:rsid w:val="00355FC9"/>
    <w:rsid w:val="0035607B"/>
    <w:rsid w:val="00357157"/>
    <w:rsid w:val="00363B18"/>
    <w:rsid w:val="00364496"/>
    <w:rsid w:val="00370281"/>
    <w:rsid w:val="00376AAE"/>
    <w:rsid w:val="00381104"/>
    <w:rsid w:val="00382C00"/>
    <w:rsid w:val="003862C1"/>
    <w:rsid w:val="003916B2"/>
    <w:rsid w:val="0039171B"/>
    <w:rsid w:val="003941EE"/>
    <w:rsid w:val="0039790D"/>
    <w:rsid w:val="003A29CB"/>
    <w:rsid w:val="003A58FB"/>
    <w:rsid w:val="003B0250"/>
    <w:rsid w:val="003B5B89"/>
    <w:rsid w:val="003C0F3D"/>
    <w:rsid w:val="003C1080"/>
    <w:rsid w:val="003C10F2"/>
    <w:rsid w:val="003C136C"/>
    <w:rsid w:val="003C2E79"/>
    <w:rsid w:val="003C5F5C"/>
    <w:rsid w:val="003C655C"/>
    <w:rsid w:val="003D2BC4"/>
    <w:rsid w:val="003D37C4"/>
    <w:rsid w:val="003D530A"/>
    <w:rsid w:val="003D682B"/>
    <w:rsid w:val="003D79C5"/>
    <w:rsid w:val="003E3910"/>
    <w:rsid w:val="003E6E01"/>
    <w:rsid w:val="003F1DED"/>
    <w:rsid w:val="003F2281"/>
    <w:rsid w:val="003F4578"/>
    <w:rsid w:val="003F6F0E"/>
    <w:rsid w:val="003F74C5"/>
    <w:rsid w:val="004006F1"/>
    <w:rsid w:val="004060D0"/>
    <w:rsid w:val="0041018E"/>
    <w:rsid w:val="004101AD"/>
    <w:rsid w:val="00415624"/>
    <w:rsid w:val="00415DA7"/>
    <w:rsid w:val="00417CDB"/>
    <w:rsid w:val="00420609"/>
    <w:rsid w:val="00421D91"/>
    <w:rsid w:val="00422376"/>
    <w:rsid w:val="00423810"/>
    <w:rsid w:val="00424259"/>
    <w:rsid w:val="00436A30"/>
    <w:rsid w:val="00442C2A"/>
    <w:rsid w:val="00444CC6"/>
    <w:rsid w:val="004516BC"/>
    <w:rsid w:val="004677F0"/>
    <w:rsid w:val="0048055F"/>
    <w:rsid w:val="004815DC"/>
    <w:rsid w:val="004848B7"/>
    <w:rsid w:val="004957DB"/>
    <w:rsid w:val="004A191B"/>
    <w:rsid w:val="004A4A19"/>
    <w:rsid w:val="004A64E9"/>
    <w:rsid w:val="004A699E"/>
    <w:rsid w:val="004B092B"/>
    <w:rsid w:val="004B3276"/>
    <w:rsid w:val="004B6EC7"/>
    <w:rsid w:val="004B6ED7"/>
    <w:rsid w:val="004C06D2"/>
    <w:rsid w:val="004C20A4"/>
    <w:rsid w:val="004C34A3"/>
    <w:rsid w:val="004C4641"/>
    <w:rsid w:val="004C5079"/>
    <w:rsid w:val="004C53E2"/>
    <w:rsid w:val="004C68CF"/>
    <w:rsid w:val="004D0574"/>
    <w:rsid w:val="004F5811"/>
    <w:rsid w:val="004F5993"/>
    <w:rsid w:val="004F5B7E"/>
    <w:rsid w:val="004F7494"/>
    <w:rsid w:val="00502605"/>
    <w:rsid w:val="00516CF7"/>
    <w:rsid w:val="00520690"/>
    <w:rsid w:val="0052276A"/>
    <w:rsid w:val="005248F6"/>
    <w:rsid w:val="0052576A"/>
    <w:rsid w:val="00525F3F"/>
    <w:rsid w:val="005260E6"/>
    <w:rsid w:val="00526A93"/>
    <w:rsid w:val="00537B0A"/>
    <w:rsid w:val="00542A9B"/>
    <w:rsid w:val="00542DB3"/>
    <w:rsid w:val="00543FA0"/>
    <w:rsid w:val="00544A66"/>
    <w:rsid w:val="00552A9A"/>
    <w:rsid w:val="00553AAB"/>
    <w:rsid w:val="00554537"/>
    <w:rsid w:val="00560B2E"/>
    <w:rsid w:val="005637A5"/>
    <w:rsid w:val="00567975"/>
    <w:rsid w:val="00571CC3"/>
    <w:rsid w:val="005739F6"/>
    <w:rsid w:val="00573E22"/>
    <w:rsid w:val="00581D8D"/>
    <w:rsid w:val="00582817"/>
    <w:rsid w:val="005859F5"/>
    <w:rsid w:val="005876FC"/>
    <w:rsid w:val="00594F98"/>
    <w:rsid w:val="005A189E"/>
    <w:rsid w:val="005A2228"/>
    <w:rsid w:val="005B0908"/>
    <w:rsid w:val="005C1C73"/>
    <w:rsid w:val="005C3104"/>
    <w:rsid w:val="005C338F"/>
    <w:rsid w:val="005C4005"/>
    <w:rsid w:val="005C505E"/>
    <w:rsid w:val="005C65B9"/>
    <w:rsid w:val="005C73DA"/>
    <w:rsid w:val="005D029C"/>
    <w:rsid w:val="005D4F51"/>
    <w:rsid w:val="005D7399"/>
    <w:rsid w:val="005E10A3"/>
    <w:rsid w:val="005F1C9A"/>
    <w:rsid w:val="005F3172"/>
    <w:rsid w:val="005F3C65"/>
    <w:rsid w:val="006025C9"/>
    <w:rsid w:val="00607EED"/>
    <w:rsid w:val="00610F57"/>
    <w:rsid w:val="0062186F"/>
    <w:rsid w:val="00624F04"/>
    <w:rsid w:val="00632D97"/>
    <w:rsid w:val="006341C0"/>
    <w:rsid w:val="00634C83"/>
    <w:rsid w:val="00636082"/>
    <w:rsid w:val="006422CA"/>
    <w:rsid w:val="0064782E"/>
    <w:rsid w:val="00654ED3"/>
    <w:rsid w:val="00661788"/>
    <w:rsid w:val="00665B60"/>
    <w:rsid w:val="006762C6"/>
    <w:rsid w:val="00676480"/>
    <w:rsid w:val="0068047A"/>
    <w:rsid w:val="00681040"/>
    <w:rsid w:val="006909BD"/>
    <w:rsid w:val="00690A01"/>
    <w:rsid w:val="006916FE"/>
    <w:rsid w:val="006923BA"/>
    <w:rsid w:val="006A127E"/>
    <w:rsid w:val="006A3AD3"/>
    <w:rsid w:val="006A5003"/>
    <w:rsid w:val="006A57DB"/>
    <w:rsid w:val="006A6E60"/>
    <w:rsid w:val="006B56C4"/>
    <w:rsid w:val="006B6AB8"/>
    <w:rsid w:val="006B6E80"/>
    <w:rsid w:val="006B7898"/>
    <w:rsid w:val="006C2513"/>
    <w:rsid w:val="006C404F"/>
    <w:rsid w:val="006C4E32"/>
    <w:rsid w:val="006C603B"/>
    <w:rsid w:val="006D12D1"/>
    <w:rsid w:val="006D15E5"/>
    <w:rsid w:val="006D188E"/>
    <w:rsid w:val="006D1E33"/>
    <w:rsid w:val="006D1FCC"/>
    <w:rsid w:val="006D26F9"/>
    <w:rsid w:val="006D3610"/>
    <w:rsid w:val="006E1A6C"/>
    <w:rsid w:val="006F18FA"/>
    <w:rsid w:val="006F2A05"/>
    <w:rsid w:val="006F61B3"/>
    <w:rsid w:val="007029CD"/>
    <w:rsid w:val="00705639"/>
    <w:rsid w:val="00710B04"/>
    <w:rsid w:val="00714DEB"/>
    <w:rsid w:val="007174D1"/>
    <w:rsid w:val="00725448"/>
    <w:rsid w:val="0073600F"/>
    <w:rsid w:val="00736AE9"/>
    <w:rsid w:val="00737B70"/>
    <w:rsid w:val="007452F6"/>
    <w:rsid w:val="0074715E"/>
    <w:rsid w:val="0074789A"/>
    <w:rsid w:val="00753570"/>
    <w:rsid w:val="0075469E"/>
    <w:rsid w:val="00757018"/>
    <w:rsid w:val="00761190"/>
    <w:rsid w:val="00761F01"/>
    <w:rsid w:val="007631A7"/>
    <w:rsid w:val="00765A0B"/>
    <w:rsid w:val="007665EB"/>
    <w:rsid w:val="007675D1"/>
    <w:rsid w:val="00772CE1"/>
    <w:rsid w:val="007754B6"/>
    <w:rsid w:val="007802B4"/>
    <w:rsid w:val="007843A0"/>
    <w:rsid w:val="00784C1D"/>
    <w:rsid w:val="00786335"/>
    <w:rsid w:val="007901B8"/>
    <w:rsid w:val="007920CD"/>
    <w:rsid w:val="00792DD9"/>
    <w:rsid w:val="00796AF7"/>
    <w:rsid w:val="007A0E2A"/>
    <w:rsid w:val="007B0B12"/>
    <w:rsid w:val="007B16E3"/>
    <w:rsid w:val="007B5EAA"/>
    <w:rsid w:val="007C354F"/>
    <w:rsid w:val="007C4259"/>
    <w:rsid w:val="007D0457"/>
    <w:rsid w:val="007D0DA1"/>
    <w:rsid w:val="007D5A2E"/>
    <w:rsid w:val="007E0363"/>
    <w:rsid w:val="007E585F"/>
    <w:rsid w:val="007F67B5"/>
    <w:rsid w:val="00800783"/>
    <w:rsid w:val="00802392"/>
    <w:rsid w:val="00803491"/>
    <w:rsid w:val="00803589"/>
    <w:rsid w:val="008050D4"/>
    <w:rsid w:val="00807CF7"/>
    <w:rsid w:val="00821DE9"/>
    <w:rsid w:val="008254C8"/>
    <w:rsid w:val="00831A2C"/>
    <w:rsid w:val="00842071"/>
    <w:rsid w:val="008421EF"/>
    <w:rsid w:val="0084418C"/>
    <w:rsid w:val="008445E8"/>
    <w:rsid w:val="00847F41"/>
    <w:rsid w:val="00853E3F"/>
    <w:rsid w:val="00856374"/>
    <w:rsid w:val="00862EC4"/>
    <w:rsid w:val="0087104F"/>
    <w:rsid w:val="00872002"/>
    <w:rsid w:val="00874B49"/>
    <w:rsid w:val="00880B0E"/>
    <w:rsid w:val="00881966"/>
    <w:rsid w:val="008825BD"/>
    <w:rsid w:val="00882D0E"/>
    <w:rsid w:val="00887A6F"/>
    <w:rsid w:val="00887C78"/>
    <w:rsid w:val="00890D63"/>
    <w:rsid w:val="00894DB7"/>
    <w:rsid w:val="008970B7"/>
    <w:rsid w:val="00897552"/>
    <w:rsid w:val="00897F57"/>
    <w:rsid w:val="008A0230"/>
    <w:rsid w:val="008A2A12"/>
    <w:rsid w:val="008A32A4"/>
    <w:rsid w:val="008B0F6E"/>
    <w:rsid w:val="008B6A50"/>
    <w:rsid w:val="008C1404"/>
    <w:rsid w:val="008C46C2"/>
    <w:rsid w:val="008C6D71"/>
    <w:rsid w:val="008C7FC7"/>
    <w:rsid w:val="008D41EC"/>
    <w:rsid w:val="008D48E3"/>
    <w:rsid w:val="008E3C89"/>
    <w:rsid w:val="008E4470"/>
    <w:rsid w:val="008E460A"/>
    <w:rsid w:val="008E4AE3"/>
    <w:rsid w:val="008E5519"/>
    <w:rsid w:val="008F68F2"/>
    <w:rsid w:val="008F6EFB"/>
    <w:rsid w:val="00905944"/>
    <w:rsid w:val="009114D5"/>
    <w:rsid w:val="00912FB2"/>
    <w:rsid w:val="009213BD"/>
    <w:rsid w:val="00924A16"/>
    <w:rsid w:val="00924D3A"/>
    <w:rsid w:val="0092548F"/>
    <w:rsid w:val="00932293"/>
    <w:rsid w:val="0093596C"/>
    <w:rsid w:val="009410EF"/>
    <w:rsid w:val="00942188"/>
    <w:rsid w:val="00943CA8"/>
    <w:rsid w:val="00943F31"/>
    <w:rsid w:val="00945F69"/>
    <w:rsid w:val="00950DB0"/>
    <w:rsid w:val="009525CE"/>
    <w:rsid w:val="00953025"/>
    <w:rsid w:val="00954DE0"/>
    <w:rsid w:val="009602E1"/>
    <w:rsid w:val="00971683"/>
    <w:rsid w:val="00971D45"/>
    <w:rsid w:val="00972167"/>
    <w:rsid w:val="0097382F"/>
    <w:rsid w:val="009804AF"/>
    <w:rsid w:val="00986A2E"/>
    <w:rsid w:val="00990945"/>
    <w:rsid w:val="009918AA"/>
    <w:rsid w:val="00991A5C"/>
    <w:rsid w:val="009A2D1B"/>
    <w:rsid w:val="009A3E12"/>
    <w:rsid w:val="009A57F2"/>
    <w:rsid w:val="009A78BF"/>
    <w:rsid w:val="009A7A31"/>
    <w:rsid w:val="009B1878"/>
    <w:rsid w:val="009B32AA"/>
    <w:rsid w:val="009B3EDB"/>
    <w:rsid w:val="009C21DC"/>
    <w:rsid w:val="009C3E1B"/>
    <w:rsid w:val="009C598C"/>
    <w:rsid w:val="009C6635"/>
    <w:rsid w:val="009C6917"/>
    <w:rsid w:val="009D2004"/>
    <w:rsid w:val="009D25B1"/>
    <w:rsid w:val="009D7F3C"/>
    <w:rsid w:val="009E6593"/>
    <w:rsid w:val="009F0E02"/>
    <w:rsid w:val="009F586E"/>
    <w:rsid w:val="00A0042D"/>
    <w:rsid w:val="00A01C4A"/>
    <w:rsid w:val="00A01F1C"/>
    <w:rsid w:val="00A03F56"/>
    <w:rsid w:val="00A062D4"/>
    <w:rsid w:val="00A132C4"/>
    <w:rsid w:val="00A132E9"/>
    <w:rsid w:val="00A13719"/>
    <w:rsid w:val="00A17B7E"/>
    <w:rsid w:val="00A21601"/>
    <w:rsid w:val="00A27B0F"/>
    <w:rsid w:val="00A32D8F"/>
    <w:rsid w:val="00A36FB1"/>
    <w:rsid w:val="00A40AA1"/>
    <w:rsid w:val="00A43075"/>
    <w:rsid w:val="00A453DB"/>
    <w:rsid w:val="00A46F22"/>
    <w:rsid w:val="00A47E7D"/>
    <w:rsid w:val="00A47F46"/>
    <w:rsid w:val="00A5217D"/>
    <w:rsid w:val="00A53EDF"/>
    <w:rsid w:val="00A54C4D"/>
    <w:rsid w:val="00A60BC2"/>
    <w:rsid w:val="00A70E33"/>
    <w:rsid w:val="00A7185B"/>
    <w:rsid w:val="00A73BAA"/>
    <w:rsid w:val="00A75960"/>
    <w:rsid w:val="00A760B2"/>
    <w:rsid w:val="00A765D8"/>
    <w:rsid w:val="00A91176"/>
    <w:rsid w:val="00A94440"/>
    <w:rsid w:val="00A94550"/>
    <w:rsid w:val="00AA0F52"/>
    <w:rsid w:val="00AA2941"/>
    <w:rsid w:val="00AA46AA"/>
    <w:rsid w:val="00AA65BF"/>
    <w:rsid w:val="00AA65CB"/>
    <w:rsid w:val="00AB4E70"/>
    <w:rsid w:val="00AB5BE1"/>
    <w:rsid w:val="00AB7C57"/>
    <w:rsid w:val="00AC63C8"/>
    <w:rsid w:val="00AC7FDA"/>
    <w:rsid w:val="00AD24A3"/>
    <w:rsid w:val="00AD4416"/>
    <w:rsid w:val="00AD7442"/>
    <w:rsid w:val="00AE1F51"/>
    <w:rsid w:val="00AE6DD8"/>
    <w:rsid w:val="00AF0294"/>
    <w:rsid w:val="00AF3ED3"/>
    <w:rsid w:val="00AF4652"/>
    <w:rsid w:val="00B06095"/>
    <w:rsid w:val="00B21748"/>
    <w:rsid w:val="00B22964"/>
    <w:rsid w:val="00B23FFC"/>
    <w:rsid w:val="00B25E60"/>
    <w:rsid w:val="00B302DD"/>
    <w:rsid w:val="00B304FB"/>
    <w:rsid w:val="00B40AA4"/>
    <w:rsid w:val="00B43D8C"/>
    <w:rsid w:val="00B445C5"/>
    <w:rsid w:val="00B47E69"/>
    <w:rsid w:val="00B538ED"/>
    <w:rsid w:val="00B61A96"/>
    <w:rsid w:val="00B62ABE"/>
    <w:rsid w:val="00B63D25"/>
    <w:rsid w:val="00B7155D"/>
    <w:rsid w:val="00B75B92"/>
    <w:rsid w:val="00B766FF"/>
    <w:rsid w:val="00B77CFC"/>
    <w:rsid w:val="00B77F34"/>
    <w:rsid w:val="00B817B0"/>
    <w:rsid w:val="00B81DED"/>
    <w:rsid w:val="00B83293"/>
    <w:rsid w:val="00B85CB6"/>
    <w:rsid w:val="00B86423"/>
    <w:rsid w:val="00B91763"/>
    <w:rsid w:val="00B92C83"/>
    <w:rsid w:val="00B93999"/>
    <w:rsid w:val="00B97874"/>
    <w:rsid w:val="00BA1046"/>
    <w:rsid w:val="00BA2E26"/>
    <w:rsid w:val="00BA3418"/>
    <w:rsid w:val="00BA3ED7"/>
    <w:rsid w:val="00BA6DDD"/>
    <w:rsid w:val="00BB746D"/>
    <w:rsid w:val="00BB7586"/>
    <w:rsid w:val="00BB7A6E"/>
    <w:rsid w:val="00BC0F8B"/>
    <w:rsid w:val="00BC2E70"/>
    <w:rsid w:val="00BD1CEB"/>
    <w:rsid w:val="00BD4590"/>
    <w:rsid w:val="00BD77F7"/>
    <w:rsid w:val="00BD7805"/>
    <w:rsid w:val="00BE0FB0"/>
    <w:rsid w:val="00BE2FC3"/>
    <w:rsid w:val="00BE4397"/>
    <w:rsid w:val="00BE5352"/>
    <w:rsid w:val="00BE73B3"/>
    <w:rsid w:val="00BF081B"/>
    <w:rsid w:val="00BF1673"/>
    <w:rsid w:val="00BF2784"/>
    <w:rsid w:val="00BF4E45"/>
    <w:rsid w:val="00BF7669"/>
    <w:rsid w:val="00C01E89"/>
    <w:rsid w:val="00C051EB"/>
    <w:rsid w:val="00C0553B"/>
    <w:rsid w:val="00C05703"/>
    <w:rsid w:val="00C11125"/>
    <w:rsid w:val="00C11B52"/>
    <w:rsid w:val="00C12C87"/>
    <w:rsid w:val="00C15CC5"/>
    <w:rsid w:val="00C17930"/>
    <w:rsid w:val="00C20314"/>
    <w:rsid w:val="00C33783"/>
    <w:rsid w:val="00C46462"/>
    <w:rsid w:val="00C46988"/>
    <w:rsid w:val="00C46D1C"/>
    <w:rsid w:val="00C47EB0"/>
    <w:rsid w:val="00C517DD"/>
    <w:rsid w:val="00C530F6"/>
    <w:rsid w:val="00C561DE"/>
    <w:rsid w:val="00C56574"/>
    <w:rsid w:val="00C57232"/>
    <w:rsid w:val="00C60133"/>
    <w:rsid w:val="00C70A82"/>
    <w:rsid w:val="00C8078F"/>
    <w:rsid w:val="00C861E9"/>
    <w:rsid w:val="00C86209"/>
    <w:rsid w:val="00C955EF"/>
    <w:rsid w:val="00CA1ABC"/>
    <w:rsid w:val="00CA392D"/>
    <w:rsid w:val="00CA425F"/>
    <w:rsid w:val="00CA4798"/>
    <w:rsid w:val="00CA57DF"/>
    <w:rsid w:val="00CA7647"/>
    <w:rsid w:val="00CA7D4E"/>
    <w:rsid w:val="00CB04AB"/>
    <w:rsid w:val="00CB2961"/>
    <w:rsid w:val="00CB3A36"/>
    <w:rsid w:val="00CB7257"/>
    <w:rsid w:val="00CC25DF"/>
    <w:rsid w:val="00CC488A"/>
    <w:rsid w:val="00CC726E"/>
    <w:rsid w:val="00CE073A"/>
    <w:rsid w:val="00CE0969"/>
    <w:rsid w:val="00CE18B4"/>
    <w:rsid w:val="00CE2327"/>
    <w:rsid w:val="00CE41D5"/>
    <w:rsid w:val="00CE5693"/>
    <w:rsid w:val="00CE5983"/>
    <w:rsid w:val="00CE6899"/>
    <w:rsid w:val="00CE68A1"/>
    <w:rsid w:val="00CE6C25"/>
    <w:rsid w:val="00CF090E"/>
    <w:rsid w:val="00CF1BDE"/>
    <w:rsid w:val="00CF242D"/>
    <w:rsid w:val="00D0507B"/>
    <w:rsid w:val="00D0788E"/>
    <w:rsid w:val="00D14842"/>
    <w:rsid w:val="00D217C3"/>
    <w:rsid w:val="00D21C7C"/>
    <w:rsid w:val="00D22076"/>
    <w:rsid w:val="00D220DD"/>
    <w:rsid w:val="00D22301"/>
    <w:rsid w:val="00D25B4D"/>
    <w:rsid w:val="00D27FB3"/>
    <w:rsid w:val="00D362E2"/>
    <w:rsid w:val="00D407C7"/>
    <w:rsid w:val="00D4729F"/>
    <w:rsid w:val="00D47322"/>
    <w:rsid w:val="00D53502"/>
    <w:rsid w:val="00D55CCF"/>
    <w:rsid w:val="00D567EB"/>
    <w:rsid w:val="00D569F6"/>
    <w:rsid w:val="00D57034"/>
    <w:rsid w:val="00D62987"/>
    <w:rsid w:val="00D633E5"/>
    <w:rsid w:val="00D63506"/>
    <w:rsid w:val="00D65618"/>
    <w:rsid w:val="00D679BF"/>
    <w:rsid w:val="00D70CCF"/>
    <w:rsid w:val="00D71401"/>
    <w:rsid w:val="00D7163D"/>
    <w:rsid w:val="00D81638"/>
    <w:rsid w:val="00D92D84"/>
    <w:rsid w:val="00D93DD0"/>
    <w:rsid w:val="00D96A29"/>
    <w:rsid w:val="00D97AF4"/>
    <w:rsid w:val="00DA5715"/>
    <w:rsid w:val="00DB1A77"/>
    <w:rsid w:val="00DB3EA9"/>
    <w:rsid w:val="00DB5B6B"/>
    <w:rsid w:val="00DB7E0B"/>
    <w:rsid w:val="00DC2A46"/>
    <w:rsid w:val="00DC3679"/>
    <w:rsid w:val="00DE284E"/>
    <w:rsid w:val="00DE2A6D"/>
    <w:rsid w:val="00DF01B7"/>
    <w:rsid w:val="00DF2A7F"/>
    <w:rsid w:val="00DF3D46"/>
    <w:rsid w:val="00DF4637"/>
    <w:rsid w:val="00E2027F"/>
    <w:rsid w:val="00E21DC8"/>
    <w:rsid w:val="00E22C7A"/>
    <w:rsid w:val="00E275AD"/>
    <w:rsid w:val="00E418CB"/>
    <w:rsid w:val="00E46588"/>
    <w:rsid w:val="00E47402"/>
    <w:rsid w:val="00E478AE"/>
    <w:rsid w:val="00E52AA6"/>
    <w:rsid w:val="00E54047"/>
    <w:rsid w:val="00E56281"/>
    <w:rsid w:val="00E6110E"/>
    <w:rsid w:val="00E6182C"/>
    <w:rsid w:val="00E63BC0"/>
    <w:rsid w:val="00E65C9C"/>
    <w:rsid w:val="00E7361D"/>
    <w:rsid w:val="00E76451"/>
    <w:rsid w:val="00E848EC"/>
    <w:rsid w:val="00E84DF0"/>
    <w:rsid w:val="00E84F6E"/>
    <w:rsid w:val="00E8585A"/>
    <w:rsid w:val="00E94261"/>
    <w:rsid w:val="00EA029D"/>
    <w:rsid w:val="00EA0A26"/>
    <w:rsid w:val="00EA1FE3"/>
    <w:rsid w:val="00EA4645"/>
    <w:rsid w:val="00EB29CF"/>
    <w:rsid w:val="00EB2DC9"/>
    <w:rsid w:val="00EB5B7A"/>
    <w:rsid w:val="00EB6F25"/>
    <w:rsid w:val="00EB77A4"/>
    <w:rsid w:val="00EC2519"/>
    <w:rsid w:val="00EC4987"/>
    <w:rsid w:val="00EC50A1"/>
    <w:rsid w:val="00ED1B9B"/>
    <w:rsid w:val="00ED4414"/>
    <w:rsid w:val="00ED4FD3"/>
    <w:rsid w:val="00EE0D3F"/>
    <w:rsid w:val="00EE0D92"/>
    <w:rsid w:val="00EE0DD0"/>
    <w:rsid w:val="00EE0EC2"/>
    <w:rsid w:val="00EE7643"/>
    <w:rsid w:val="00EF2416"/>
    <w:rsid w:val="00EF6AFE"/>
    <w:rsid w:val="00EF75E3"/>
    <w:rsid w:val="00EF788E"/>
    <w:rsid w:val="00F01498"/>
    <w:rsid w:val="00F0581E"/>
    <w:rsid w:val="00F10C8A"/>
    <w:rsid w:val="00F12004"/>
    <w:rsid w:val="00F305A0"/>
    <w:rsid w:val="00F3206B"/>
    <w:rsid w:val="00F32E75"/>
    <w:rsid w:val="00F41B3F"/>
    <w:rsid w:val="00F42356"/>
    <w:rsid w:val="00F469ED"/>
    <w:rsid w:val="00F46DFC"/>
    <w:rsid w:val="00F47C6E"/>
    <w:rsid w:val="00F514E0"/>
    <w:rsid w:val="00F55756"/>
    <w:rsid w:val="00F576D0"/>
    <w:rsid w:val="00F61B46"/>
    <w:rsid w:val="00F63509"/>
    <w:rsid w:val="00F725EC"/>
    <w:rsid w:val="00F736EE"/>
    <w:rsid w:val="00F80228"/>
    <w:rsid w:val="00F8265A"/>
    <w:rsid w:val="00F8493C"/>
    <w:rsid w:val="00F90B35"/>
    <w:rsid w:val="00FA0C92"/>
    <w:rsid w:val="00FA3682"/>
    <w:rsid w:val="00FA7373"/>
    <w:rsid w:val="00FB25DB"/>
    <w:rsid w:val="00FB2FA4"/>
    <w:rsid w:val="00FB3809"/>
    <w:rsid w:val="00FB5069"/>
    <w:rsid w:val="00FB5CA6"/>
    <w:rsid w:val="00FC73FC"/>
    <w:rsid w:val="00FD220C"/>
    <w:rsid w:val="00FD23C3"/>
    <w:rsid w:val="00FD3722"/>
    <w:rsid w:val="00FD7CB2"/>
    <w:rsid w:val="00FE045B"/>
    <w:rsid w:val="00FE07BB"/>
    <w:rsid w:val="00FE4E72"/>
    <w:rsid w:val="00FF10BB"/>
    <w:rsid w:val="00FF1B28"/>
    <w:rsid w:val="00FF1E77"/>
    <w:rsid w:val="00FF2D41"/>
    <w:rsid w:val="00FF3437"/>
    <w:rsid w:val="00FF48C7"/>
    <w:rsid w:val="00FF49C4"/>
    <w:rsid w:val="195CDE00"/>
    <w:rsid w:val="597673C3"/>
    <w:rsid w:val="7BFAAD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673C3"/>
  <w15:chartTrackingRefBased/>
  <w15:docId w15:val="{5C20C78A-9CD6-4780-BCDB-0A3ACEBF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D1CEB"/>
    <w:pPr>
      <w:keepNext/>
      <w:keepLines/>
      <w:spacing w:before="40" w:after="0"/>
      <w:outlineLvl w:val="1"/>
    </w:pPr>
    <w:rPr>
      <w:rFonts w:asciiTheme="majorHAnsi" w:eastAsiaTheme="majorEastAsia" w:hAnsiTheme="majorHAnsi" w:cstheme="majorBidi"/>
      <w:color w:val="2F5496" w:themeColor="accent1" w:themeShade="BF"/>
      <w:kern w:val="2"/>
      <w:sz w:val="26"/>
      <w:szCs w:val="26"/>
      <w:lang w:val="en-AU" w:eastAsia="ja-JP"/>
      <w14:ligatures w14:val="standardContextual"/>
    </w:rPr>
  </w:style>
  <w:style w:type="paragraph" w:styleId="Heading3">
    <w:name w:val="heading 3"/>
    <w:basedOn w:val="Normal"/>
    <w:next w:val="Normal"/>
    <w:link w:val="Heading3Char"/>
    <w:uiPriority w:val="9"/>
    <w:unhideWhenUsed/>
    <w:qFormat/>
    <w:rsid w:val="00B538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CEB"/>
    <w:rPr>
      <w:rFonts w:asciiTheme="majorHAnsi" w:eastAsiaTheme="majorEastAsia" w:hAnsiTheme="majorHAnsi" w:cstheme="majorBidi"/>
      <w:color w:val="2F5496" w:themeColor="accent1" w:themeShade="BF"/>
      <w:kern w:val="2"/>
      <w:sz w:val="26"/>
      <w:szCs w:val="26"/>
      <w:lang w:val="en-AU" w:eastAsia="ja-JP"/>
      <w14:ligatures w14:val="standardContextual"/>
    </w:rPr>
  </w:style>
  <w:style w:type="paragraph" w:styleId="Title">
    <w:name w:val="Title"/>
    <w:basedOn w:val="Normal"/>
    <w:next w:val="Normal"/>
    <w:link w:val="TitleChar"/>
    <w:uiPriority w:val="10"/>
    <w:qFormat/>
    <w:rsid w:val="00BD1CEB"/>
    <w:pPr>
      <w:spacing w:after="0" w:line="240" w:lineRule="auto"/>
      <w:contextualSpacing/>
    </w:pPr>
    <w:rPr>
      <w:rFonts w:asciiTheme="majorHAnsi" w:eastAsiaTheme="majorEastAsia" w:hAnsiTheme="majorHAnsi" w:cstheme="majorBidi"/>
      <w:spacing w:val="-10"/>
      <w:kern w:val="28"/>
      <w:sz w:val="56"/>
      <w:szCs w:val="56"/>
      <w:lang w:val="en-AU" w:eastAsia="ja-JP"/>
      <w14:ligatures w14:val="standardContextual"/>
    </w:rPr>
  </w:style>
  <w:style w:type="character" w:customStyle="1" w:styleId="TitleChar">
    <w:name w:val="Title Char"/>
    <w:basedOn w:val="DefaultParagraphFont"/>
    <w:link w:val="Title"/>
    <w:uiPriority w:val="10"/>
    <w:rsid w:val="00BD1CEB"/>
    <w:rPr>
      <w:rFonts w:asciiTheme="majorHAnsi" w:eastAsiaTheme="majorEastAsia" w:hAnsiTheme="majorHAnsi" w:cstheme="majorBidi"/>
      <w:spacing w:val="-10"/>
      <w:kern w:val="28"/>
      <w:sz w:val="56"/>
      <w:szCs w:val="56"/>
      <w:lang w:val="en-AU" w:eastAsia="ja-JP"/>
      <w14:ligatures w14:val="standardContextual"/>
    </w:rPr>
  </w:style>
  <w:style w:type="paragraph" w:styleId="ListParagraph">
    <w:name w:val="List Paragraph"/>
    <w:basedOn w:val="Normal"/>
    <w:uiPriority w:val="34"/>
    <w:qFormat/>
    <w:rsid w:val="00624F04"/>
    <w:pPr>
      <w:ind w:left="720"/>
      <w:contextualSpacing/>
    </w:pPr>
  </w:style>
  <w:style w:type="character" w:customStyle="1" w:styleId="Heading3Char">
    <w:name w:val="Heading 3 Char"/>
    <w:basedOn w:val="DefaultParagraphFont"/>
    <w:link w:val="Heading3"/>
    <w:uiPriority w:val="9"/>
    <w:rsid w:val="00B538E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17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782"/>
  </w:style>
  <w:style w:type="paragraph" w:styleId="Footer">
    <w:name w:val="footer"/>
    <w:basedOn w:val="Normal"/>
    <w:link w:val="FooterChar"/>
    <w:uiPriority w:val="99"/>
    <w:unhideWhenUsed/>
    <w:rsid w:val="00117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782"/>
  </w:style>
  <w:style w:type="paragraph" w:styleId="FootnoteText">
    <w:name w:val="footnote text"/>
    <w:basedOn w:val="Normal"/>
    <w:link w:val="FootnoteTextChar"/>
    <w:uiPriority w:val="99"/>
    <w:semiHidden/>
    <w:unhideWhenUsed/>
    <w:rsid w:val="00EB5B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5B7A"/>
    <w:rPr>
      <w:sz w:val="20"/>
      <w:szCs w:val="20"/>
    </w:rPr>
  </w:style>
  <w:style w:type="character" w:styleId="FootnoteReference">
    <w:name w:val="footnote reference"/>
    <w:basedOn w:val="DefaultParagraphFont"/>
    <w:uiPriority w:val="99"/>
    <w:semiHidden/>
    <w:unhideWhenUsed/>
    <w:rsid w:val="00EB5B7A"/>
    <w:rPr>
      <w:vertAlign w:val="superscript"/>
    </w:rPr>
  </w:style>
  <w:style w:type="character" w:styleId="Hyperlink">
    <w:name w:val="Hyperlink"/>
    <w:basedOn w:val="DefaultParagraphFont"/>
    <w:uiPriority w:val="99"/>
    <w:unhideWhenUsed/>
    <w:rsid w:val="00EB5B7A"/>
    <w:rPr>
      <w:color w:val="0563C1" w:themeColor="hyperlink"/>
      <w:u w:val="single"/>
    </w:rPr>
  </w:style>
  <w:style w:type="character" w:styleId="UnresolvedMention">
    <w:name w:val="Unresolved Mention"/>
    <w:basedOn w:val="DefaultParagraphFont"/>
    <w:uiPriority w:val="99"/>
    <w:semiHidden/>
    <w:unhideWhenUsed/>
    <w:rsid w:val="00EB5B7A"/>
    <w:rPr>
      <w:color w:val="605E5C"/>
      <w:shd w:val="clear" w:color="auto" w:fill="E1DFDD"/>
    </w:rPr>
  </w:style>
  <w:style w:type="table" w:styleId="TableGrid">
    <w:name w:val="Table Grid"/>
    <w:basedOn w:val="TableNormal"/>
    <w:uiPriority w:val="39"/>
    <w:rsid w:val="00480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91A5C"/>
    <w:pPr>
      <w:spacing w:after="0" w:line="240" w:lineRule="auto"/>
    </w:pPr>
  </w:style>
  <w:style w:type="character" w:styleId="FollowedHyperlink">
    <w:name w:val="FollowedHyperlink"/>
    <w:basedOn w:val="DefaultParagraphFont"/>
    <w:uiPriority w:val="99"/>
    <w:semiHidden/>
    <w:unhideWhenUsed/>
    <w:rsid w:val="002F2A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doe.gov.ph/sites/default/files/pdf/announcements/DOE%20DOTR%20IRR%20EVIDA%2008212022.pdf?withshield=2" TargetMode="External"/><Relationship Id="rId1" Type="http://schemas.openxmlformats.org/officeDocument/2006/relationships/hyperlink" Target="https://unfccc.int/sites/default/files/NDC/2022-06/Philippines%20-%20ND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DE4B8CEBD9304286F1E0B7BC383844" ma:contentTypeVersion="12" ma:contentTypeDescription="Create a new document." ma:contentTypeScope="" ma:versionID="340ec810b760b75da0f5087b93de7a28">
  <xsd:schema xmlns:xsd="http://www.w3.org/2001/XMLSchema" xmlns:xs="http://www.w3.org/2001/XMLSchema" xmlns:p="http://schemas.microsoft.com/office/2006/metadata/properties" xmlns:ns2="339e5aef-327d-4eb6-a8e0-9b2fd01ac0fa" xmlns:ns3="3042e625-934f-4bb2-8533-cbb6446c8b2b" targetNamespace="http://schemas.microsoft.com/office/2006/metadata/properties" ma:root="true" ma:fieldsID="52ac6c6274c0de05c74ba4627b5d30d7" ns2:_="" ns3:_="">
    <xsd:import namespace="339e5aef-327d-4eb6-a8e0-9b2fd01ac0fa"/>
    <xsd:import namespace="3042e625-934f-4bb2-8533-cbb6446c8b2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9e5aef-327d-4eb6-a8e0-9b2fd01ac0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9187c13-ff0b-40b9-aedf-f4c5774af770"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42e625-934f-4bb2-8533-cbb6446c8b2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5420bbb-da00-4731-a94a-6eda77d9d78f}" ma:internalName="TaxCatchAll" ma:showField="CatchAllData" ma:web="3042e625-934f-4bb2-8533-cbb6446c8b2b">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39e5aef-327d-4eb6-a8e0-9b2fd01ac0fa">
      <Terms xmlns="http://schemas.microsoft.com/office/infopath/2007/PartnerControls"/>
    </lcf76f155ced4ddcb4097134ff3c332f>
    <TaxCatchAll xmlns="3042e625-934f-4bb2-8533-cbb6446c8b2b" xsi:nil="true"/>
  </documentManagement>
</p:properties>
</file>

<file path=customXml/itemProps1.xml><?xml version="1.0" encoding="utf-8"?>
<ds:datastoreItem xmlns:ds="http://schemas.openxmlformats.org/officeDocument/2006/customXml" ds:itemID="{64D5819B-A4F1-48D7-88C7-5AE7EBC9F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9e5aef-327d-4eb6-a8e0-9b2fd01ac0fa"/>
    <ds:schemaRef ds:uri="3042e625-934f-4bb2-8533-cbb6446c8b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C78529-0E43-42E6-8194-B1F959295163}">
  <ds:schemaRefs>
    <ds:schemaRef ds:uri="http://schemas.openxmlformats.org/officeDocument/2006/bibliography"/>
  </ds:schemaRefs>
</ds:datastoreItem>
</file>

<file path=customXml/itemProps3.xml><?xml version="1.0" encoding="utf-8"?>
<ds:datastoreItem xmlns:ds="http://schemas.openxmlformats.org/officeDocument/2006/customXml" ds:itemID="{EC2F3700-9C63-4F8C-AF07-D0DB475C2199}">
  <ds:schemaRefs>
    <ds:schemaRef ds:uri="http://schemas.microsoft.com/sharepoint/v3/contenttype/forms"/>
  </ds:schemaRefs>
</ds:datastoreItem>
</file>

<file path=customXml/itemProps4.xml><?xml version="1.0" encoding="utf-8"?>
<ds:datastoreItem xmlns:ds="http://schemas.openxmlformats.org/officeDocument/2006/customXml" ds:itemID="{C0E0B8D7-00FF-4B2C-AF58-080655331DB8}">
  <ds:schemaRefs>
    <ds:schemaRef ds:uri="http://schemas.microsoft.com/office/2006/metadata/properties"/>
    <ds:schemaRef ds:uri="http://schemas.microsoft.com/office/infopath/2007/PartnerControls"/>
    <ds:schemaRef ds:uri="339e5aef-327d-4eb6-a8e0-9b2fd01ac0fa"/>
    <ds:schemaRef ds:uri="3042e625-934f-4bb2-8533-cbb6446c8b2b"/>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Michael WOGAN</dc:creator>
  <cp:keywords/>
  <dc:description/>
  <cp:lastModifiedBy>Finbar MAUNSELL</cp:lastModifiedBy>
  <cp:revision>5</cp:revision>
  <dcterms:created xsi:type="dcterms:W3CDTF">2024-01-08T11:26:00Z</dcterms:created>
  <dcterms:modified xsi:type="dcterms:W3CDTF">2024-01-09T09:14:00Z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0x01010033DE4B8CEBD9304286F1E0B7BC383844</vt:lpwstr>
  </property>
  <property fmtid="{D5CDD505-2E9C-101B-9397-08002B2CF9AE}" pid="3" name="MediaServiceImageTags">
    <vt:lpwstr/>
  </property>
  <property fmtid="{D5CDD505-2E9C-101B-9397-08002B2CF9AE}" pid="4" name="GrammarlyDocumentId">
    <vt:lpwstr>14af14814b93d6358d69f69ed1bb139bd935ac9ef79eadcbfaff1a2e6b58392d</vt:lpwstr>
  </property>
</Properties>
</file>