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E402" w14:textId="69DF3EB2" w:rsidR="00BD1CEB" w:rsidRPr="005D3792" w:rsidRDefault="00F34E8D" w:rsidP="005D3792">
      <w:pPr>
        <w:pStyle w:val="Title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Australia</w:t>
      </w:r>
    </w:p>
    <w:p w14:paraId="49FC5E66" w14:textId="77777777" w:rsidR="00035EA2" w:rsidRDefault="00035EA2" w:rsidP="00446E44">
      <w:pPr>
        <w:pStyle w:val="Heading2"/>
        <w:rPr>
          <w:lang w:val="en-US"/>
        </w:rPr>
      </w:pPr>
    </w:p>
    <w:p w14:paraId="17D72A75" w14:textId="32538AB0" w:rsidR="00446E44" w:rsidRDefault="00446E44" w:rsidP="00446E44">
      <w:pPr>
        <w:pStyle w:val="Heading2"/>
        <w:rPr>
          <w:lang w:val="en-US"/>
        </w:rPr>
      </w:pPr>
      <w:r>
        <w:rPr>
          <w:lang w:val="en-US"/>
        </w:rPr>
        <w:t>Key reference documents</w:t>
      </w:r>
    </w:p>
    <w:p w14:paraId="3607C73D" w14:textId="23627841" w:rsidR="00916AF6" w:rsidRDefault="00000000" w:rsidP="00916AF6">
      <w:pPr>
        <w:pStyle w:val="ListParagraph"/>
        <w:numPr>
          <w:ilvl w:val="0"/>
          <w:numId w:val="25"/>
        </w:numPr>
        <w:rPr>
          <w:lang w:val="en-US" w:eastAsia="ja-JP"/>
        </w:rPr>
      </w:pPr>
      <w:hyperlink r:id="rId11" w:history="1">
        <w:r w:rsidR="00916AF6" w:rsidRPr="00916AF6">
          <w:rPr>
            <w:rStyle w:val="Hyperlink"/>
            <w:lang w:val="en-US" w:eastAsia="ja-JP"/>
          </w:rPr>
          <w:t>Australia’s long-term emissions reduction plan</w:t>
        </w:r>
      </w:hyperlink>
    </w:p>
    <w:p w14:paraId="2EB7373F" w14:textId="1C70CE28" w:rsidR="00C2233C" w:rsidRDefault="00C2233C" w:rsidP="00C2233C">
      <w:pPr>
        <w:pStyle w:val="ListParagraph"/>
        <w:numPr>
          <w:ilvl w:val="1"/>
          <w:numId w:val="25"/>
        </w:numPr>
        <w:rPr>
          <w:lang w:val="en-US" w:eastAsia="ja-JP"/>
        </w:rPr>
      </w:pPr>
      <w:r>
        <w:rPr>
          <w:lang w:val="en-US" w:eastAsia="ja-JP"/>
        </w:rPr>
        <w:t xml:space="preserve">Published by the previous government so </w:t>
      </w:r>
      <w:r w:rsidR="00F30A31">
        <w:rPr>
          <w:lang w:val="en-US" w:eastAsia="ja-JP"/>
        </w:rPr>
        <w:t>likely to be evolution to this plan</w:t>
      </w:r>
      <w:r w:rsidR="00031B7F">
        <w:rPr>
          <w:lang w:val="en-US" w:eastAsia="ja-JP"/>
        </w:rPr>
        <w:t>.</w:t>
      </w:r>
    </w:p>
    <w:p w14:paraId="7EC9249E" w14:textId="1BB7A448" w:rsidR="00E60BC8" w:rsidRDefault="00000000" w:rsidP="00916AF6">
      <w:pPr>
        <w:pStyle w:val="ListParagraph"/>
        <w:numPr>
          <w:ilvl w:val="0"/>
          <w:numId w:val="25"/>
        </w:numPr>
        <w:rPr>
          <w:lang w:val="en-US" w:eastAsia="ja-JP"/>
        </w:rPr>
      </w:pPr>
      <w:hyperlink r:id="rId12" w:history="1">
        <w:r w:rsidR="00414453" w:rsidRPr="00DF57D8">
          <w:rPr>
            <w:rStyle w:val="Hyperlink"/>
            <w:lang w:val="en-US" w:eastAsia="ja-JP"/>
          </w:rPr>
          <w:t>Technology</w:t>
        </w:r>
        <w:r w:rsidR="00DF57D8" w:rsidRPr="00DF57D8">
          <w:rPr>
            <w:rStyle w:val="Hyperlink"/>
            <w:lang w:val="en-US" w:eastAsia="ja-JP"/>
          </w:rPr>
          <w:t xml:space="preserve"> investment roadmap</w:t>
        </w:r>
      </w:hyperlink>
    </w:p>
    <w:p w14:paraId="4FAC73BD" w14:textId="4EDC9439" w:rsidR="00DF57D8" w:rsidRDefault="00000000" w:rsidP="00916AF6">
      <w:pPr>
        <w:pStyle w:val="ListParagraph"/>
        <w:numPr>
          <w:ilvl w:val="0"/>
          <w:numId w:val="25"/>
        </w:numPr>
        <w:rPr>
          <w:lang w:val="en-US" w:eastAsia="ja-JP"/>
        </w:rPr>
      </w:pPr>
      <w:hyperlink r:id="rId13" w:history="1">
        <w:r w:rsidR="002D3B1A" w:rsidRPr="002D3B1A">
          <w:rPr>
            <w:rStyle w:val="Hyperlink"/>
            <w:lang w:val="en-US" w:eastAsia="ja-JP"/>
          </w:rPr>
          <w:t>APERC Overview</w:t>
        </w:r>
      </w:hyperlink>
      <w:r w:rsidR="008815BF">
        <w:rPr>
          <w:lang w:val="en-US" w:eastAsia="ja-JP"/>
        </w:rPr>
        <w:t xml:space="preserve"> – Australia chapter</w:t>
      </w:r>
    </w:p>
    <w:p w14:paraId="6A198BD4" w14:textId="5BC6F615" w:rsidR="00D44416" w:rsidRDefault="00000000" w:rsidP="00916AF6">
      <w:pPr>
        <w:pStyle w:val="ListParagraph"/>
        <w:numPr>
          <w:ilvl w:val="0"/>
          <w:numId w:val="25"/>
        </w:numPr>
        <w:rPr>
          <w:lang w:val="en-US" w:eastAsia="ja-JP"/>
        </w:rPr>
      </w:pPr>
      <w:hyperlink r:id="rId14" w:history="1">
        <w:r w:rsidR="00D44416" w:rsidRPr="00D44416">
          <w:rPr>
            <w:rStyle w:val="Hyperlink"/>
            <w:lang w:val="en-US" w:eastAsia="ja-JP"/>
          </w:rPr>
          <w:t>Gas Statement of Opportunities</w:t>
        </w:r>
      </w:hyperlink>
    </w:p>
    <w:p w14:paraId="08C73F6B" w14:textId="61FEC13C" w:rsidR="005E6CED" w:rsidRPr="00AD2591" w:rsidRDefault="00000000" w:rsidP="00916AF6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  <w:lang w:val="en-US" w:eastAsia="ja-JP"/>
        </w:rPr>
      </w:pPr>
      <w:hyperlink r:id="rId15" w:history="1">
        <w:r w:rsidR="005E6CED" w:rsidRPr="008815BF">
          <w:rPr>
            <w:rStyle w:val="Hyperlink"/>
            <w:lang w:val="en-US" w:eastAsia="ja-JP"/>
          </w:rPr>
          <w:t>Electricity Statement of Opportunities</w:t>
        </w:r>
      </w:hyperlink>
    </w:p>
    <w:p w14:paraId="2310F2E8" w14:textId="5C43686D" w:rsidR="00AD2591" w:rsidRPr="00916AF6" w:rsidRDefault="00000000" w:rsidP="00916AF6">
      <w:pPr>
        <w:pStyle w:val="ListParagraph"/>
        <w:numPr>
          <w:ilvl w:val="0"/>
          <w:numId w:val="25"/>
        </w:numPr>
        <w:rPr>
          <w:lang w:val="en-US" w:eastAsia="ja-JP"/>
        </w:rPr>
      </w:pPr>
      <w:hyperlink r:id="rId16" w:history="1">
        <w:r w:rsidR="00AD2591" w:rsidRPr="008C7D5F">
          <w:rPr>
            <w:rStyle w:val="Hyperlink"/>
          </w:rPr>
          <w:t>Integrated System Plan</w:t>
        </w:r>
      </w:hyperlink>
    </w:p>
    <w:p w14:paraId="0FC87257" w14:textId="77777777" w:rsidR="00446E44" w:rsidRDefault="00446E44" w:rsidP="00BD1CEB">
      <w:pPr>
        <w:rPr>
          <w:lang w:val="en-US"/>
        </w:rPr>
      </w:pPr>
    </w:p>
    <w:p w14:paraId="3CAE0083" w14:textId="6C7D3AB3" w:rsidR="005E2DEE" w:rsidRDefault="005E2DEE" w:rsidP="002C3A08">
      <w:pPr>
        <w:pStyle w:val="Heading2"/>
        <w:rPr>
          <w:lang w:val="en-US"/>
        </w:rPr>
      </w:pPr>
      <w:r>
        <w:rPr>
          <w:lang w:val="en-US"/>
        </w:rPr>
        <w:t>Climate targets</w:t>
      </w:r>
    </w:p>
    <w:p w14:paraId="6C75AFA7" w14:textId="4C6920C2" w:rsidR="003411D1" w:rsidRDefault="00394DAD" w:rsidP="005E2D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Updated </w:t>
      </w:r>
      <w:r w:rsidR="005E2DEE">
        <w:rPr>
          <w:b/>
          <w:bCs/>
          <w:lang w:val="en-US"/>
        </w:rPr>
        <w:t>NDC</w:t>
      </w:r>
      <w:r>
        <w:rPr>
          <w:b/>
          <w:bCs/>
          <w:lang w:val="en-US"/>
        </w:rPr>
        <w:t xml:space="preserve"> </w:t>
      </w:r>
      <w:r w:rsidR="003411D1">
        <w:rPr>
          <w:b/>
          <w:bCs/>
          <w:lang w:val="en-US"/>
        </w:rPr>
        <w:t>(</w:t>
      </w:r>
      <w:r>
        <w:rPr>
          <w:b/>
          <w:bCs/>
          <w:lang w:val="en-US"/>
        </w:rPr>
        <w:t>2022</w:t>
      </w:r>
      <w:r w:rsidR="003411D1">
        <w:rPr>
          <w:b/>
          <w:bCs/>
          <w:lang w:val="en-US"/>
        </w:rPr>
        <w:t>)</w:t>
      </w:r>
    </w:p>
    <w:p w14:paraId="2F79FA99" w14:textId="650E33C2" w:rsidR="003411D1" w:rsidRDefault="003411D1" w:rsidP="003411D1">
      <w:pPr>
        <w:pStyle w:val="ListParagraph"/>
        <w:numPr>
          <w:ilvl w:val="0"/>
          <w:numId w:val="24"/>
        </w:numPr>
        <w:rPr>
          <w:lang w:val="en-US"/>
        </w:rPr>
      </w:pPr>
      <w:r w:rsidRPr="003411D1">
        <w:rPr>
          <w:lang w:val="en-US"/>
        </w:rPr>
        <w:t>Reduce greenhouse</w:t>
      </w:r>
      <w:r>
        <w:rPr>
          <w:lang w:val="en-US"/>
        </w:rPr>
        <w:t xml:space="preserve"> gas emissions 43% below 2005 levels by 2030</w:t>
      </w:r>
      <w:r w:rsidR="00A66020">
        <w:rPr>
          <w:lang w:val="en-US"/>
        </w:rPr>
        <w:t>.</w:t>
      </w:r>
    </w:p>
    <w:p w14:paraId="6BDCAD4C" w14:textId="5BC063F4" w:rsidR="003411D1" w:rsidRPr="003411D1" w:rsidRDefault="003411D1" w:rsidP="003411D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Net-zero emissions by 2050</w:t>
      </w:r>
    </w:p>
    <w:p w14:paraId="78027E76" w14:textId="32C5D433" w:rsidR="00B779F4" w:rsidRDefault="00B779F4" w:rsidP="005E2DEE">
      <w:pPr>
        <w:rPr>
          <w:lang w:val="en-US"/>
        </w:rPr>
      </w:pPr>
    </w:p>
    <w:p w14:paraId="1C10C866" w14:textId="774DE3D8" w:rsidR="002C3A08" w:rsidRPr="002C3A08" w:rsidRDefault="00426A63" w:rsidP="002C3A08">
      <w:pPr>
        <w:pStyle w:val="Heading2"/>
        <w:rPr>
          <w:lang w:val="en-US"/>
        </w:rPr>
      </w:pPr>
      <w:r>
        <w:rPr>
          <w:lang w:val="en-US"/>
        </w:rPr>
        <w:t>Policies in place (</w:t>
      </w:r>
      <w:r w:rsidR="00AE418A">
        <w:rPr>
          <w:lang w:val="en-US"/>
        </w:rPr>
        <w:t xml:space="preserve">mainly </w:t>
      </w:r>
      <w:r>
        <w:rPr>
          <w:lang w:val="en-US"/>
        </w:rPr>
        <w:t>for inclusion in Reference)</w:t>
      </w:r>
    </w:p>
    <w:p w14:paraId="3CA66BAB" w14:textId="235358F0" w:rsidR="00F64B24" w:rsidRDefault="004D5747" w:rsidP="004815DC">
      <w:pPr>
        <w:rPr>
          <w:b/>
          <w:bCs/>
          <w:lang w:val="en-US"/>
        </w:rPr>
      </w:pPr>
      <w:r>
        <w:rPr>
          <w:b/>
          <w:bCs/>
          <w:lang w:val="en-US"/>
        </w:rPr>
        <w:t>Buildings</w:t>
      </w:r>
    </w:p>
    <w:p w14:paraId="26D347BE" w14:textId="60D17A2D" w:rsidR="004D5747" w:rsidRDefault="003E6C03" w:rsidP="004D5747">
      <w:pPr>
        <w:pStyle w:val="ListParagraph"/>
        <w:numPr>
          <w:ilvl w:val="0"/>
          <w:numId w:val="24"/>
        </w:numPr>
        <w:rPr>
          <w:lang w:val="en-US"/>
        </w:rPr>
      </w:pPr>
      <w:r w:rsidRPr="003E6C03">
        <w:rPr>
          <w:lang w:val="en-US"/>
        </w:rPr>
        <w:t xml:space="preserve">Current policies for </w:t>
      </w:r>
      <w:r>
        <w:rPr>
          <w:lang w:val="en-US"/>
        </w:rPr>
        <w:t xml:space="preserve">buildings </w:t>
      </w:r>
      <w:r w:rsidR="00F75BC8">
        <w:rPr>
          <w:lang w:val="en-US"/>
        </w:rPr>
        <w:t xml:space="preserve">are documented </w:t>
      </w:r>
      <w:hyperlink r:id="rId17" w:history="1">
        <w:r w:rsidR="00F75BC8" w:rsidRPr="003142AE">
          <w:rPr>
            <w:rStyle w:val="Hyperlink"/>
            <w:lang w:val="en-US"/>
          </w:rPr>
          <w:t>here</w:t>
        </w:r>
      </w:hyperlink>
      <w:r w:rsidR="00F75BC8">
        <w:rPr>
          <w:lang w:val="en-US"/>
        </w:rPr>
        <w:t xml:space="preserve">. </w:t>
      </w:r>
      <w:r w:rsidR="003142AE">
        <w:rPr>
          <w:lang w:val="en-US"/>
        </w:rPr>
        <w:t xml:space="preserve">It is unlikely that the suite of policies listed will be a trend break from efficiency and consumption trends of the past. </w:t>
      </w:r>
    </w:p>
    <w:p w14:paraId="39508696" w14:textId="14A9DED4" w:rsidR="00F543E5" w:rsidRPr="007A6474" w:rsidRDefault="00F543E5" w:rsidP="00F543E5">
      <w:pPr>
        <w:rPr>
          <w:b/>
          <w:bCs/>
          <w:lang w:val="en-US"/>
        </w:rPr>
      </w:pPr>
      <w:r w:rsidRPr="007A6474">
        <w:rPr>
          <w:b/>
          <w:bCs/>
          <w:lang w:val="en-US"/>
        </w:rPr>
        <w:t>Transport</w:t>
      </w:r>
    </w:p>
    <w:p w14:paraId="43CA5EB9" w14:textId="55099F1E" w:rsidR="00F543E5" w:rsidRPr="00FA2ED7" w:rsidRDefault="00F543E5" w:rsidP="00FA2ED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Relevant federal policies are listed </w:t>
      </w:r>
      <w:hyperlink r:id="rId18" w:history="1">
        <w:r w:rsidRPr="00F543E5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5EE1F15E" w14:textId="3EDA6536" w:rsidR="006D6E40" w:rsidRPr="00FA2ED7" w:rsidRDefault="001B2B96" w:rsidP="00942C8F">
      <w:pPr>
        <w:pStyle w:val="ListParagraph"/>
        <w:numPr>
          <w:ilvl w:val="0"/>
          <w:numId w:val="24"/>
        </w:numPr>
      </w:pPr>
      <w:r>
        <w:rPr>
          <w:lang w:val="en-US"/>
        </w:rPr>
        <w:t xml:space="preserve">Here are more details on </w:t>
      </w:r>
      <w:r w:rsidR="00B079D9">
        <w:rPr>
          <w:lang w:val="en-US"/>
        </w:rPr>
        <w:t xml:space="preserve">Australia’s attempt to </w:t>
      </w:r>
      <w:hyperlink r:id="rId19" w:history="1">
        <w:r w:rsidR="00B079D9" w:rsidRPr="00B079D9">
          <w:rPr>
            <w:rStyle w:val="Hyperlink"/>
            <w:lang w:val="en-US"/>
          </w:rPr>
          <w:t>reduce transport emissions</w:t>
        </w:r>
      </w:hyperlink>
      <w:r>
        <w:rPr>
          <w:lang w:val="en-US"/>
        </w:rPr>
        <w:t>.</w:t>
      </w:r>
    </w:p>
    <w:p w14:paraId="07622633" w14:textId="2185DBC7" w:rsidR="00FA2ED7" w:rsidRPr="00747787" w:rsidRDefault="00FA2ED7" w:rsidP="00FA2ED7">
      <w:pPr>
        <w:pStyle w:val="ListParagraph"/>
        <w:numPr>
          <w:ilvl w:val="1"/>
          <w:numId w:val="24"/>
        </w:numPr>
      </w:pPr>
      <w:r>
        <w:rPr>
          <w:lang w:val="en-US"/>
        </w:rPr>
        <w:t>Includes Driving the Nation fund to support EV charging and hydrogen refueling</w:t>
      </w:r>
      <w:r w:rsidR="006559B4">
        <w:rPr>
          <w:lang w:val="en-US"/>
        </w:rPr>
        <w:t>.</w:t>
      </w:r>
    </w:p>
    <w:p w14:paraId="037482F9" w14:textId="77777777" w:rsidR="00EA209F" w:rsidRPr="00EA209F" w:rsidRDefault="00747787" w:rsidP="00747787">
      <w:pPr>
        <w:pStyle w:val="ListParagraph"/>
        <w:numPr>
          <w:ilvl w:val="0"/>
          <w:numId w:val="24"/>
        </w:numPr>
      </w:pPr>
      <w:r>
        <w:rPr>
          <w:lang w:val="en-US"/>
        </w:rPr>
        <w:t xml:space="preserve">A baseline (REF) shift to EVs will mostly be driven by </w:t>
      </w:r>
      <w:r w:rsidR="00F10858">
        <w:rPr>
          <w:lang w:val="en-US"/>
        </w:rPr>
        <w:t>income levels (</w:t>
      </w:r>
      <w:r w:rsidR="00072D51">
        <w:rPr>
          <w:lang w:val="en-US"/>
        </w:rPr>
        <w:t xml:space="preserve">Australia not as </w:t>
      </w:r>
      <w:r w:rsidR="00EA209F">
        <w:rPr>
          <w:lang w:val="en-US"/>
        </w:rPr>
        <w:t>well off as US but shouldn’t be too far behind in transition rates).</w:t>
      </w:r>
      <w:r w:rsidR="00F10858">
        <w:rPr>
          <w:lang w:val="en-US"/>
        </w:rPr>
        <w:t xml:space="preserve"> </w:t>
      </w:r>
    </w:p>
    <w:p w14:paraId="537BBDD5" w14:textId="7DCB841F" w:rsidR="00747787" w:rsidRPr="007C069C" w:rsidRDefault="00EA209F" w:rsidP="00EA209F">
      <w:pPr>
        <w:pStyle w:val="ListParagraph"/>
        <w:numPr>
          <w:ilvl w:val="1"/>
          <w:numId w:val="24"/>
        </w:numPr>
      </w:pPr>
      <w:r>
        <w:rPr>
          <w:lang w:val="en-US"/>
        </w:rPr>
        <w:t>C</w:t>
      </w:r>
      <w:r w:rsidR="00F10858">
        <w:rPr>
          <w:lang w:val="en-US"/>
        </w:rPr>
        <w:t>onsumer choice with some support via policy</w:t>
      </w:r>
      <w:r>
        <w:rPr>
          <w:lang w:val="en-US"/>
        </w:rPr>
        <w:t xml:space="preserve"> will </w:t>
      </w:r>
      <w:r w:rsidR="00D33131">
        <w:rPr>
          <w:lang w:val="en-US"/>
        </w:rPr>
        <w:t xml:space="preserve">drive change but I suspect </w:t>
      </w:r>
      <w:r w:rsidR="004555DA">
        <w:rPr>
          <w:lang w:val="en-US"/>
        </w:rPr>
        <w:t>a large minority of consumers will not be rushing to EV</w:t>
      </w:r>
      <w:r w:rsidR="00390DD8">
        <w:rPr>
          <w:lang w:val="en-US"/>
        </w:rPr>
        <w:t>s (it will take additional carrots or sticks to drive required change that may be sought after in TGT)</w:t>
      </w:r>
    </w:p>
    <w:p w14:paraId="38FDF16A" w14:textId="2C32ED7D" w:rsidR="007C069C" w:rsidRPr="009978AF" w:rsidRDefault="007C069C" w:rsidP="00EA209F">
      <w:pPr>
        <w:pStyle w:val="ListParagraph"/>
        <w:numPr>
          <w:ilvl w:val="1"/>
          <w:numId w:val="24"/>
        </w:numPr>
      </w:pPr>
      <w:r>
        <w:rPr>
          <w:lang w:val="en-US"/>
        </w:rPr>
        <w:t xml:space="preserve">See </w:t>
      </w:r>
      <w:hyperlink r:id="rId20" w:history="1">
        <w:r w:rsidRPr="00E71C16">
          <w:rPr>
            <w:rStyle w:val="Hyperlink"/>
            <w:lang w:val="en-US"/>
          </w:rPr>
          <w:t>example</w:t>
        </w:r>
      </w:hyperlink>
      <w:r>
        <w:rPr>
          <w:lang w:val="en-US"/>
        </w:rPr>
        <w:t xml:space="preserve"> for preference </w:t>
      </w:r>
      <w:r w:rsidR="00E71C16">
        <w:rPr>
          <w:lang w:val="en-US"/>
        </w:rPr>
        <w:t>for</w:t>
      </w:r>
      <w:r>
        <w:rPr>
          <w:lang w:val="en-US"/>
        </w:rPr>
        <w:t xml:space="preserve"> SUVs</w:t>
      </w:r>
      <w:r w:rsidR="00E71C16">
        <w:rPr>
          <w:lang w:val="en-US"/>
        </w:rPr>
        <w:t>, w</w:t>
      </w:r>
      <w:r w:rsidR="00F51D11">
        <w:rPr>
          <w:lang w:val="en-US"/>
        </w:rPr>
        <w:t>ith these vehicles</w:t>
      </w:r>
      <w:r w:rsidR="00E71C16">
        <w:rPr>
          <w:lang w:val="en-US"/>
        </w:rPr>
        <w:t xml:space="preserve"> lag</w:t>
      </w:r>
      <w:r w:rsidR="00F51D11">
        <w:rPr>
          <w:lang w:val="en-US"/>
        </w:rPr>
        <w:t>ging</w:t>
      </w:r>
      <w:r w:rsidR="00E71C16">
        <w:rPr>
          <w:lang w:val="en-US"/>
        </w:rPr>
        <w:t xml:space="preserve"> electrification of smaller vehicles</w:t>
      </w:r>
    </w:p>
    <w:p w14:paraId="3D614E28" w14:textId="77777777" w:rsidR="009978AF" w:rsidRPr="006D6E40" w:rsidRDefault="009978AF" w:rsidP="009978AF">
      <w:pPr>
        <w:pStyle w:val="ListParagraph"/>
        <w:numPr>
          <w:ilvl w:val="0"/>
          <w:numId w:val="24"/>
        </w:numPr>
      </w:pPr>
      <w:r w:rsidRPr="006D6E40">
        <w:rPr>
          <w:lang w:val="en-US"/>
        </w:rPr>
        <w:t>Fuel quality standards continue to underwhelm. For example</w:t>
      </w:r>
      <w:r>
        <w:rPr>
          <w:lang w:val="en-US"/>
        </w:rPr>
        <w:t xml:space="preserve">, see </w:t>
      </w:r>
      <w:hyperlink r:id="rId21" w:history="1">
        <w:r w:rsidRPr="006D6E40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EE5B519" w14:textId="77777777" w:rsidR="009978AF" w:rsidRPr="00CC5C3C" w:rsidRDefault="009978AF" w:rsidP="00626775">
      <w:pPr>
        <w:pStyle w:val="ListParagraph"/>
        <w:numPr>
          <w:ilvl w:val="0"/>
          <w:numId w:val="24"/>
        </w:numPr>
      </w:pPr>
    </w:p>
    <w:p w14:paraId="79379FDB" w14:textId="770CD87D" w:rsidR="00745554" w:rsidRPr="006559B4" w:rsidRDefault="006559B4" w:rsidP="006559B4">
      <w:pPr>
        <w:rPr>
          <w:b/>
          <w:bCs/>
        </w:rPr>
      </w:pPr>
      <w:r w:rsidRPr="006559B4">
        <w:rPr>
          <w:b/>
          <w:bCs/>
        </w:rPr>
        <w:t>Industry</w:t>
      </w:r>
    </w:p>
    <w:p w14:paraId="47376893" w14:textId="29E5F2D4" w:rsidR="006559B4" w:rsidRDefault="00000000" w:rsidP="006559B4">
      <w:pPr>
        <w:pStyle w:val="ListParagraph"/>
        <w:numPr>
          <w:ilvl w:val="0"/>
          <w:numId w:val="24"/>
        </w:numPr>
      </w:pPr>
      <w:hyperlink r:id="rId22" w:history="1">
        <w:r w:rsidR="004C61A2" w:rsidRPr="003B17E7">
          <w:rPr>
            <w:rStyle w:val="Hyperlink"/>
          </w:rPr>
          <w:t>S</w:t>
        </w:r>
        <w:r w:rsidR="006D5FA8" w:rsidRPr="003B17E7">
          <w:rPr>
            <w:rStyle w:val="Hyperlink"/>
          </w:rPr>
          <w:t>afeguard mechanism</w:t>
        </w:r>
      </w:hyperlink>
    </w:p>
    <w:p w14:paraId="448B26BE" w14:textId="25003B44" w:rsidR="0058454E" w:rsidRDefault="0058454E" w:rsidP="0058454E">
      <w:pPr>
        <w:pStyle w:val="ListParagraph"/>
        <w:numPr>
          <w:ilvl w:val="1"/>
          <w:numId w:val="24"/>
        </w:numPr>
      </w:pPr>
      <w:r>
        <w:t>Applicable for large emitters to</w:t>
      </w:r>
      <w:r w:rsidR="00626775">
        <w:t xml:space="preserve"> begin to</w:t>
      </w:r>
      <w:r>
        <w:t xml:space="preserve"> </w:t>
      </w:r>
      <w:r w:rsidR="003B17E7">
        <w:t>tread a path that is consistent with net zero commitments.</w:t>
      </w:r>
    </w:p>
    <w:p w14:paraId="238651DF" w14:textId="0B3DBB49" w:rsidR="004C61A2" w:rsidRPr="00016094" w:rsidRDefault="004C61A2" w:rsidP="004C61A2">
      <w:pPr>
        <w:rPr>
          <w:b/>
          <w:bCs/>
        </w:rPr>
      </w:pPr>
      <w:r w:rsidRPr="00016094">
        <w:rPr>
          <w:b/>
          <w:bCs/>
        </w:rPr>
        <w:t>Power</w:t>
      </w:r>
      <w:r w:rsidR="00E017D2">
        <w:rPr>
          <w:b/>
          <w:bCs/>
        </w:rPr>
        <w:t xml:space="preserve"> </w:t>
      </w:r>
      <w:r w:rsidR="00D73004">
        <w:rPr>
          <w:b/>
          <w:bCs/>
        </w:rPr>
        <w:t xml:space="preserve">(not necessarily policy but relevant </w:t>
      </w:r>
      <w:r w:rsidR="009F79D9">
        <w:rPr>
          <w:b/>
          <w:bCs/>
        </w:rPr>
        <w:t>for likely trends)</w:t>
      </w:r>
    </w:p>
    <w:p w14:paraId="5838D09A" w14:textId="3771C3B9" w:rsidR="004C61A2" w:rsidRDefault="00000000" w:rsidP="004C61A2">
      <w:pPr>
        <w:pStyle w:val="ListParagraph"/>
        <w:numPr>
          <w:ilvl w:val="0"/>
          <w:numId w:val="24"/>
        </w:numPr>
      </w:pPr>
      <w:hyperlink r:id="rId23" w:history="1">
        <w:r w:rsidR="004C61A2" w:rsidRPr="008C7D5F">
          <w:rPr>
            <w:rStyle w:val="Hyperlink"/>
          </w:rPr>
          <w:t>Integrated System Plan</w:t>
        </w:r>
      </w:hyperlink>
      <w:r w:rsidR="008C7D5F">
        <w:t>, including generation costs assumptions</w:t>
      </w:r>
      <w:r w:rsidR="00221F8B">
        <w:t>.</w:t>
      </w:r>
    </w:p>
    <w:p w14:paraId="6AEDE84F" w14:textId="07FAB155" w:rsidR="004323C8" w:rsidRDefault="00000000" w:rsidP="004323C8">
      <w:pPr>
        <w:pStyle w:val="ListParagraph"/>
        <w:numPr>
          <w:ilvl w:val="1"/>
          <w:numId w:val="24"/>
        </w:numPr>
      </w:pPr>
      <w:hyperlink r:id="rId24" w:history="1">
        <w:r w:rsidR="004323C8" w:rsidRPr="00221F8B">
          <w:rPr>
            <w:rStyle w:val="Hyperlink"/>
          </w:rPr>
          <w:t>Electricity Statement of Opportunities</w:t>
        </w:r>
      </w:hyperlink>
      <w:r w:rsidR="004323C8">
        <w:t xml:space="preserve"> </w:t>
      </w:r>
    </w:p>
    <w:p w14:paraId="3296303D" w14:textId="239DCDDD" w:rsidR="00082458" w:rsidRDefault="00000000" w:rsidP="00082458">
      <w:pPr>
        <w:pStyle w:val="ListParagraph"/>
        <w:numPr>
          <w:ilvl w:val="0"/>
          <w:numId w:val="24"/>
        </w:numPr>
      </w:pPr>
      <w:hyperlink r:id="rId25" w:history="1">
        <w:r w:rsidR="00082458" w:rsidRPr="001330A3">
          <w:rPr>
            <w:rStyle w:val="Hyperlink"/>
          </w:rPr>
          <w:t>Capacity investment scheme</w:t>
        </w:r>
      </w:hyperlink>
      <w:r w:rsidR="00082458">
        <w:t>.</w:t>
      </w:r>
    </w:p>
    <w:p w14:paraId="4FC8E000" w14:textId="51A0E8BC" w:rsidR="00274706" w:rsidRDefault="00274706" w:rsidP="00274706">
      <w:pPr>
        <w:pStyle w:val="ListParagraph"/>
        <w:numPr>
          <w:ilvl w:val="0"/>
          <w:numId w:val="24"/>
        </w:numPr>
      </w:pPr>
      <w:r>
        <w:t xml:space="preserve">Delivering </w:t>
      </w:r>
      <w:hyperlink r:id="rId26" w:history="1">
        <w:r w:rsidRPr="00274706">
          <w:rPr>
            <w:rStyle w:val="Hyperlink"/>
          </w:rPr>
          <w:t>priority transmission</w:t>
        </w:r>
      </w:hyperlink>
    </w:p>
    <w:p w14:paraId="13408CD5" w14:textId="4D026F41" w:rsidR="00B61B39" w:rsidRPr="001330A3" w:rsidRDefault="00B61B39" w:rsidP="00B61B39">
      <w:pPr>
        <w:rPr>
          <w:b/>
          <w:bCs/>
        </w:rPr>
      </w:pPr>
      <w:r w:rsidRPr="001330A3">
        <w:rPr>
          <w:b/>
          <w:bCs/>
        </w:rPr>
        <w:t>Supply (including refineries)</w:t>
      </w:r>
    </w:p>
    <w:p w14:paraId="440B67D0" w14:textId="5DBC7A75" w:rsidR="00DA4DE1" w:rsidRDefault="00000000" w:rsidP="00DA4DE1">
      <w:pPr>
        <w:pStyle w:val="ListParagraph"/>
        <w:numPr>
          <w:ilvl w:val="0"/>
          <w:numId w:val="24"/>
        </w:numPr>
      </w:pPr>
      <w:hyperlink r:id="rId27" w:history="1">
        <w:r w:rsidR="005B3E7E" w:rsidRPr="00316FE2">
          <w:rPr>
            <w:rStyle w:val="Hyperlink"/>
          </w:rPr>
          <w:t>East coast gas policy</w:t>
        </w:r>
      </w:hyperlink>
      <w:r w:rsidR="00316FE2">
        <w:t xml:space="preserve"> (a case study in how not to do things)</w:t>
      </w:r>
    </w:p>
    <w:p w14:paraId="40833A30" w14:textId="6D05C246" w:rsidR="00316FE2" w:rsidRDefault="00316FE2" w:rsidP="00316FE2">
      <w:pPr>
        <w:pStyle w:val="ListParagraph"/>
        <w:numPr>
          <w:ilvl w:val="1"/>
          <w:numId w:val="24"/>
        </w:numPr>
      </w:pPr>
      <w:r>
        <w:t xml:space="preserve">Still dominated by </w:t>
      </w:r>
      <w:r w:rsidR="00B16FF6">
        <w:t>a cartel</w:t>
      </w:r>
      <w:r w:rsidR="0069238E">
        <w:t>. G</w:t>
      </w:r>
      <w:r w:rsidR="00B16FF6">
        <w:t xml:space="preserve">overnment </w:t>
      </w:r>
      <w:r w:rsidR="0069238E">
        <w:t xml:space="preserve">unwilling </w:t>
      </w:r>
      <w:r w:rsidR="00B16FF6">
        <w:t>to step in and change things for the betterment of the Australian people</w:t>
      </w:r>
      <w:r w:rsidR="00645CBF">
        <w:t>.</w:t>
      </w:r>
    </w:p>
    <w:p w14:paraId="11D1B080" w14:textId="09004B8D" w:rsidR="007F729C" w:rsidRDefault="00000000" w:rsidP="00811C28">
      <w:pPr>
        <w:pStyle w:val="ListParagraph"/>
        <w:numPr>
          <w:ilvl w:val="1"/>
          <w:numId w:val="24"/>
        </w:numPr>
      </w:pPr>
      <w:hyperlink r:id="rId28" w:history="1">
        <w:r w:rsidR="00811C28" w:rsidRPr="009E1851">
          <w:rPr>
            <w:rStyle w:val="Hyperlink"/>
          </w:rPr>
          <w:t>ACCC reports</w:t>
        </w:r>
      </w:hyperlink>
      <w:r w:rsidR="00811C28">
        <w:t xml:space="preserve"> that c</w:t>
      </w:r>
      <w:r w:rsidR="007F729C">
        <w:t>lose to</w:t>
      </w:r>
      <w:r w:rsidR="00F27374">
        <w:t xml:space="preserve"> 90% of east coast</w:t>
      </w:r>
      <w:r w:rsidR="00663D1A">
        <w:t xml:space="preserve"> </w:t>
      </w:r>
      <w:r w:rsidR="007F729C">
        <w:t>2P</w:t>
      </w:r>
      <w:r w:rsidR="00F27374">
        <w:t xml:space="preserve"> gas resources are associated with </w:t>
      </w:r>
      <w:r w:rsidR="00DD0DD2">
        <w:t>east coast gas exporters</w:t>
      </w:r>
      <w:r w:rsidR="00811C28">
        <w:t>. T</w:t>
      </w:r>
      <w:r w:rsidR="00DD0DD2">
        <w:t>here is no incentive for them to deliver surplus production (and lower prices)</w:t>
      </w:r>
      <w:r w:rsidR="00F73B20">
        <w:t xml:space="preserve"> for domestic consumption.</w:t>
      </w:r>
    </w:p>
    <w:p w14:paraId="59CDB8D4" w14:textId="3B68F1A7" w:rsidR="007B2350" w:rsidRDefault="00DA4DE1" w:rsidP="00DA4DE1">
      <w:pPr>
        <w:pStyle w:val="ListParagraph"/>
        <w:numPr>
          <w:ilvl w:val="0"/>
          <w:numId w:val="24"/>
        </w:numPr>
      </w:pPr>
      <w:r>
        <w:t xml:space="preserve">Commitment to </w:t>
      </w:r>
      <w:hyperlink r:id="rId29" w:history="1">
        <w:r w:rsidRPr="00DA4DE1">
          <w:rPr>
            <w:rStyle w:val="Hyperlink"/>
          </w:rPr>
          <w:t>supporting domestic refineries</w:t>
        </w:r>
      </w:hyperlink>
      <w:r>
        <w:t>.</w:t>
      </w:r>
    </w:p>
    <w:p w14:paraId="64A6863C" w14:textId="17D4F19D" w:rsidR="00570E8A" w:rsidRPr="007C3192" w:rsidRDefault="00570E8A" w:rsidP="007C3192">
      <w:pPr>
        <w:pStyle w:val="ListParagraph"/>
        <w:numPr>
          <w:ilvl w:val="0"/>
          <w:numId w:val="25"/>
        </w:numPr>
        <w:rPr>
          <w:lang w:val="en-US" w:eastAsia="ja-JP"/>
        </w:rPr>
      </w:pPr>
      <w:r>
        <w:t>Still no east coast gas import terminals and good chance there never will be</w:t>
      </w:r>
      <w:r w:rsidR="007C3192">
        <w:t xml:space="preserve">. See </w:t>
      </w:r>
      <w:hyperlink r:id="rId30" w:history="1">
        <w:r w:rsidR="007C3192" w:rsidRPr="00D44416">
          <w:rPr>
            <w:rStyle w:val="Hyperlink"/>
            <w:lang w:val="en-US" w:eastAsia="ja-JP"/>
          </w:rPr>
          <w:t>Gas Statement of Opportunities</w:t>
        </w:r>
      </w:hyperlink>
      <w:r w:rsidR="007C3192">
        <w:rPr>
          <w:lang w:val="en-US" w:eastAsia="ja-JP"/>
        </w:rPr>
        <w:t>.</w:t>
      </w:r>
      <w:r>
        <w:t xml:space="preserve"> </w:t>
      </w:r>
    </w:p>
    <w:p w14:paraId="55236A04" w14:textId="38081091" w:rsidR="00CC5C3C" w:rsidRPr="00745554" w:rsidRDefault="00745554" w:rsidP="00C8126C">
      <w:pPr>
        <w:rPr>
          <w:b/>
          <w:bCs/>
        </w:rPr>
      </w:pPr>
      <w:r w:rsidRPr="00745554">
        <w:rPr>
          <w:b/>
          <w:bCs/>
        </w:rPr>
        <w:t>Hydrogen</w:t>
      </w:r>
    </w:p>
    <w:p w14:paraId="4043F7FD" w14:textId="66345864" w:rsidR="00D23922" w:rsidRDefault="00F4652A" w:rsidP="00F4652A">
      <w:pPr>
        <w:pStyle w:val="ListParagraph"/>
        <w:numPr>
          <w:ilvl w:val="0"/>
          <w:numId w:val="24"/>
        </w:numPr>
        <w:rPr>
          <w:lang w:val="en-US"/>
        </w:rPr>
      </w:pPr>
      <w:r w:rsidRPr="00F4652A">
        <w:rPr>
          <w:lang w:val="en-US"/>
        </w:rPr>
        <w:t>Consolidated</w:t>
      </w:r>
      <w:r>
        <w:rPr>
          <w:lang w:val="en-US"/>
        </w:rPr>
        <w:t xml:space="preserve"> </w:t>
      </w:r>
      <w:hyperlink r:id="rId31" w:history="1">
        <w:r w:rsidRPr="006F79D2">
          <w:rPr>
            <w:rStyle w:val="Hyperlink"/>
            <w:lang w:val="en-US"/>
          </w:rPr>
          <w:t>source</w:t>
        </w:r>
      </w:hyperlink>
      <w:r>
        <w:rPr>
          <w:lang w:val="en-US"/>
        </w:rPr>
        <w:t xml:space="preserve"> of policies/</w:t>
      </w:r>
      <w:r w:rsidR="006F79D2">
        <w:rPr>
          <w:lang w:val="en-US"/>
        </w:rPr>
        <w:t>initiatives.</w:t>
      </w:r>
    </w:p>
    <w:p w14:paraId="15A5F888" w14:textId="77777777" w:rsidR="00AB45AE" w:rsidRPr="00F4652A" w:rsidRDefault="00AB45AE" w:rsidP="00AB45AE">
      <w:pPr>
        <w:pStyle w:val="ListParagraph"/>
        <w:rPr>
          <w:lang w:val="en-US"/>
        </w:rPr>
      </w:pPr>
    </w:p>
    <w:p w14:paraId="1C3C4E1E" w14:textId="1C388B48" w:rsidR="000C3D7B" w:rsidRDefault="00DF27AD" w:rsidP="000C3D7B">
      <w:pPr>
        <w:pStyle w:val="Heading2"/>
      </w:pPr>
      <w:r>
        <w:t xml:space="preserve">Energy </w:t>
      </w:r>
      <w:r w:rsidR="000C3D7B">
        <w:t>Outlooks</w:t>
      </w:r>
    </w:p>
    <w:p w14:paraId="729538BC" w14:textId="77777777" w:rsidR="00AB45AE" w:rsidRPr="00AB45AE" w:rsidRDefault="00000000" w:rsidP="00AB45AE">
      <w:pPr>
        <w:pStyle w:val="ListParagraph"/>
        <w:numPr>
          <w:ilvl w:val="0"/>
          <w:numId w:val="24"/>
        </w:numPr>
        <w:rPr>
          <w:lang w:val="en-US" w:eastAsia="ja-JP"/>
        </w:rPr>
      </w:pPr>
      <w:hyperlink r:id="rId32" w:history="1">
        <w:r w:rsidR="00BC7912" w:rsidRPr="00AB45AE">
          <w:rPr>
            <w:rStyle w:val="Hyperlink"/>
            <w:lang w:val="en-US" w:eastAsia="ja-JP"/>
          </w:rPr>
          <w:t>Australia’s long-term emissions reduction plan</w:t>
        </w:r>
      </w:hyperlink>
      <w:r w:rsidR="00781FC5" w:rsidRPr="00AB45AE">
        <w:rPr>
          <w:lang w:val="en-AU" w:eastAsia="ja-JP"/>
        </w:rPr>
        <w:t xml:space="preserve"> provides modelling that lays a foundation for Australia’s 2050 net zero NDC commitment</w:t>
      </w:r>
      <w:r w:rsidR="0057419F" w:rsidRPr="00AB45AE">
        <w:rPr>
          <w:lang w:val="en-AU" w:eastAsia="ja-JP"/>
        </w:rPr>
        <w:t xml:space="preserve">. </w:t>
      </w:r>
    </w:p>
    <w:p w14:paraId="7E99BA31" w14:textId="77777777" w:rsidR="00AB45AE" w:rsidRDefault="0057419F" w:rsidP="00AB45AE">
      <w:pPr>
        <w:pStyle w:val="ListParagraph"/>
        <w:numPr>
          <w:ilvl w:val="1"/>
          <w:numId w:val="24"/>
        </w:numPr>
        <w:rPr>
          <w:lang w:val="en-US" w:eastAsia="ja-JP"/>
        </w:rPr>
      </w:pPr>
      <w:r w:rsidRPr="00AB45AE">
        <w:rPr>
          <w:lang w:val="en-AU" w:eastAsia="ja-JP"/>
        </w:rPr>
        <w:t>The</w:t>
      </w:r>
      <w:r w:rsidR="00BC7912" w:rsidRPr="00AB45AE">
        <w:rPr>
          <w:lang w:val="en-US" w:eastAsia="ja-JP"/>
        </w:rPr>
        <w:t xml:space="preserve"> plan gets Australia 85% of the way</w:t>
      </w:r>
      <w:r w:rsidR="00881D74" w:rsidRPr="00AB45AE">
        <w:rPr>
          <w:lang w:val="en-US" w:eastAsia="ja-JP"/>
        </w:rPr>
        <w:t xml:space="preserve"> to net zero, </w:t>
      </w:r>
      <w:r w:rsidR="00291A7A" w:rsidRPr="00AB45AE">
        <w:rPr>
          <w:lang w:val="en-US" w:eastAsia="ja-JP"/>
        </w:rPr>
        <w:t>though some of the assumptions are very ambitious</w:t>
      </w:r>
      <w:r w:rsidR="00BC7912" w:rsidRPr="00AB45AE">
        <w:rPr>
          <w:lang w:val="en-US" w:eastAsia="ja-JP"/>
        </w:rPr>
        <w:t xml:space="preserve">. </w:t>
      </w:r>
    </w:p>
    <w:p w14:paraId="7D583A37" w14:textId="61AE810D" w:rsidR="0057419F" w:rsidRPr="00AB45AE" w:rsidRDefault="00BC7912" w:rsidP="00AB45AE">
      <w:pPr>
        <w:pStyle w:val="ListParagraph"/>
        <w:numPr>
          <w:ilvl w:val="1"/>
          <w:numId w:val="24"/>
        </w:numPr>
        <w:rPr>
          <w:lang w:val="en-US" w:eastAsia="ja-JP"/>
        </w:rPr>
      </w:pPr>
      <w:r w:rsidRPr="00AB45AE">
        <w:rPr>
          <w:lang w:val="en-US" w:eastAsia="ja-JP"/>
        </w:rPr>
        <w:t xml:space="preserve">The remaining 15% is left as </w:t>
      </w:r>
      <w:r w:rsidR="00881D74" w:rsidRPr="00AB45AE">
        <w:rPr>
          <w:lang w:val="en-US" w:eastAsia="ja-JP"/>
        </w:rPr>
        <w:t>a reduction that will be met by unspecified means</w:t>
      </w:r>
      <w:r w:rsidR="00291A7A" w:rsidRPr="00AB45AE">
        <w:rPr>
          <w:lang w:val="en-US" w:eastAsia="ja-JP"/>
        </w:rPr>
        <w:t>.</w:t>
      </w:r>
      <w:r w:rsidR="00912C88" w:rsidRPr="00AB45AE">
        <w:rPr>
          <w:lang w:val="en-US" w:eastAsia="ja-JP"/>
        </w:rPr>
        <w:t xml:space="preserve"> The rationale is that there is too much uncertainty in the trajectory that Australia will eventually take, for it to be laid out with certainty now.</w:t>
      </w:r>
    </w:p>
    <w:p w14:paraId="2CDCC92E" w14:textId="3CBE4F5C" w:rsidR="00DF27AD" w:rsidRDefault="00DF27AD" w:rsidP="000C3D7B">
      <w:pPr>
        <w:rPr>
          <w:lang w:val="en-AU" w:eastAsia="ja-JP"/>
        </w:rPr>
      </w:pPr>
    </w:p>
    <w:p w14:paraId="6E2A2823" w14:textId="7F7E107B" w:rsidR="00BD1CEB" w:rsidRDefault="00BD1CEB" w:rsidP="005B2575">
      <w:pPr>
        <w:pStyle w:val="Heading1"/>
      </w:pPr>
      <w:r>
        <w:t>Scenario</w:t>
      </w:r>
      <w:r w:rsidR="00CA425F">
        <w:t>s</w:t>
      </w:r>
      <w:r>
        <w:t xml:space="preserve"> Description</w:t>
      </w:r>
    </w:p>
    <w:p w14:paraId="26DC8AE1" w14:textId="5D9F8789" w:rsidR="00495D7A" w:rsidRDefault="00495D7A" w:rsidP="00495D7A">
      <w:pPr>
        <w:pStyle w:val="Heading3"/>
        <w:rPr>
          <w:lang w:val="en-AU" w:eastAsia="ja-JP"/>
        </w:rPr>
      </w:pPr>
      <w:r>
        <w:rPr>
          <w:lang w:val="en-AU" w:eastAsia="ja-JP"/>
        </w:rPr>
        <w:t>Macroeconomics</w:t>
      </w:r>
    </w:p>
    <w:p w14:paraId="6542F601" w14:textId="5B57EA32" w:rsidR="00981B64" w:rsidRDefault="003F14E0" w:rsidP="00495D7A">
      <w:pPr>
        <w:rPr>
          <w:lang w:val="en-AU" w:eastAsia="ja-JP"/>
        </w:rPr>
      </w:pPr>
      <w:r>
        <w:rPr>
          <w:lang w:val="en-AU" w:eastAsia="ja-JP"/>
        </w:rPr>
        <w:t>One option for p</w:t>
      </w:r>
      <w:r w:rsidR="007D308B">
        <w:rPr>
          <w:lang w:val="en-AU" w:eastAsia="ja-JP"/>
        </w:rPr>
        <w:t xml:space="preserve">opulation assumptions </w:t>
      </w:r>
      <w:r>
        <w:rPr>
          <w:lang w:val="en-AU" w:eastAsia="ja-JP"/>
        </w:rPr>
        <w:t xml:space="preserve">is </w:t>
      </w:r>
      <w:r w:rsidR="007D308B">
        <w:rPr>
          <w:lang w:val="en-AU" w:eastAsia="ja-JP"/>
        </w:rPr>
        <w:t xml:space="preserve">the United Nations </w:t>
      </w:r>
      <w:r w:rsidR="00541E65">
        <w:rPr>
          <w:lang w:val="en-AU" w:eastAsia="ja-JP"/>
        </w:rPr>
        <w:t>Department of Economic and Social Affairs (UNDESA) World Population Prospects 2022 projection</w:t>
      </w:r>
      <w:r w:rsidR="0017207C">
        <w:rPr>
          <w:rStyle w:val="FootnoteReference"/>
          <w:lang w:val="en-AU" w:eastAsia="ja-JP"/>
        </w:rPr>
        <w:footnoteReference w:id="2"/>
      </w:r>
      <w:r w:rsidR="00541E65">
        <w:rPr>
          <w:lang w:val="en-AU" w:eastAsia="ja-JP"/>
        </w:rPr>
        <w:t xml:space="preserve">. The High projection </w:t>
      </w:r>
      <w:r w:rsidR="00304261">
        <w:rPr>
          <w:lang w:val="en-AU" w:eastAsia="ja-JP"/>
        </w:rPr>
        <w:t xml:space="preserve">is most relevant for </w:t>
      </w:r>
      <w:r w:rsidR="00FC44ED">
        <w:rPr>
          <w:lang w:val="en-AU" w:eastAsia="ja-JP"/>
        </w:rPr>
        <w:t>Australia</w:t>
      </w:r>
      <w:r w:rsidR="00304261">
        <w:rPr>
          <w:lang w:val="en-AU" w:eastAsia="ja-JP"/>
        </w:rPr>
        <w:t xml:space="preserve"> and reflects </w:t>
      </w:r>
      <w:r w:rsidR="005A3189">
        <w:rPr>
          <w:lang w:val="en-AU" w:eastAsia="ja-JP"/>
        </w:rPr>
        <w:t xml:space="preserve">high </w:t>
      </w:r>
      <w:r w:rsidR="006E24E3">
        <w:rPr>
          <w:lang w:val="en-AU" w:eastAsia="ja-JP"/>
        </w:rPr>
        <w:t>immigration</w:t>
      </w:r>
      <w:r w:rsidR="005A3189">
        <w:rPr>
          <w:lang w:val="en-AU" w:eastAsia="ja-JP"/>
        </w:rPr>
        <w:t xml:space="preserve"> policy settings</w:t>
      </w:r>
      <w:r w:rsidR="006E24E3">
        <w:rPr>
          <w:lang w:val="en-AU" w:eastAsia="ja-JP"/>
        </w:rPr>
        <w:t>.</w:t>
      </w:r>
      <w:r w:rsidR="0041554D">
        <w:rPr>
          <w:lang w:val="en-AU" w:eastAsia="ja-JP"/>
        </w:rPr>
        <w:t xml:space="preserve"> This </w:t>
      </w:r>
      <w:r w:rsidR="005A3189">
        <w:rPr>
          <w:lang w:val="en-AU" w:eastAsia="ja-JP"/>
        </w:rPr>
        <w:t xml:space="preserve">High scenario </w:t>
      </w:r>
      <w:r w:rsidR="0041554D">
        <w:rPr>
          <w:lang w:val="en-AU" w:eastAsia="ja-JP"/>
        </w:rPr>
        <w:t xml:space="preserve">sees population reach </w:t>
      </w:r>
      <w:r w:rsidR="00717D59">
        <w:rPr>
          <w:lang w:val="en-AU" w:eastAsia="ja-JP"/>
        </w:rPr>
        <w:t>34.5</w:t>
      </w:r>
      <w:r w:rsidR="00B90009">
        <w:rPr>
          <w:lang w:val="en-AU" w:eastAsia="ja-JP"/>
        </w:rPr>
        <w:t xml:space="preserve"> million by 2050 and approach </w:t>
      </w:r>
      <w:r w:rsidR="00F2404D">
        <w:rPr>
          <w:lang w:val="en-AU" w:eastAsia="ja-JP"/>
        </w:rPr>
        <w:t>37.5</w:t>
      </w:r>
      <w:r w:rsidR="00B90009">
        <w:rPr>
          <w:lang w:val="en-AU" w:eastAsia="ja-JP"/>
        </w:rPr>
        <w:t xml:space="preserve"> million by 2060.</w:t>
      </w:r>
    </w:p>
    <w:p w14:paraId="5CFEEE53" w14:textId="6BFDC420" w:rsidR="00F2404D" w:rsidRDefault="00F2404D" w:rsidP="00495D7A">
      <w:pPr>
        <w:rPr>
          <w:lang w:val="en-AU" w:eastAsia="ja-JP"/>
        </w:rPr>
      </w:pPr>
      <w:r>
        <w:rPr>
          <w:lang w:val="en-AU" w:eastAsia="ja-JP"/>
        </w:rPr>
        <w:t xml:space="preserve">But this ‘High’ estimate is lower than </w:t>
      </w:r>
      <w:r w:rsidR="005A3189">
        <w:rPr>
          <w:lang w:val="en-AU" w:eastAsia="ja-JP"/>
        </w:rPr>
        <w:t>Australian Treasury’s</w:t>
      </w:r>
      <w:r>
        <w:rPr>
          <w:lang w:val="en-AU" w:eastAsia="ja-JP"/>
        </w:rPr>
        <w:t xml:space="preserve"> </w:t>
      </w:r>
      <w:hyperlink r:id="rId33" w:history="1">
        <w:r w:rsidRPr="005B5EDE">
          <w:rPr>
            <w:rStyle w:val="Hyperlink"/>
            <w:lang w:val="en-AU" w:eastAsia="ja-JP"/>
          </w:rPr>
          <w:t xml:space="preserve">2023 Intergenerational </w:t>
        </w:r>
        <w:r w:rsidR="005B5EDE" w:rsidRPr="005B5EDE">
          <w:rPr>
            <w:rStyle w:val="Hyperlink"/>
            <w:lang w:val="en-AU" w:eastAsia="ja-JP"/>
          </w:rPr>
          <w:t>R</w:t>
        </w:r>
        <w:r w:rsidRPr="005B5EDE">
          <w:rPr>
            <w:rStyle w:val="Hyperlink"/>
            <w:lang w:val="en-AU" w:eastAsia="ja-JP"/>
          </w:rPr>
          <w:t>eport</w:t>
        </w:r>
      </w:hyperlink>
      <w:r>
        <w:rPr>
          <w:lang w:val="en-AU" w:eastAsia="ja-JP"/>
        </w:rPr>
        <w:t xml:space="preserve"> which estimates Australia population will reach</w:t>
      </w:r>
      <w:r w:rsidR="00BF0E88">
        <w:rPr>
          <w:lang w:val="en-AU" w:eastAsia="ja-JP"/>
        </w:rPr>
        <w:t xml:space="preserve"> 36 million by 2050 and </w:t>
      </w:r>
      <w:r w:rsidR="00DF75D5">
        <w:rPr>
          <w:lang w:val="en-AU" w:eastAsia="ja-JP"/>
        </w:rPr>
        <w:t>39.5 million by 2060.</w:t>
      </w:r>
    </w:p>
    <w:p w14:paraId="477FB46E" w14:textId="27D6DB00" w:rsidR="00DF75D5" w:rsidRDefault="00DF75D5" w:rsidP="00495D7A">
      <w:pPr>
        <w:rPr>
          <w:lang w:val="en-AU" w:eastAsia="ja-JP"/>
        </w:rPr>
      </w:pPr>
      <w:r>
        <w:rPr>
          <w:lang w:val="en-AU" w:eastAsia="ja-JP"/>
        </w:rPr>
        <w:t>A choice will need to be made on whether to use UN DESA High of the 2023 IGR from Australia.</w:t>
      </w:r>
    </w:p>
    <w:p w14:paraId="3FB05086" w14:textId="584B88C6" w:rsidR="006E24E3" w:rsidRDefault="006E24E3" w:rsidP="00495D7A">
      <w:pPr>
        <w:rPr>
          <w:lang w:val="en-AU" w:eastAsia="ja-JP"/>
        </w:rPr>
      </w:pPr>
      <w:r>
        <w:rPr>
          <w:lang w:val="en-AU" w:eastAsia="ja-JP"/>
        </w:rPr>
        <w:t>GDP projections are made internally via a Swan Solow growth model</w:t>
      </w:r>
      <w:r w:rsidR="0077345C">
        <w:rPr>
          <w:lang w:val="en-AU" w:eastAsia="ja-JP"/>
        </w:rPr>
        <w:t xml:space="preserve"> that takes over from projections by the IMF until 2027</w:t>
      </w:r>
      <w:r>
        <w:rPr>
          <w:lang w:val="en-AU" w:eastAsia="ja-JP"/>
        </w:rPr>
        <w:t xml:space="preserve">. </w:t>
      </w:r>
      <w:r w:rsidR="0077345C">
        <w:rPr>
          <w:lang w:val="en-AU" w:eastAsia="ja-JP"/>
        </w:rPr>
        <w:t xml:space="preserve">The </w:t>
      </w:r>
      <w:r w:rsidR="000F6965">
        <w:rPr>
          <w:lang w:val="en-AU" w:eastAsia="ja-JP"/>
        </w:rPr>
        <w:t xml:space="preserve">IMF projections align with </w:t>
      </w:r>
      <w:r w:rsidR="00427608">
        <w:rPr>
          <w:lang w:val="en-AU" w:eastAsia="ja-JP"/>
        </w:rPr>
        <w:t xml:space="preserve">best-available expectations for the </w:t>
      </w:r>
      <w:r w:rsidR="00630187">
        <w:rPr>
          <w:lang w:val="en-AU" w:eastAsia="ja-JP"/>
        </w:rPr>
        <w:t xml:space="preserve">Australian </w:t>
      </w:r>
      <w:r w:rsidR="00427608">
        <w:rPr>
          <w:lang w:val="en-AU" w:eastAsia="ja-JP"/>
        </w:rPr>
        <w:t>and global economies</w:t>
      </w:r>
      <w:r w:rsidR="0077345C">
        <w:rPr>
          <w:lang w:val="en-AU" w:eastAsia="ja-JP"/>
        </w:rPr>
        <w:t xml:space="preserve"> in the short- to medium-term</w:t>
      </w:r>
      <w:r w:rsidR="00427608">
        <w:rPr>
          <w:lang w:val="en-AU" w:eastAsia="ja-JP"/>
        </w:rPr>
        <w:t xml:space="preserve">. </w:t>
      </w:r>
      <w:r w:rsidR="00DC1DC3">
        <w:rPr>
          <w:lang w:val="en-AU" w:eastAsia="ja-JP"/>
        </w:rPr>
        <w:t xml:space="preserve">Under this framework, real GDP grows at a CAGR of </w:t>
      </w:r>
      <w:r w:rsidR="001B12D8">
        <w:rPr>
          <w:lang w:val="en-AU" w:eastAsia="ja-JP"/>
        </w:rPr>
        <w:t>2.0</w:t>
      </w:r>
      <w:r w:rsidR="00DC1DC3">
        <w:rPr>
          <w:lang w:val="en-AU" w:eastAsia="ja-JP"/>
        </w:rPr>
        <w:t xml:space="preserve">% </w:t>
      </w:r>
      <w:r w:rsidR="001B12D8">
        <w:rPr>
          <w:lang w:val="en-AU" w:eastAsia="ja-JP"/>
        </w:rPr>
        <w:t>from 2028 to 20</w:t>
      </w:r>
      <w:r w:rsidR="00BF27C5">
        <w:rPr>
          <w:lang w:val="en-AU" w:eastAsia="ja-JP"/>
        </w:rPr>
        <w:t>60, using the UN DESA High. With a higher population assumption from the 2023 IGR, real growth will be higher</w:t>
      </w:r>
      <w:r w:rsidR="00F1261C">
        <w:rPr>
          <w:lang w:val="en-AU" w:eastAsia="ja-JP"/>
        </w:rPr>
        <w:t>.</w:t>
      </w:r>
      <w:r w:rsidR="003260ED">
        <w:rPr>
          <w:lang w:val="en-AU" w:eastAsia="ja-JP"/>
        </w:rPr>
        <w:t xml:space="preserve"> Per capita growth should be similar.</w:t>
      </w:r>
    </w:p>
    <w:p w14:paraId="5957B30B" w14:textId="46958DF4" w:rsidR="00981B64" w:rsidRPr="00495D7A" w:rsidRDefault="00F1261C" w:rsidP="00495D7A">
      <w:pPr>
        <w:rPr>
          <w:lang w:val="en-AU" w:eastAsia="ja-JP"/>
        </w:rPr>
      </w:pPr>
      <w:r>
        <w:rPr>
          <w:lang w:val="en-AU" w:eastAsia="ja-JP"/>
        </w:rPr>
        <w:lastRenderedPageBreak/>
        <w:t xml:space="preserve">Whatever choice of population is finally chosen, </w:t>
      </w:r>
      <w:r w:rsidR="00981B64">
        <w:rPr>
          <w:lang w:val="en-AU" w:eastAsia="ja-JP"/>
        </w:rPr>
        <w:t>GDP and population are assumed to stay the same in both scenarios.</w:t>
      </w:r>
    </w:p>
    <w:p w14:paraId="5970D35E" w14:textId="7BEF03E9" w:rsidR="00F61B46" w:rsidRDefault="00F61B46" w:rsidP="00B538ED">
      <w:pPr>
        <w:pStyle w:val="Heading3"/>
        <w:rPr>
          <w:lang w:val="en-US"/>
        </w:rPr>
      </w:pPr>
      <w:r>
        <w:rPr>
          <w:lang w:val="en-US"/>
        </w:rPr>
        <w:t>The Reference scenario</w:t>
      </w:r>
    </w:p>
    <w:p w14:paraId="1F237D2B" w14:textId="38C8664A" w:rsidR="008E4470" w:rsidRDefault="008E4470" w:rsidP="00AD7442">
      <w:pPr>
        <w:rPr>
          <w:lang w:val="en-US"/>
        </w:rPr>
      </w:pPr>
      <w:r>
        <w:rPr>
          <w:lang w:val="en-US"/>
        </w:rPr>
        <w:t xml:space="preserve">REF for </w:t>
      </w:r>
      <w:r w:rsidR="00107218">
        <w:rPr>
          <w:lang w:val="en-US"/>
        </w:rPr>
        <w:t xml:space="preserve">Australia </w:t>
      </w:r>
      <w:r>
        <w:rPr>
          <w:lang w:val="en-US"/>
        </w:rPr>
        <w:t>is a continuation of existing energy demand and supply trends</w:t>
      </w:r>
      <w:r w:rsidR="004B051A">
        <w:rPr>
          <w:lang w:val="en-US"/>
        </w:rPr>
        <w:t xml:space="preserve"> subject to the influence of policy </w:t>
      </w:r>
      <w:r w:rsidR="00723D3C">
        <w:rPr>
          <w:lang w:val="en-US"/>
        </w:rPr>
        <w:t xml:space="preserve">in place </w:t>
      </w:r>
      <w:r w:rsidR="004B051A">
        <w:rPr>
          <w:lang w:val="en-US"/>
        </w:rPr>
        <w:t>at the time of analysis</w:t>
      </w:r>
      <w:r w:rsidR="00B97874">
        <w:rPr>
          <w:lang w:val="en-US"/>
        </w:rPr>
        <w:t>.</w:t>
      </w:r>
    </w:p>
    <w:p w14:paraId="619CEDFB" w14:textId="10D2DCE4" w:rsidR="00D101CD" w:rsidRPr="0073489F" w:rsidRDefault="0073489F" w:rsidP="00AD7442">
      <w:pPr>
        <w:rPr>
          <w:b/>
          <w:bCs/>
          <w:lang w:val="en-US"/>
        </w:rPr>
      </w:pPr>
      <w:r w:rsidRPr="0073489F">
        <w:rPr>
          <w:b/>
          <w:bCs/>
          <w:lang w:val="en-US"/>
        </w:rPr>
        <w:t>Agriculture</w:t>
      </w:r>
    </w:p>
    <w:p w14:paraId="35DE55D9" w14:textId="1932776E" w:rsidR="000431E7" w:rsidRPr="000431E7" w:rsidRDefault="000431E7" w:rsidP="000431E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Some agriculture related policies are attached to </w:t>
      </w:r>
      <w:hyperlink r:id="rId34" w:history="1">
        <w:r w:rsidRPr="0073489F">
          <w:rPr>
            <w:rStyle w:val="Hyperlink"/>
            <w:lang w:val="en-US"/>
          </w:rPr>
          <w:t>Emissions Reduction Fund</w:t>
        </w:r>
      </w:hyperlink>
      <w:r>
        <w:rPr>
          <w:lang w:val="en-US"/>
        </w:rPr>
        <w:t>.</w:t>
      </w:r>
    </w:p>
    <w:p w14:paraId="5D5432C2" w14:textId="5239DD2A" w:rsidR="00756F66" w:rsidRPr="00756F66" w:rsidRDefault="00756F66" w:rsidP="00AD7442">
      <w:pPr>
        <w:rPr>
          <w:b/>
          <w:bCs/>
          <w:lang w:val="en-US"/>
        </w:rPr>
      </w:pPr>
      <w:r w:rsidRPr="00756F66">
        <w:rPr>
          <w:b/>
          <w:bCs/>
          <w:lang w:val="en-US"/>
        </w:rPr>
        <w:t>Buildings</w:t>
      </w:r>
    </w:p>
    <w:p w14:paraId="6F39ECF6" w14:textId="77777777" w:rsidR="00E1684E" w:rsidRDefault="00875D1D" w:rsidP="00875D1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Residential and commercial use of gas is becoming strained due to </w:t>
      </w:r>
      <w:r w:rsidR="00DE69C1">
        <w:rPr>
          <w:lang w:val="en-US"/>
        </w:rPr>
        <w:t xml:space="preserve">policies that have </w:t>
      </w:r>
      <w:proofErr w:type="spellStart"/>
      <w:r w:rsidR="00DE69C1">
        <w:rPr>
          <w:lang w:val="en-US"/>
        </w:rPr>
        <w:t>prioirtised</w:t>
      </w:r>
      <w:proofErr w:type="spellEnd"/>
      <w:r w:rsidR="00DE69C1">
        <w:rPr>
          <w:lang w:val="en-US"/>
        </w:rPr>
        <w:t xml:space="preserve"> exports above all else</w:t>
      </w:r>
      <w:r w:rsidR="00E1684E">
        <w:rPr>
          <w:lang w:val="en-US"/>
        </w:rPr>
        <w:t>.</w:t>
      </w:r>
    </w:p>
    <w:p w14:paraId="73B6536C" w14:textId="69E64608" w:rsidR="00351A81" w:rsidRDefault="00E1684E" w:rsidP="00E1684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Electrification was already </w:t>
      </w:r>
      <w:r w:rsidR="00BA1DAF">
        <w:rPr>
          <w:lang w:val="en-US"/>
        </w:rPr>
        <w:t>gathering pace</w:t>
      </w:r>
      <w:r>
        <w:rPr>
          <w:lang w:val="en-US"/>
        </w:rPr>
        <w:t xml:space="preserve">, but with the </w:t>
      </w:r>
      <w:r w:rsidR="00351A81">
        <w:rPr>
          <w:lang w:val="en-US"/>
        </w:rPr>
        <w:t xml:space="preserve">natural gas markets the way they are, electrification will be even </w:t>
      </w:r>
      <w:r w:rsidR="00D27C4F">
        <w:rPr>
          <w:lang w:val="en-US"/>
        </w:rPr>
        <w:t xml:space="preserve">more </w:t>
      </w:r>
      <w:proofErr w:type="spellStart"/>
      <w:r w:rsidR="00D27C4F">
        <w:rPr>
          <w:lang w:val="en-US"/>
        </w:rPr>
        <w:t>incentivised</w:t>
      </w:r>
      <w:proofErr w:type="spellEnd"/>
      <w:r w:rsidR="00BA1DAF">
        <w:rPr>
          <w:lang w:val="en-US"/>
        </w:rPr>
        <w:t>.</w:t>
      </w:r>
    </w:p>
    <w:p w14:paraId="7D0FF9DE" w14:textId="6BF3B4CC" w:rsidR="00C616E4" w:rsidRDefault="00483AE0" w:rsidP="00351A8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Australia is </w:t>
      </w:r>
      <w:hyperlink r:id="rId35" w:history="1">
        <w:r w:rsidRPr="00575100">
          <w:rPr>
            <w:rStyle w:val="Hyperlink"/>
            <w:lang w:val="en-US"/>
          </w:rPr>
          <w:t>building at some of the fastest rates</w:t>
        </w:r>
      </w:hyperlink>
      <w:r>
        <w:rPr>
          <w:lang w:val="en-US"/>
        </w:rPr>
        <w:t xml:space="preserve"> in the OECD</w:t>
      </w:r>
      <w:r w:rsidR="008F3DE5" w:rsidRPr="00875D1D">
        <w:rPr>
          <w:lang w:val="en-US"/>
        </w:rPr>
        <w:t xml:space="preserve"> </w:t>
      </w:r>
    </w:p>
    <w:p w14:paraId="04ECF540" w14:textId="1450D3E1" w:rsidR="00827E65" w:rsidRPr="00875D1D" w:rsidRDefault="007F21B6" w:rsidP="00BA1DA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Square </w:t>
      </w:r>
      <w:proofErr w:type="spellStart"/>
      <w:r>
        <w:rPr>
          <w:lang w:val="en-US"/>
        </w:rPr>
        <w:t>metres</w:t>
      </w:r>
      <w:proofErr w:type="spellEnd"/>
      <w:r>
        <w:rPr>
          <w:lang w:val="en-US"/>
        </w:rPr>
        <w:t xml:space="preserve"> per capita is likely to trend down as higher density living is needed to cater to rapid population growth</w:t>
      </w:r>
      <w:r w:rsidR="00D27C4F">
        <w:rPr>
          <w:lang w:val="en-US"/>
        </w:rPr>
        <w:t xml:space="preserve"> with low/zero median income growth</w:t>
      </w:r>
      <w:r w:rsidR="001C3C08">
        <w:rPr>
          <w:lang w:val="en-US"/>
        </w:rPr>
        <w:t xml:space="preserve">. See </w:t>
      </w:r>
      <w:hyperlink r:id="rId36" w:history="1">
        <w:r w:rsidR="001C3C08" w:rsidRPr="00BA1DAF">
          <w:rPr>
            <w:rStyle w:val="Hyperlink"/>
            <w:lang w:val="en-US"/>
          </w:rPr>
          <w:t>Average Floor Area of New Residential Dwellings</w:t>
        </w:r>
      </w:hyperlink>
      <w:r w:rsidR="001C3C08">
        <w:rPr>
          <w:lang w:val="en-US"/>
        </w:rPr>
        <w:t xml:space="preserve"> for </w:t>
      </w:r>
      <w:r w:rsidR="00BA1DAF">
        <w:rPr>
          <w:lang w:val="en-US"/>
        </w:rPr>
        <w:t>historical trends</w:t>
      </w:r>
      <w:r w:rsidR="001C3C08">
        <w:rPr>
          <w:lang w:val="en-US"/>
        </w:rPr>
        <w:t>.</w:t>
      </w:r>
    </w:p>
    <w:p w14:paraId="74EC31CD" w14:textId="63B1E552" w:rsidR="00756F66" w:rsidRPr="00756F66" w:rsidRDefault="00756F66" w:rsidP="00AD7442">
      <w:pPr>
        <w:rPr>
          <w:b/>
          <w:bCs/>
          <w:lang w:val="en-US"/>
        </w:rPr>
      </w:pPr>
      <w:r w:rsidRPr="00756F66">
        <w:rPr>
          <w:b/>
          <w:bCs/>
          <w:lang w:val="en-US"/>
        </w:rPr>
        <w:t>Transport</w:t>
      </w:r>
    </w:p>
    <w:p w14:paraId="028D5373" w14:textId="7E93F846" w:rsidR="002D7B00" w:rsidRDefault="000342BE" w:rsidP="000342B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Ethanol and biofuels </w:t>
      </w:r>
      <w:hyperlink r:id="rId37" w:history="1">
        <w:r w:rsidRPr="000342BE">
          <w:rPr>
            <w:rStyle w:val="Hyperlink"/>
            <w:lang w:val="en-US"/>
          </w:rPr>
          <w:t>aren’t a big deal</w:t>
        </w:r>
      </w:hyperlink>
      <w:r>
        <w:rPr>
          <w:lang w:val="en-US"/>
        </w:rPr>
        <w:t>.</w:t>
      </w:r>
    </w:p>
    <w:p w14:paraId="1628491F" w14:textId="7C08D630" w:rsidR="000342BE" w:rsidRDefault="00D16518" w:rsidP="00D1651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Additional context from </w:t>
      </w:r>
      <w:hyperlink r:id="rId38" w:history="1">
        <w:r w:rsidRPr="00D16518">
          <w:rPr>
            <w:rStyle w:val="Hyperlink"/>
            <w:lang w:val="en-US"/>
          </w:rPr>
          <w:t>Argus</w:t>
        </w:r>
      </w:hyperlink>
      <w:r>
        <w:rPr>
          <w:lang w:val="en-US"/>
        </w:rPr>
        <w:t>.</w:t>
      </w:r>
    </w:p>
    <w:p w14:paraId="0009026F" w14:textId="602D57FC" w:rsidR="00D16518" w:rsidRDefault="009B3A54" w:rsidP="00D1651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</w:t>
      </w:r>
      <w:r w:rsidR="00AF6F93">
        <w:rPr>
          <w:lang w:val="en-US"/>
        </w:rPr>
        <w:t xml:space="preserve">iscussion of electrification of transport in the AEMO </w:t>
      </w:r>
      <w:hyperlink r:id="rId39" w:history="1">
        <w:r w:rsidR="00FE0101" w:rsidRPr="001559AA">
          <w:rPr>
            <w:rStyle w:val="Hyperlink"/>
            <w:lang w:val="en-US"/>
          </w:rPr>
          <w:t>ESOO</w:t>
        </w:r>
      </w:hyperlink>
    </w:p>
    <w:p w14:paraId="694737D8" w14:textId="01864488" w:rsidR="00AF6F93" w:rsidRDefault="00000000" w:rsidP="00AF6F93">
      <w:pPr>
        <w:pStyle w:val="ListParagraph"/>
        <w:numPr>
          <w:ilvl w:val="1"/>
          <w:numId w:val="24"/>
        </w:numPr>
        <w:rPr>
          <w:lang w:val="en-US"/>
        </w:rPr>
      </w:pPr>
      <w:hyperlink r:id="rId40" w:history="1">
        <w:r w:rsidR="00AF6F93" w:rsidRPr="00AF6F93">
          <w:rPr>
            <w:rStyle w:val="Hyperlink"/>
            <w:lang w:val="en-US"/>
          </w:rPr>
          <w:t>Assumption</w:t>
        </w:r>
      </w:hyperlink>
      <w:r w:rsidR="00AF6F93">
        <w:rPr>
          <w:lang w:val="en-US"/>
        </w:rPr>
        <w:t xml:space="preserve"> </w:t>
      </w:r>
      <w:r w:rsidR="0068439B">
        <w:rPr>
          <w:lang w:val="en-US"/>
        </w:rPr>
        <w:t xml:space="preserve">document </w:t>
      </w:r>
      <w:r w:rsidR="00AF6F93">
        <w:rPr>
          <w:lang w:val="en-US"/>
        </w:rPr>
        <w:t>talks about three scenarios</w:t>
      </w:r>
      <w:r w:rsidR="0068439B">
        <w:rPr>
          <w:lang w:val="en-US"/>
        </w:rPr>
        <w:t xml:space="preserve"> that sees </w:t>
      </w:r>
      <w:r w:rsidR="00FC0FF6">
        <w:rPr>
          <w:lang w:val="en-US"/>
        </w:rPr>
        <w:t xml:space="preserve">percent </w:t>
      </w:r>
      <w:r w:rsidR="0068439B">
        <w:rPr>
          <w:lang w:val="en-US"/>
        </w:rPr>
        <w:t>of road transport</w:t>
      </w:r>
      <w:r w:rsidR="00FC0FF6">
        <w:rPr>
          <w:lang w:val="en-US"/>
        </w:rPr>
        <w:t xml:space="preserve"> that is EV in 2040 at 72%, 60% or 32%, depending on the scenario. The lower assumption is likely to be most relevant to REF.</w:t>
      </w:r>
    </w:p>
    <w:p w14:paraId="56BDCBA3" w14:textId="337764C1" w:rsidR="005126F5" w:rsidRDefault="005126F5" w:rsidP="00AF6F93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Progressive change in Figure 5-1</w:t>
      </w:r>
      <w:r w:rsidR="006309E1">
        <w:rPr>
          <w:lang w:val="en-US"/>
        </w:rPr>
        <w:t xml:space="preserve"> of </w:t>
      </w:r>
      <w:hyperlink r:id="rId41" w:history="1">
        <w:r w:rsidR="006309E1" w:rsidRPr="008660E4">
          <w:rPr>
            <w:rStyle w:val="Hyperlink"/>
            <w:lang w:val="en-US"/>
          </w:rPr>
          <w:t>CSIRO EV report</w:t>
        </w:r>
      </w:hyperlink>
      <w:r>
        <w:rPr>
          <w:lang w:val="en-US"/>
        </w:rPr>
        <w:t xml:space="preserve"> likely to </w:t>
      </w:r>
      <w:r w:rsidR="006309E1">
        <w:rPr>
          <w:lang w:val="en-US"/>
        </w:rPr>
        <w:t>be a solid reference for REF. Note the significant revision to sales share from one year to the next.</w:t>
      </w:r>
    </w:p>
    <w:p w14:paraId="4638C7D9" w14:textId="1F090B47" w:rsidR="002E7654" w:rsidRDefault="002E7654" w:rsidP="002E7654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Appendix </w:t>
      </w:r>
      <w:r w:rsidR="000B0DDF">
        <w:rPr>
          <w:lang w:val="en-US"/>
        </w:rPr>
        <w:t xml:space="preserve">Table B1 gives sales share and </w:t>
      </w:r>
      <w:r>
        <w:rPr>
          <w:lang w:val="en-US"/>
        </w:rPr>
        <w:t xml:space="preserve">Table B2 gives fleet share </w:t>
      </w:r>
      <w:r w:rsidR="000B0DDF">
        <w:rPr>
          <w:lang w:val="en-US"/>
        </w:rPr>
        <w:t xml:space="preserve">for 4 </w:t>
      </w:r>
      <w:proofErr w:type="gramStart"/>
      <w:r w:rsidR="000B0DDF">
        <w:rPr>
          <w:lang w:val="en-US"/>
        </w:rPr>
        <w:t>scenarios</w:t>
      </w:r>
      <w:commentRangeStart w:id="0"/>
      <w:proofErr w:type="gramEnd"/>
    </w:p>
    <w:p w14:paraId="2D1B5F8E" w14:textId="10299505" w:rsidR="000B0DDF" w:rsidRDefault="00294452" w:rsidP="000B0DD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Some </w:t>
      </w:r>
      <w:hyperlink r:id="rId42" w:history="1">
        <w:r w:rsidRPr="00294452">
          <w:rPr>
            <w:rStyle w:val="Hyperlink"/>
            <w:lang w:val="en-US"/>
          </w:rPr>
          <w:t>freight forecasts</w:t>
        </w:r>
      </w:hyperlink>
      <w:r>
        <w:rPr>
          <w:lang w:val="en-US"/>
        </w:rPr>
        <w:t xml:space="preserve"> from BITRE</w:t>
      </w:r>
    </w:p>
    <w:p w14:paraId="66FE5ABE" w14:textId="0BCE6792" w:rsidR="00643142" w:rsidRPr="006B3086" w:rsidRDefault="003954CE" w:rsidP="00643142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R</w:t>
      </w:r>
      <w:r w:rsidR="00CB0D2B">
        <w:rPr>
          <w:lang w:val="en-US"/>
        </w:rPr>
        <w:t xml:space="preserve">ail </w:t>
      </w:r>
      <w:r w:rsidR="00EB32C3">
        <w:rPr>
          <w:lang w:val="en-US"/>
        </w:rPr>
        <w:t xml:space="preserve">freight </w:t>
      </w:r>
      <w:r>
        <w:rPr>
          <w:lang w:val="en-US"/>
        </w:rPr>
        <w:t>low growth is likely due to lower coal production.</w:t>
      </w:r>
      <w:commentRangeEnd w:id="0"/>
      <w:r w:rsidR="00CF683F">
        <w:rPr>
          <w:rStyle w:val="CommentReference"/>
        </w:rPr>
        <w:commentReference w:id="0"/>
      </w:r>
    </w:p>
    <w:p w14:paraId="7C77CF8D" w14:textId="6774FF8C" w:rsidR="00756F66" w:rsidRPr="00756F66" w:rsidRDefault="00756F66" w:rsidP="00AD7442">
      <w:pPr>
        <w:rPr>
          <w:b/>
          <w:bCs/>
          <w:lang w:val="en-US"/>
        </w:rPr>
      </w:pPr>
      <w:r w:rsidRPr="00756F66">
        <w:rPr>
          <w:b/>
          <w:bCs/>
          <w:lang w:val="en-US"/>
        </w:rPr>
        <w:t>Industry</w:t>
      </w:r>
    </w:p>
    <w:p w14:paraId="169082C6" w14:textId="015BCAEE" w:rsidR="009B1878" w:rsidRDefault="003C4EBF" w:rsidP="002349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</w:t>
      </w:r>
      <w:r w:rsidR="002349C2">
        <w:rPr>
          <w:lang w:val="en-US"/>
        </w:rPr>
        <w:t xml:space="preserve">inkage of industry policy to </w:t>
      </w:r>
      <w:r w:rsidR="00361AEA">
        <w:rPr>
          <w:lang w:val="en-US"/>
        </w:rPr>
        <w:t>carbon neutrality/energy transition ambitions</w:t>
      </w:r>
      <w:r>
        <w:rPr>
          <w:lang w:val="en-US"/>
        </w:rPr>
        <w:t xml:space="preserve"> is made in </w:t>
      </w:r>
      <w:r w:rsidR="00065F5E">
        <w:rPr>
          <w:lang w:val="en-US"/>
        </w:rPr>
        <w:t xml:space="preserve">speeches but there is no influential policy yet </w:t>
      </w:r>
      <w:r w:rsidR="006C5577">
        <w:rPr>
          <w:lang w:val="en-US"/>
        </w:rPr>
        <w:t>(</w:t>
      </w:r>
      <w:proofErr w:type="gramStart"/>
      <w:r w:rsidR="006C5577">
        <w:rPr>
          <w:lang w:val="en-US"/>
        </w:rPr>
        <w:t>e.g.</w:t>
      </w:r>
      <w:proofErr w:type="gramEnd"/>
      <w:r w:rsidR="006C5577">
        <w:rPr>
          <w:lang w:val="en-US"/>
        </w:rPr>
        <w:t xml:space="preserve"> </w:t>
      </w:r>
      <w:r w:rsidR="00065F5E">
        <w:rPr>
          <w:lang w:val="en-US"/>
        </w:rPr>
        <w:t>Inflation Reduction Act in US</w:t>
      </w:r>
      <w:r w:rsidR="006C5577">
        <w:rPr>
          <w:lang w:val="en-US"/>
        </w:rPr>
        <w:t>)</w:t>
      </w:r>
    </w:p>
    <w:p w14:paraId="6D80A25F" w14:textId="7E71FCDC" w:rsidR="00065F5E" w:rsidRPr="002349C2" w:rsidRDefault="00065F5E" w:rsidP="002349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Historical trends inform projections</w:t>
      </w:r>
      <w:r w:rsidR="0074074E">
        <w:rPr>
          <w:lang w:val="en-US"/>
        </w:rPr>
        <w:t>.</w:t>
      </w:r>
    </w:p>
    <w:p w14:paraId="206E125F" w14:textId="389247D4" w:rsidR="00756F66" w:rsidRDefault="00756F66" w:rsidP="00AD7442">
      <w:pPr>
        <w:rPr>
          <w:b/>
          <w:bCs/>
          <w:lang w:val="en-US"/>
        </w:rPr>
      </w:pPr>
      <w:r w:rsidRPr="00756F66">
        <w:rPr>
          <w:b/>
          <w:bCs/>
          <w:lang w:val="en-US"/>
        </w:rPr>
        <w:t>Power</w:t>
      </w:r>
    </w:p>
    <w:p w14:paraId="107B23D5" w14:textId="77777777" w:rsidR="00BD243B" w:rsidRPr="00916AF6" w:rsidRDefault="00000000" w:rsidP="00BD243B">
      <w:pPr>
        <w:pStyle w:val="ListParagraph"/>
        <w:numPr>
          <w:ilvl w:val="0"/>
          <w:numId w:val="24"/>
        </w:numPr>
        <w:rPr>
          <w:lang w:val="en-US" w:eastAsia="ja-JP"/>
        </w:rPr>
      </w:pPr>
      <w:hyperlink r:id="rId47" w:history="1">
        <w:r w:rsidR="00BD243B" w:rsidRPr="008C7D5F">
          <w:rPr>
            <w:rStyle w:val="Hyperlink"/>
          </w:rPr>
          <w:t>Integrated System Plan</w:t>
        </w:r>
      </w:hyperlink>
    </w:p>
    <w:p w14:paraId="66ED8809" w14:textId="6A7799CA" w:rsidR="00234FB9" w:rsidRDefault="007E6FE9" w:rsidP="00BD243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Forecasting assumptions workbook (excel file) will be useful to calibrate </w:t>
      </w:r>
      <w:proofErr w:type="gramStart"/>
      <w:r>
        <w:rPr>
          <w:lang w:val="en-US"/>
        </w:rPr>
        <w:t>assumptions</w:t>
      </w:r>
      <w:proofErr w:type="gramEnd"/>
      <w:r>
        <w:rPr>
          <w:lang w:val="en-US"/>
        </w:rPr>
        <w:t xml:space="preserve"> </w:t>
      </w:r>
    </w:p>
    <w:p w14:paraId="614660BC" w14:textId="65822182" w:rsidR="00915ACC" w:rsidRDefault="00915ACC" w:rsidP="00BD243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Note</w:t>
      </w:r>
      <w:r w:rsidR="002B40A6">
        <w:rPr>
          <w:lang w:val="en-US"/>
        </w:rPr>
        <w:t>:</w:t>
      </w:r>
      <w:r>
        <w:rPr>
          <w:lang w:val="en-US"/>
        </w:rPr>
        <w:t xml:space="preserve"> National Electricity Market (NEM) </w:t>
      </w:r>
      <w:r w:rsidR="00BF6807">
        <w:rPr>
          <w:lang w:val="en-US"/>
        </w:rPr>
        <w:t xml:space="preserve">accounts for </w:t>
      </w:r>
      <w:hyperlink r:id="rId48" w:history="1">
        <w:r w:rsidRPr="002B40A6">
          <w:rPr>
            <w:rStyle w:val="Hyperlink"/>
            <w:lang w:val="en-US"/>
          </w:rPr>
          <w:t>90%</w:t>
        </w:r>
        <w:r w:rsidR="004D2145">
          <w:rPr>
            <w:rStyle w:val="Hyperlink"/>
            <w:lang w:val="en-US"/>
          </w:rPr>
          <w:t xml:space="preserve"> of power </w:t>
        </w:r>
        <w:r w:rsidR="00BF6807">
          <w:rPr>
            <w:rStyle w:val="Hyperlink"/>
            <w:lang w:val="en-US"/>
          </w:rPr>
          <w:t>delivered to</w:t>
        </w:r>
        <w:r w:rsidRPr="002B40A6">
          <w:rPr>
            <w:rStyle w:val="Hyperlink"/>
            <w:lang w:val="en-US"/>
          </w:rPr>
          <w:t xml:space="preserve"> A</w:t>
        </w:r>
        <w:r w:rsidR="007111A6" w:rsidRPr="002B40A6">
          <w:rPr>
            <w:rStyle w:val="Hyperlink"/>
            <w:lang w:val="en-US"/>
          </w:rPr>
          <w:t>ustralia’s population</w:t>
        </w:r>
      </w:hyperlink>
      <w:r w:rsidR="00865D7C">
        <w:rPr>
          <w:lang w:val="en-US"/>
        </w:rPr>
        <w:t>.</w:t>
      </w:r>
    </w:p>
    <w:p w14:paraId="17043401" w14:textId="3F7DD109" w:rsidR="00290E26" w:rsidRDefault="00CD18B8" w:rsidP="00A974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A97475">
        <w:rPr>
          <w:lang w:val="en-US"/>
        </w:rPr>
        <w:t>nterconnections in Australia are:</w:t>
      </w:r>
    </w:p>
    <w:p w14:paraId="701279E5" w14:textId="65F03D9E" w:rsidR="00A97475" w:rsidRDefault="00A97475" w:rsidP="00A9747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NEM (</w:t>
      </w:r>
      <w:r w:rsidR="008E2E8C">
        <w:rPr>
          <w:lang w:val="en-US"/>
        </w:rPr>
        <w:t>Qld, NSW, ACT, Vic., SA, Tas.)</w:t>
      </w:r>
    </w:p>
    <w:p w14:paraId="50C55B06" w14:textId="302A1E10" w:rsidR="008E2E8C" w:rsidRDefault="008E2E8C" w:rsidP="00A97475">
      <w:pPr>
        <w:pStyle w:val="ListParagraph"/>
        <w:numPr>
          <w:ilvl w:val="1"/>
          <w:numId w:val="24"/>
        </w:numPr>
        <w:rPr>
          <w:lang w:val="en-US"/>
        </w:rPr>
      </w:pPr>
      <w:proofErr w:type="gramStart"/>
      <w:r>
        <w:rPr>
          <w:lang w:val="en-US"/>
        </w:rPr>
        <w:t>South West</w:t>
      </w:r>
      <w:proofErr w:type="gramEnd"/>
      <w:r>
        <w:rPr>
          <w:lang w:val="en-US"/>
        </w:rPr>
        <w:t xml:space="preserve"> Interconnected System (SWIS)</w:t>
      </w:r>
      <w:r w:rsidR="00251894">
        <w:rPr>
          <w:lang w:val="en-US"/>
        </w:rPr>
        <w:t xml:space="preserve"> (WA)</w:t>
      </w:r>
    </w:p>
    <w:p w14:paraId="438DF4E3" w14:textId="4CA3A27C" w:rsidR="009F71C4" w:rsidRDefault="009F71C4" w:rsidP="00A9747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lastRenderedPageBreak/>
        <w:t>Minor grids</w:t>
      </w:r>
    </w:p>
    <w:p w14:paraId="7CD159E4" w14:textId="7F49BF90" w:rsidR="00251894" w:rsidRDefault="00251894" w:rsidP="009F71C4">
      <w:pPr>
        <w:pStyle w:val="ListParagraph"/>
        <w:numPr>
          <w:ilvl w:val="2"/>
          <w:numId w:val="24"/>
        </w:numPr>
        <w:rPr>
          <w:lang w:val="en-US"/>
        </w:rPr>
      </w:pPr>
      <w:proofErr w:type="gramStart"/>
      <w:r>
        <w:rPr>
          <w:lang w:val="en-US"/>
        </w:rPr>
        <w:t>North West</w:t>
      </w:r>
      <w:proofErr w:type="gramEnd"/>
      <w:r>
        <w:rPr>
          <w:lang w:val="en-US"/>
        </w:rPr>
        <w:t xml:space="preserve"> Interconnected System (NWIS) (WA)</w:t>
      </w:r>
    </w:p>
    <w:p w14:paraId="68E9F5CC" w14:textId="19F36D32" w:rsidR="00BD28CF" w:rsidRDefault="00BD28CF" w:rsidP="009F71C4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Mt Isa (Qld)</w:t>
      </w:r>
    </w:p>
    <w:p w14:paraId="79EBF338" w14:textId="50A18BE5" w:rsidR="00251894" w:rsidRDefault="003F305B" w:rsidP="009F71C4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Darwin-Katherine Electricity Network (NT)</w:t>
      </w:r>
    </w:p>
    <w:p w14:paraId="05AB9747" w14:textId="19352986" w:rsidR="00F10224" w:rsidRPr="00F10224" w:rsidRDefault="00F10224" w:rsidP="00F10224">
      <w:pPr>
        <w:rPr>
          <w:lang w:val="en-US"/>
        </w:rPr>
      </w:pPr>
      <w:r w:rsidRPr="00F10224">
        <w:rPr>
          <w:noProof/>
          <w:lang w:val="en-US"/>
        </w:rPr>
        <w:drawing>
          <wp:inline distT="0" distB="0" distL="0" distR="0" wp14:anchorId="2786B70C" wp14:editId="4442C17A">
            <wp:extent cx="4377770" cy="2638425"/>
            <wp:effectExtent l="0" t="0" r="3810" b="0"/>
            <wp:docPr id="152282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968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3173" cy="26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CF69" w14:textId="505448DC" w:rsidR="00CD18B8" w:rsidRDefault="00CD18B8" w:rsidP="00CD18B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For large hydrogen production </w:t>
      </w:r>
      <w:proofErr w:type="gramStart"/>
      <w:r>
        <w:rPr>
          <w:lang w:val="en-US"/>
        </w:rPr>
        <w:t>plans</w:t>
      </w:r>
      <w:proofErr w:type="gramEnd"/>
      <w:r>
        <w:rPr>
          <w:lang w:val="en-US"/>
        </w:rPr>
        <w:t xml:space="preserve"> and things like </w:t>
      </w:r>
      <w:proofErr w:type="spellStart"/>
      <w:r>
        <w:rPr>
          <w:lang w:val="en-US"/>
        </w:rPr>
        <w:t>SunCable</w:t>
      </w:r>
      <w:proofErr w:type="spellEnd"/>
      <w:r>
        <w:rPr>
          <w:lang w:val="en-US"/>
        </w:rPr>
        <w:t xml:space="preserve">, much of this is assumed to be </w:t>
      </w:r>
      <w:r w:rsidR="00EF4EA6">
        <w:rPr>
          <w:lang w:val="en-US"/>
        </w:rPr>
        <w:t xml:space="preserve">built close to Asia, </w:t>
      </w:r>
      <w:r w:rsidR="00F61FA0">
        <w:rPr>
          <w:lang w:val="en-US"/>
        </w:rPr>
        <w:t>either off-grid</w:t>
      </w:r>
      <w:r w:rsidR="0018183F">
        <w:rPr>
          <w:lang w:val="en-US"/>
        </w:rPr>
        <w:t>,</w:t>
      </w:r>
      <w:r w:rsidR="00F61FA0">
        <w:rPr>
          <w:lang w:val="en-US"/>
        </w:rPr>
        <w:t xml:space="preserve"> or perhaps </w:t>
      </w:r>
      <w:r w:rsidR="00260DD6">
        <w:rPr>
          <w:lang w:val="en-US"/>
        </w:rPr>
        <w:t xml:space="preserve">integrated with </w:t>
      </w:r>
      <w:r w:rsidR="00F61FA0">
        <w:rPr>
          <w:lang w:val="en-US"/>
        </w:rPr>
        <w:t>the NWIS or Darwin-Katherine interconnections.</w:t>
      </w:r>
    </w:p>
    <w:p w14:paraId="2D8E3BCB" w14:textId="03D052C3" w:rsidR="00DE70E3" w:rsidRDefault="00DE70E3" w:rsidP="00DE70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Example of useful analysis for determining power mix</w:t>
      </w:r>
      <w:r w:rsidR="00286ABE">
        <w:rPr>
          <w:lang w:val="en-US"/>
        </w:rPr>
        <w:t xml:space="preserve"> (noting that much of the analysis is for the NEM</w:t>
      </w:r>
      <w:r w:rsidR="00F10224">
        <w:rPr>
          <w:lang w:val="en-US"/>
        </w:rPr>
        <w:t xml:space="preserve"> only</w:t>
      </w:r>
      <w:r w:rsidR="004F716E">
        <w:rPr>
          <w:lang w:val="en-US"/>
        </w:rPr>
        <w:t>)</w:t>
      </w:r>
    </w:p>
    <w:p w14:paraId="2E95F7AC" w14:textId="4D94F4E0" w:rsidR="007210A5" w:rsidRDefault="007210A5" w:rsidP="007210A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Figure 15 in the </w:t>
      </w:r>
      <w:hyperlink r:id="rId50" w:history="1">
        <w:r w:rsidR="00FE0101" w:rsidRPr="001559AA">
          <w:rPr>
            <w:rStyle w:val="Hyperlink"/>
            <w:lang w:val="en-US"/>
          </w:rPr>
          <w:t>ESOO</w:t>
        </w:r>
      </w:hyperlink>
      <w:r>
        <w:rPr>
          <w:lang w:val="en-US"/>
        </w:rPr>
        <w:t xml:space="preserve"> (not screenshotted below) is useful for the generation mix technologies in detail)</w:t>
      </w:r>
    </w:p>
    <w:p w14:paraId="2F56ACB4" w14:textId="5FE205CE" w:rsidR="00DE70E3" w:rsidRDefault="00DE70E3" w:rsidP="00DE70E3">
      <w:pPr>
        <w:rPr>
          <w:lang w:val="en-US"/>
        </w:rPr>
      </w:pPr>
      <w:r w:rsidRPr="00DE70E3">
        <w:rPr>
          <w:noProof/>
          <w:lang w:val="en-US"/>
        </w:rPr>
        <w:drawing>
          <wp:inline distT="0" distB="0" distL="0" distR="0" wp14:anchorId="7D059210" wp14:editId="5895063A">
            <wp:extent cx="4842344" cy="2643815"/>
            <wp:effectExtent l="0" t="0" r="0" b="4445"/>
            <wp:docPr id="1274724329" name="Picture 1274724329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24329" name="Picture 1" descr="A graph of different colored lines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55245" cy="26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B71" w14:textId="25290D55" w:rsidR="00E814B1" w:rsidRDefault="00E814B1" w:rsidP="00DE70E3">
      <w:pPr>
        <w:rPr>
          <w:lang w:val="en-US"/>
        </w:rPr>
      </w:pPr>
      <w:r w:rsidRPr="00E814B1">
        <w:rPr>
          <w:noProof/>
          <w:lang w:val="en-US"/>
        </w:rPr>
        <w:lastRenderedPageBreak/>
        <w:drawing>
          <wp:inline distT="0" distB="0" distL="0" distR="0" wp14:anchorId="32F13A70" wp14:editId="0582B182">
            <wp:extent cx="5208104" cy="2914484"/>
            <wp:effectExtent l="0" t="0" r="0" b="635"/>
            <wp:docPr id="48107832" name="Picture 48107832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7832" name="Picture 1" descr="A screenshot of a char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17857" cy="29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2E1" w14:textId="4D4AF0A2" w:rsidR="00915ACC" w:rsidRPr="00DE70E3" w:rsidRDefault="00E10410" w:rsidP="00DE70E3">
      <w:pPr>
        <w:rPr>
          <w:lang w:val="en-US"/>
        </w:rPr>
      </w:pPr>
      <w:r w:rsidRPr="00E10410">
        <w:rPr>
          <w:noProof/>
          <w:lang w:val="en-US"/>
        </w:rPr>
        <w:drawing>
          <wp:inline distT="0" distB="0" distL="0" distR="0" wp14:anchorId="6D36946D" wp14:editId="19BC549E">
            <wp:extent cx="4834393" cy="2756236"/>
            <wp:effectExtent l="0" t="0" r="4445" b="6350"/>
            <wp:docPr id="730226562" name="Picture 730226562" descr="A graph of a graph showing the amount of electricity in the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6562" name="Picture 1" descr="A graph of a graph showing the amount of electricity in the market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7365" cy="27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ECCD" w14:textId="28C609CB" w:rsidR="004C0BB6" w:rsidRDefault="004C0BB6" w:rsidP="0075083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Hydrogen</w:t>
      </w:r>
    </w:p>
    <w:p w14:paraId="354ECD34" w14:textId="42EA32F3" w:rsidR="00894721" w:rsidRPr="00894721" w:rsidRDefault="00894721" w:rsidP="00A31341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894721">
        <w:rPr>
          <w:lang w:val="en-US"/>
        </w:rPr>
        <w:t xml:space="preserve">There was a review of Australia’s 2019 </w:t>
      </w:r>
      <w:hyperlink r:id="rId54" w:history="1">
        <w:r w:rsidRPr="00877BED">
          <w:rPr>
            <w:rStyle w:val="Hyperlink"/>
            <w:lang w:val="en-US"/>
          </w:rPr>
          <w:t>National Hydrogen Strategy</w:t>
        </w:r>
      </w:hyperlink>
      <w:r w:rsidRPr="00894721">
        <w:rPr>
          <w:lang w:val="en-US"/>
        </w:rPr>
        <w:t xml:space="preserve"> announced in 2023</w:t>
      </w:r>
    </w:p>
    <w:p w14:paraId="78EE5201" w14:textId="11DD083D" w:rsidR="00894721" w:rsidRDefault="00000000" w:rsidP="00A31341">
      <w:pPr>
        <w:pStyle w:val="ListParagraph"/>
        <w:numPr>
          <w:ilvl w:val="0"/>
          <w:numId w:val="24"/>
        </w:numPr>
        <w:rPr>
          <w:lang w:val="en-US"/>
        </w:rPr>
      </w:pPr>
      <w:hyperlink r:id="rId55" w:history="1">
        <w:r w:rsidR="004E530A" w:rsidRPr="004E530A">
          <w:rPr>
            <w:rStyle w:val="Hyperlink"/>
            <w:lang w:val="en-US"/>
          </w:rPr>
          <w:t xml:space="preserve">Hydrogen </w:t>
        </w:r>
        <w:proofErr w:type="spellStart"/>
        <w:r w:rsidR="004E530A" w:rsidRPr="004E530A">
          <w:rPr>
            <w:rStyle w:val="Hyperlink"/>
            <w:lang w:val="en-US"/>
          </w:rPr>
          <w:t>Headstart</w:t>
        </w:r>
        <w:proofErr w:type="spellEnd"/>
      </w:hyperlink>
    </w:p>
    <w:p w14:paraId="60A7BCE6" w14:textId="6874008B" w:rsidR="004E530A" w:rsidRPr="004E530A" w:rsidRDefault="006D5D98" w:rsidP="004E530A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Current plan in consultation</w:t>
      </w:r>
      <w:r w:rsidR="00455FB1">
        <w:rPr>
          <w:lang w:val="en-US"/>
        </w:rPr>
        <w:t xml:space="preserve"> phase</w:t>
      </w:r>
    </w:p>
    <w:p w14:paraId="06DB1D8A" w14:textId="2B23011C" w:rsidR="00CA2506" w:rsidRPr="00894721" w:rsidRDefault="00CA2506" w:rsidP="00894721">
      <w:pPr>
        <w:rPr>
          <w:b/>
          <w:bCs/>
          <w:lang w:val="en-US"/>
        </w:rPr>
      </w:pPr>
      <w:r w:rsidRPr="00894721">
        <w:rPr>
          <w:b/>
          <w:bCs/>
          <w:lang w:val="en-US"/>
        </w:rPr>
        <w:t>Refining</w:t>
      </w:r>
    </w:p>
    <w:p w14:paraId="7EED8102" w14:textId="6E822867" w:rsidR="00782330" w:rsidRDefault="00443E22" w:rsidP="00443E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two remaining refineries in Australia are likely to remain operating</w:t>
      </w:r>
      <w:r w:rsidR="00EE3D72">
        <w:rPr>
          <w:lang w:val="en-US"/>
        </w:rPr>
        <w:t xml:space="preserve"> for the medium-term for energy security considerations.</w:t>
      </w:r>
    </w:p>
    <w:p w14:paraId="4DDE53B2" w14:textId="37E74D87" w:rsidR="00081ADD" w:rsidRPr="00081ADD" w:rsidRDefault="00EE3D72" w:rsidP="00081ADD">
      <w:pPr>
        <w:pStyle w:val="ListParagraph"/>
        <w:numPr>
          <w:ilvl w:val="1"/>
          <w:numId w:val="15"/>
        </w:numPr>
        <w:rPr>
          <w:lang w:val="en-US"/>
        </w:rPr>
      </w:pPr>
      <w:r>
        <w:t xml:space="preserve">Commitment to </w:t>
      </w:r>
      <w:hyperlink r:id="rId56" w:history="1">
        <w:r w:rsidRPr="00DA4DE1">
          <w:rPr>
            <w:rStyle w:val="Hyperlink"/>
          </w:rPr>
          <w:t>supporting domestic refineries</w:t>
        </w:r>
      </w:hyperlink>
      <w:r w:rsidR="00081ADD">
        <w:rPr>
          <w:rStyle w:val="Hyperlink"/>
        </w:rPr>
        <w:t xml:space="preserve"> is via the Fuel Security Service Payment</w:t>
      </w:r>
    </w:p>
    <w:p w14:paraId="2954EB04" w14:textId="6B8EF322" w:rsidR="00835B59" w:rsidRPr="00ED6AB1" w:rsidRDefault="00756F66" w:rsidP="00ED6AB1">
      <w:pPr>
        <w:rPr>
          <w:b/>
          <w:bCs/>
          <w:lang w:val="en-US"/>
        </w:rPr>
      </w:pPr>
      <w:r w:rsidRPr="00756F66">
        <w:rPr>
          <w:b/>
          <w:bCs/>
          <w:lang w:val="en-US"/>
        </w:rPr>
        <w:t>Supply</w:t>
      </w:r>
    </w:p>
    <w:p w14:paraId="651D9218" w14:textId="42E97F01" w:rsidR="00835B59" w:rsidRDefault="00835B59" w:rsidP="00ED6AB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Natural gas exports via LNG (primarily from WA but also from east coast coal seam gas fields)</w:t>
      </w:r>
      <w:r w:rsidR="00ED6AB1">
        <w:rPr>
          <w:lang w:val="en-US"/>
        </w:rPr>
        <w:t xml:space="preserve"> are likely to continue being a prominent source of global supply.</w:t>
      </w:r>
    </w:p>
    <w:p w14:paraId="098957B4" w14:textId="29A28521" w:rsidR="00ED6AB1" w:rsidRDefault="00000000" w:rsidP="00ED6AB1">
      <w:pPr>
        <w:pStyle w:val="ListParagraph"/>
        <w:numPr>
          <w:ilvl w:val="1"/>
          <w:numId w:val="24"/>
        </w:numPr>
        <w:rPr>
          <w:lang w:val="en-US"/>
        </w:rPr>
      </w:pPr>
      <w:hyperlink r:id="rId57" w:history="1">
        <w:r w:rsidR="00ED6AB1" w:rsidRPr="008A6528">
          <w:rPr>
            <w:rStyle w:val="Hyperlink"/>
            <w:lang w:val="en-US"/>
          </w:rPr>
          <w:t>REQ</w:t>
        </w:r>
      </w:hyperlink>
    </w:p>
    <w:p w14:paraId="57DF02FB" w14:textId="39F07E9A" w:rsidR="00EB4779" w:rsidRDefault="00AA4B4E" w:rsidP="00ED6AB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Australia is well placed to continue to supply international markets with</w:t>
      </w:r>
      <w:r w:rsidR="004C1AD7">
        <w:rPr>
          <w:lang w:val="en-US"/>
        </w:rPr>
        <w:t xml:space="preserve"> thermal coal</w:t>
      </w:r>
      <w:r>
        <w:rPr>
          <w:lang w:val="en-US"/>
        </w:rPr>
        <w:t xml:space="preserve"> </w:t>
      </w:r>
      <w:r w:rsidR="00A637EB">
        <w:rPr>
          <w:lang w:val="en-US"/>
        </w:rPr>
        <w:t>and metallurgical coal.</w:t>
      </w:r>
    </w:p>
    <w:p w14:paraId="76E68A1A" w14:textId="393D653B" w:rsidR="008A6528" w:rsidRDefault="00000000" w:rsidP="004C1AD7">
      <w:pPr>
        <w:pStyle w:val="ListParagraph"/>
        <w:numPr>
          <w:ilvl w:val="1"/>
          <w:numId w:val="24"/>
        </w:numPr>
        <w:rPr>
          <w:lang w:val="en-US"/>
        </w:rPr>
      </w:pPr>
      <w:hyperlink r:id="rId58" w:history="1">
        <w:r w:rsidR="008A6528" w:rsidRPr="008A6528">
          <w:rPr>
            <w:rStyle w:val="Hyperlink"/>
            <w:lang w:val="en-US"/>
          </w:rPr>
          <w:t>REQ</w:t>
        </w:r>
      </w:hyperlink>
      <w:r w:rsidR="008A6528">
        <w:rPr>
          <w:lang w:val="en-US"/>
        </w:rPr>
        <w:t xml:space="preserve"> </w:t>
      </w:r>
      <w:r w:rsidR="00A0648E">
        <w:rPr>
          <w:lang w:val="en-US"/>
        </w:rPr>
        <w:t>for thermal coal, met coal, etc.</w:t>
      </w:r>
    </w:p>
    <w:p w14:paraId="0F484DF0" w14:textId="6807C7CA" w:rsidR="004C1AD7" w:rsidRDefault="00000000" w:rsidP="004C1AD7">
      <w:pPr>
        <w:pStyle w:val="ListParagraph"/>
        <w:numPr>
          <w:ilvl w:val="1"/>
          <w:numId w:val="24"/>
        </w:numPr>
        <w:rPr>
          <w:lang w:val="en-US"/>
        </w:rPr>
      </w:pPr>
      <w:hyperlink r:id="rId59" w:history="1">
        <w:r w:rsidR="004C1AD7">
          <w:rPr>
            <w:rStyle w:val="Hyperlink"/>
            <w:lang w:val="en-US"/>
          </w:rPr>
          <w:t>T</w:t>
        </w:r>
        <w:r w:rsidR="004C1AD7" w:rsidRPr="0074374F">
          <w:rPr>
            <w:rStyle w:val="Hyperlink"/>
            <w:lang w:val="en-US"/>
          </w:rPr>
          <w:t>hermal coal</w:t>
        </w:r>
      </w:hyperlink>
      <w:r w:rsidR="004C1AD7">
        <w:rPr>
          <w:lang w:val="en-US"/>
        </w:rPr>
        <w:t xml:space="preserve"> report from Minerals Council</w:t>
      </w:r>
    </w:p>
    <w:p w14:paraId="4854BC80" w14:textId="61CEB26E" w:rsidR="00A0648E" w:rsidRDefault="00A0648E" w:rsidP="00A0648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AEMO could not confirm any LNG im</w:t>
      </w:r>
      <w:r w:rsidR="0048549B">
        <w:rPr>
          <w:lang w:val="en-US"/>
        </w:rPr>
        <w:t>port terminals as of mid-</w:t>
      </w:r>
      <w:proofErr w:type="gramStart"/>
      <w:r w:rsidR="0048549B">
        <w:rPr>
          <w:lang w:val="en-US"/>
        </w:rPr>
        <w:t>2023</w:t>
      </w:r>
      <w:proofErr w:type="gramEnd"/>
    </w:p>
    <w:p w14:paraId="074F71A9" w14:textId="2D7DB3CD" w:rsidR="0048549B" w:rsidRPr="00A637EB" w:rsidRDefault="0048549B" w:rsidP="0048549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It seems </w:t>
      </w:r>
      <w:r w:rsidR="008344DB">
        <w:rPr>
          <w:lang w:val="en-US"/>
        </w:rPr>
        <w:t>un</w:t>
      </w:r>
      <w:r>
        <w:rPr>
          <w:lang w:val="en-US"/>
        </w:rPr>
        <w:t>likely</w:t>
      </w:r>
      <w:r w:rsidR="00F31DA5">
        <w:rPr>
          <w:lang w:val="en-US"/>
        </w:rPr>
        <w:t xml:space="preserve"> that there will ever be an import terminal in Australia</w:t>
      </w:r>
      <w:r w:rsidR="001559AA">
        <w:rPr>
          <w:lang w:val="en-US"/>
        </w:rPr>
        <w:t>.</w:t>
      </w:r>
    </w:p>
    <w:p w14:paraId="0C952D43" w14:textId="77777777" w:rsidR="0069593E" w:rsidRDefault="0069593E" w:rsidP="00BA3ED7">
      <w:pPr>
        <w:pStyle w:val="Heading3"/>
        <w:rPr>
          <w:lang w:val="en-US"/>
        </w:rPr>
      </w:pPr>
    </w:p>
    <w:p w14:paraId="110B5FF4" w14:textId="4191AC8B" w:rsidR="00BA3ED7" w:rsidRDefault="00AD7442" w:rsidP="00BA3ED7">
      <w:pPr>
        <w:pStyle w:val="Heading3"/>
        <w:rPr>
          <w:lang w:val="en-US"/>
        </w:rPr>
      </w:pPr>
      <w:r w:rsidRPr="00AD7442">
        <w:rPr>
          <w:lang w:val="en-US"/>
        </w:rPr>
        <w:t xml:space="preserve">The </w:t>
      </w:r>
      <w:r w:rsidR="00BA3ED7">
        <w:rPr>
          <w:lang w:val="en-US"/>
        </w:rPr>
        <w:t>Target</w:t>
      </w:r>
      <w:r w:rsidRPr="00AD7442">
        <w:rPr>
          <w:lang w:val="en-US"/>
        </w:rPr>
        <w:t xml:space="preserve"> scenario</w:t>
      </w:r>
    </w:p>
    <w:p w14:paraId="60AE0FC2" w14:textId="56DCD035" w:rsidR="00321A10" w:rsidRDefault="00BA3ED7" w:rsidP="00AD7442">
      <w:pPr>
        <w:rPr>
          <w:lang w:val="en-US"/>
        </w:rPr>
      </w:pPr>
      <w:r>
        <w:rPr>
          <w:lang w:val="en-US"/>
        </w:rPr>
        <w:t xml:space="preserve">In TGT, </w:t>
      </w:r>
      <w:r w:rsidR="00610F57">
        <w:rPr>
          <w:lang w:val="en-US"/>
        </w:rPr>
        <w:t xml:space="preserve">it is assumed that </w:t>
      </w:r>
      <w:r w:rsidR="00AA46AA">
        <w:rPr>
          <w:lang w:val="en-US"/>
        </w:rPr>
        <w:t>the goal to</w:t>
      </w:r>
      <w:r w:rsidR="009114D5">
        <w:rPr>
          <w:lang w:val="en-US"/>
        </w:rPr>
        <w:t xml:space="preserve"> reach net-zero emissions by 2050 is achieved </w:t>
      </w:r>
      <w:r w:rsidR="00142F93">
        <w:rPr>
          <w:lang w:val="en-US"/>
        </w:rPr>
        <w:t xml:space="preserve">in part </w:t>
      </w:r>
      <w:r w:rsidR="009114D5">
        <w:rPr>
          <w:lang w:val="en-US"/>
        </w:rPr>
        <w:t xml:space="preserve">through </w:t>
      </w:r>
      <w:r w:rsidR="0073600F">
        <w:rPr>
          <w:lang w:val="en-US"/>
        </w:rPr>
        <w:t>reduc</w:t>
      </w:r>
      <w:r w:rsidR="009114D5">
        <w:rPr>
          <w:lang w:val="en-US"/>
        </w:rPr>
        <w:t>tions</w:t>
      </w:r>
      <w:r w:rsidR="0073600F" w:rsidRPr="00AD7442">
        <w:rPr>
          <w:lang w:val="en-US"/>
        </w:rPr>
        <w:t xml:space="preserve"> from fossil fuel combustion </w:t>
      </w:r>
      <w:r w:rsidR="0073600F">
        <w:rPr>
          <w:lang w:val="en-US"/>
        </w:rPr>
        <w:t xml:space="preserve">in </w:t>
      </w:r>
      <w:r w:rsidR="00F46DFC">
        <w:rPr>
          <w:lang w:val="en-US"/>
        </w:rPr>
        <w:t>the energy sector</w:t>
      </w:r>
      <w:r w:rsidR="009114D5">
        <w:rPr>
          <w:lang w:val="en-US"/>
        </w:rPr>
        <w:t xml:space="preserve">. </w:t>
      </w:r>
      <w:r w:rsidR="007A0E2A">
        <w:rPr>
          <w:lang w:val="en-US"/>
        </w:rPr>
        <w:t>T</w:t>
      </w:r>
      <w:r w:rsidR="00AA46AA">
        <w:rPr>
          <w:lang w:val="en-US"/>
        </w:rPr>
        <w:t>echnolog</w:t>
      </w:r>
      <w:r w:rsidR="007A0E2A">
        <w:rPr>
          <w:lang w:val="en-US"/>
        </w:rPr>
        <w:t>y deployment</w:t>
      </w:r>
      <w:r w:rsidR="00AA46AA">
        <w:rPr>
          <w:lang w:val="en-US"/>
        </w:rPr>
        <w:t xml:space="preserve"> and behavioral changes </w:t>
      </w:r>
      <w:r w:rsidR="009114D5">
        <w:rPr>
          <w:lang w:val="en-US"/>
        </w:rPr>
        <w:t xml:space="preserve">are </w:t>
      </w:r>
      <w:r w:rsidR="00D71401">
        <w:rPr>
          <w:lang w:val="en-US"/>
        </w:rPr>
        <w:t xml:space="preserve">necessary to achieve the target and are assumed to be </w:t>
      </w:r>
      <w:r w:rsidR="003D37C4">
        <w:rPr>
          <w:lang w:val="en-US"/>
        </w:rPr>
        <w:t>feasible</w:t>
      </w:r>
      <w:r w:rsidR="00D71401">
        <w:rPr>
          <w:lang w:val="en-US"/>
        </w:rPr>
        <w:t>.</w:t>
      </w:r>
      <w:r w:rsidR="00571CC3">
        <w:rPr>
          <w:lang w:val="en-US"/>
        </w:rPr>
        <w:t xml:space="preserve"> </w:t>
      </w:r>
      <w:r w:rsidR="00034536">
        <w:rPr>
          <w:lang w:val="en-US"/>
        </w:rPr>
        <w:t xml:space="preserve">Upstream and midstream fugitive methane emissions are also </w:t>
      </w:r>
      <w:r w:rsidR="00C8078F">
        <w:rPr>
          <w:lang w:val="en-US"/>
        </w:rPr>
        <w:t xml:space="preserve">substantially </w:t>
      </w:r>
      <w:r w:rsidR="00034536">
        <w:rPr>
          <w:lang w:val="en-US"/>
        </w:rPr>
        <w:t>reduced.</w:t>
      </w:r>
    </w:p>
    <w:p w14:paraId="0BAC7731" w14:textId="6BD2556D" w:rsidR="0069593E" w:rsidRPr="00ED6AB1" w:rsidRDefault="0069593E" w:rsidP="0069593E">
      <w:pPr>
        <w:rPr>
          <w:b/>
          <w:bCs/>
          <w:lang w:val="en-US"/>
        </w:rPr>
      </w:pPr>
      <w:r>
        <w:rPr>
          <w:b/>
          <w:bCs/>
          <w:lang w:val="en-US"/>
        </w:rPr>
        <w:t>All sectors</w:t>
      </w:r>
    </w:p>
    <w:p w14:paraId="6776546C" w14:textId="1809CDA3" w:rsidR="0069593E" w:rsidRDefault="0069593E" w:rsidP="006959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Electrification </w:t>
      </w:r>
    </w:p>
    <w:p w14:paraId="0CCD462E" w14:textId="27D65356" w:rsidR="0069593E" w:rsidRDefault="00D718DE" w:rsidP="0069593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Demand sectors can refer the </w:t>
      </w:r>
      <w:hyperlink r:id="rId60" w:history="1">
        <w:r w:rsidR="0069593E" w:rsidRPr="001559AA">
          <w:rPr>
            <w:rStyle w:val="Hyperlink"/>
            <w:lang w:val="en-US"/>
          </w:rPr>
          <w:t>ESOO</w:t>
        </w:r>
      </w:hyperlink>
      <w:r w:rsidR="0069593E">
        <w:rPr>
          <w:lang w:val="en-US"/>
        </w:rPr>
        <w:t xml:space="preserve"> </w:t>
      </w:r>
      <w:r>
        <w:rPr>
          <w:lang w:val="en-US"/>
        </w:rPr>
        <w:t>for viable electrification rates</w:t>
      </w:r>
      <w:r w:rsidR="001559AA">
        <w:rPr>
          <w:lang w:val="en-US"/>
        </w:rPr>
        <w:t>.</w:t>
      </w:r>
    </w:p>
    <w:p w14:paraId="555BA8F7" w14:textId="284CF622" w:rsidR="00FC1C88" w:rsidRDefault="00FC1C88" w:rsidP="0069593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A transition away from gas to electricity </w:t>
      </w:r>
      <w:r w:rsidR="007551E3">
        <w:rPr>
          <w:lang w:val="en-US"/>
        </w:rPr>
        <w:t xml:space="preserve">will </w:t>
      </w:r>
      <w:r>
        <w:rPr>
          <w:lang w:val="en-US"/>
        </w:rPr>
        <w:t>proceed at a faster rate</w:t>
      </w:r>
      <w:r w:rsidR="00031B58">
        <w:rPr>
          <w:lang w:val="en-US"/>
        </w:rPr>
        <w:t xml:space="preserve"> than in REF</w:t>
      </w:r>
      <w:r w:rsidR="00402AB4">
        <w:rPr>
          <w:lang w:val="en-US"/>
        </w:rPr>
        <w:t>, via unspecified policies.</w:t>
      </w:r>
    </w:p>
    <w:p w14:paraId="0198312D" w14:textId="066DAA9E" w:rsidR="00174B16" w:rsidRDefault="00174B16" w:rsidP="00174B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Energy efficiency</w:t>
      </w:r>
    </w:p>
    <w:p w14:paraId="6E757AF2" w14:textId="05E1A09D" w:rsidR="00714FE6" w:rsidRDefault="00000000" w:rsidP="00714FE6">
      <w:pPr>
        <w:pStyle w:val="ListParagraph"/>
        <w:numPr>
          <w:ilvl w:val="1"/>
          <w:numId w:val="24"/>
        </w:numPr>
        <w:rPr>
          <w:lang w:val="en-US"/>
        </w:rPr>
      </w:pPr>
      <w:hyperlink r:id="rId61" w:history="1">
        <w:r w:rsidR="00714FE6" w:rsidRPr="001559AA">
          <w:rPr>
            <w:rStyle w:val="Hyperlink"/>
            <w:lang w:val="en-US"/>
          </w:rPr>
          <w:t>ESOO</w:t>
        </w:r>
      </w:hyperlink>
      <w:r w:rsidR="00714FE6">
        <w:rPr>
          <w:lang w:val="en-US"/>
        </w:rPr>
        <w:t xml:space="preserve"> makes </w:t>
      </w:r>
      <w:r w:rsidR="00324302">
        <w:rPr>
          <w:lang w:val="en-US"/>
        </w:rPr>
        <w:t>different assumptions about energy efficiency improvements in different scenarios</w:t>
      </w:r>
      <w:r w:rsidR="007551E3">
        <w:rPr>
          <w:lang w:val="en-US"/>
        </w:rPr>
        <w:t>, that could be the basis for increased efficiency in APERC TGT</w:t>
      </w:r>
      <w:r w:rsidR="00324302">
        <w:rPr>
          <w:lang w:val="en-US"/>
        </w:rPr>
        <w:t>.</w:t>
      </w:r>
    </w:p>
    <w:p w14:paraId="340BABC2" w14:textId="4C14DAD6" w:rsidR="00174B16" w:rsidRDefault="00A37B3C" w:rsidP="00174B16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change</w:t>
      </w:r>
    </w:p>
    <w:p w14:paraId="079A0C64" w14:textId="70F2B295" w:rsidR="00D26E4E" w:rsidRDefault="00A67D0F" w:rsidP="00D26E4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Industry has material efficiency </w:t>
      </w:r>
      <w:proofErr w:type="gramStart"/>
      <w:r>
        <w:rPr>
          <w:lang w:val="en-US"/>
        </w:rPr>
        <w:t>assumptions</w:t>
      </w:r>
      <w:proofErr w:type="gramEnd"/>
    </w:p>
    <w:p w14:paraId="60366B00" w14:textId="6ED4225D" w:rsidR="007002B9" w:rsidRDefault="007002B9" w:rsidP="00D26E4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Transport could see </w:t>
      </w:r>
      <w:r w:rsidR="00F503FA">
        <w:rPr>
          <w:lang w:val="en-US"/>
        </w:rPr>
        <w:t xml:space="preserve">more commuting via walking, biking, and public transport with better designed </w:t>
      </w:r>
      <w:proofErr w:type="gramStart"/>
      <w:r w:rsidR="00F503FA">
        <w:rPr>
          <w:lang w:val="en-US"/>
        </w:rPr>
        <w:t>cities</w:t>
      </w:r>
      <w:proofErr w:type="gramEnd"/>
    </w:p>
    <w:p w14:paraId="6EA3542E" w14:textId="72ECC263" w:rsidR="00F503FA" w:rsidRDefault="00F503FA" w:rsidP="00F503F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Do car ownership </w:t>
      </w:r>
      <w:r w:rsidR="006B1F7C">
        <w:rPr>
          <w:lang w:val="en-US"/>
        </w:rPr>
        <w:t>realities of today dictate what 2050 will look like?</w:t>
      </w:r>
    </w:p>
    <w:p w14:paraId="5AB097C3" w14:textId="5500C571" w:rsidR="006B1F7C" w:rsidRDefault="006B1F7C" w:rsidP="006B1F7C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Less ownership; more on-demand?</w:t>
      </w:r>
    </w:p>
    <w:p w14:paraId="2A8088C7" w14:textId="246FD638" w:rsidR="007B7F16" w:rsidRPr="007B7F16" w:rsidRDefault="007B7F16" w:rsidP="007B7F16">
      <w:pPr>
        <w:rPr>
          <w:b/>
          <w:bCs/>
          <w:lang w:val="en-US"/>
        </w:rPr>
      </w:pPr>
      <w:r w:rsidRPr="007B7F16">
        <w:rPr>
          <w:b/>
          <w:bCs/>
          <w:lang w:val="en-US"/>
        </w:rPr>
        <w:t>Agriculture</w:t>
      </w:r>
    </w:p>
    <w:p w14:paraId="35E5B049" w14:textId="464F9905" w:rsidR="001C7B42" w:rsidRPr="00E32992" w:rsidRDefault="00E32992" w:rsidP="00E3299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Advocacy based approach from </w:t>
      </w:r>
      <w:hyperlink r:id="rId62" w:history="1">
        <w:r w:rsidR="007B7F16" w:rsidRPr="007B7F16">
          <w:rPr>
            <w:rStyle w:val="Hyperlink"/>
            <w:lang w:val="en-US"/>
          </w:rPr>
          <w:t>Farmers for Climate Action</w:t>
        </w:r>
      </w:hyperlink>
      <w:r w:rsidR="007B7F16">
        <w:rPr>
          <w:lang w:val="en-US"/>
        </w:rPr>
        <w:t xml:space="preserve"> has some options for the sector.</w:t>
      </w:r>
    </w:p>
    <w:p w14:paraId="1A955D65" w14:textId="288949EC" w:rsidR="001C7B42" w:rsidRPr="001C7B42" w:rsidRDefault="001C7B42" w:rsidP="001C7B42">
      <w:pPr>
        <w:rPr>
          <w:b/>
          <w:bCs/>
          <w:lang w:val="en-US"/>
        </w:rPr>
      </w:pPr>
      <w:r w:rsidRPr="001C7B42">
        <w:rPr>
          <w:b/>
          <w:bCs/>
          <w:lang w:val="en-US"/>
        </w:rPr>
        <w:t>Transport</w:t>
      </w:r>
    </w:p>
    <w:p w14:paraId="74123E99" w14:textId="3BB23962" w:rsidR="00460754" w:rsidRDefault="0005008A" w:rsidP="001C7B4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High speed rail could potentially deliver lower road transport activity</w:t>
      </w:r>
      <w:r w:rsidR="00BB61E1">
        <w:rPr>
          <w:lang w:val="en-US"/>
        </w:rPr>
        <w:t>.</w:t>
      </w:r>
    </w:p>
    <w:p w14:paraId="0164AA29" w14:textId="130A8591" w:rsidR="00BB61E1" w:rsidRPr="006B1F7C" w:rsidRDefault="00BB61E1" w:rsidP="00BB61E1">
      <w:pPr>
        <w:pStyle w:val="ListParagraph"/>
        <w:numPr>
          <w:ilvl w:val="1"/>
          <w:numId w:val="24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See </w:t>
      </w:r>
      <w:hyperlink r:id="rId63" w:history="1">
        <w:r w:rsidRPr="00BB61E1">
          <w:rPr>
            <w:rStyle w:val="Hyperlink"/>
            <w:lang w:val="en-US"/>
          </w:rPr>
          <w:t>High Speed Rail Authority</w:t>
        </w:r>
      </w:hyperlink>
    </w:p>
    <w:p w14:paraId="2E0C4B5A" w14:textId="2ACC597A" w:rsidR="006B1F7C" w:rsidRDefault="00000000" w:rsidP="006B1F7C">
      <w:pPr>
        <w:pStyle w:val="ListParagraph"/>
        <w:numPr>
          <w:ilvl w:val="0"/>
          <w:numId w:val="24"/>
        </w:numPr>
        <w:rPr>
          <w:lang w:val="en-US"/>
        </w:rPr>
      </w:pPr>
      <w:hyperlink r:id="rId64" w:history="1">
        <w:r w:rsidR="001A0B16" w:rsidRPr="00A97F0B">
          <w:rPr>
            <w:rStyle w:val="Hyperlink"/>
            <w:lang w:val="en-US"/>
          </w:rPr>
          <w:t>Subscription</w:t>
        </w:r>
        <w:r w:rsidR="00C70F40" w:rsidRPr="00A97F0B">
          <w:rPr>
            <w:rStyle w:val="Hyperlink"/>
            <w:lang w:val="en-US"/>
          </w:rPr>
          <w:t xml:space="preserve"> driving </w:t>
        </w:r>
        <w:r w:rsidR="00DF2F87" w:rsidRPr="00A97F0B">
          <w:rPr>
            <w:rStyle w:val="Hyperlink"/>
            <w:lang w:val="en-US"/>
          </w:rPr>
          <w:t>services</w:t>
        </w:r>
      </w:hyperlink>
      <w:r w:rsidR="00DF2F87">
        <w:rPr>
          <w:lang w:val="en-US"/>
        </w:rPr>
        <w:t xml:space="preserve"> </w:t>
      </w:r>
      <w:r w:rsidR="00C70F40">
        <w:rPr>
          <w:lang w:val="en-US"/>
        </w:rPr>
        <w:t xml:space="preserve">could significantly reduce required fleet. Though passenger </w:t>
      </w:r>
      <w:proofErr w:type="spellStart"/>
      <w:r w:rsidR="00C70F40">
        <w:rPr>
          <w:lang w:val="en-US"/>
        </w:rPr>
        <w:t>kilometres</w:t>
      </w:r>
      <w:proofErr w:type="spellEnd"/>
      <w:r w:rsidR="00C70F40">
        <w:rPr>
          <w:lang w:val="en-US"/>
        </w:rPr>
        <w:t xml:space="preserve"> may </w:t>
      </w:r>
      <w:r w:rsidR="00DF2F87">
        <w:rPr>
          <w:lang w:val="en-US"/>
        </w:rPr>
        <w:t>remain unchanged</w:t>
      </w:r>
      <w:r w:rsidR="001A0B16">
        <w:rPr>
          <w:lang w:val="en-US"/>
        </w:rPr>
        <w:t>.</w:t>
      </w:r>
    </w:p>
    <w:p w14:paraId="3D423DD6" w14:textId="77777777" w:rsidR="00324302" w:rsidRDefault="00324302" w:rsidP="00324302">
      <w:pPr>
        <w:rPr>
          <w:lang w:val="en-US"/>
        </w:rPr>
      </w:pPr>
    </w:p>
    <w:p w14:paraId="2CBE794B" w14:textId="07C910E1" w:rsidR="00324302" w:rsidRPr="001C7B42" w:rsidRDefault="00324302" w:rsidP="00324302">
      <w:pPr>
        <w:rPr>
          <w:b/>
          <w:bCs/>
          <w:lang w:val="en-US"/>
        </w:rPr>
      </w:pPr>
      <w:r>
        <w:rPr>
          <w:b/>
          <w:bCs/>
          <w:lang w:val="en-US"/>
        </w:rPr>
        <w:t>Industry</w:t>
      </w:r>
    </w:p>
    <w:p w14:paraId="66132797" w14:textId="0E056592" w:rsidR="00324302" w:rsidRDefault="00324302" w:rsidP="0032430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Increased minerals mining activity</w:t>
      </w:r>
      <w:r w:rsidR="00284AB7">
        <w:rPr>
          <w:lang w:val="en-US"/>
        </w:rPr>
        <w:t xml:space="preserve"> will see more mining </w:t>
      </w:r>
      <w:proofErr w:type="gramStart"/>
      <w:r w:rsidR="00284AB7">
        <w:rPr>
          <w:lang w:val="en-US"/>
        </w:rPr>
        <w:t>activity</w:t>
      </w:r>
      <w:proofErr w:type="gramEnd"/>
    </w:p>
    <w:p w14:paraId="715EABA8" w14:textId="62F992AF" w:rsidR="004553DC" w:rsidRDefault="004553DC" w:rsidP="004553DC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There is also potential for onshoring of steel </w:t>
      </w:r>
      <w:r w:rsidR="002E05B8">
        <w:rPr>
          <w:lang w:val="en-US"/>
        </w:rPr>
        <w:t xml:space="preserve">production </w:t>
      </w:r>
      <w:r w:rsidR="003C7A0A">
        <w:rPr>
          <w:lang w:val="en-US"/>
        </w:rPr>
        <w:t>(</w:t>
      </w:r>
      <w:proofErr w:type="spellStart"/>
      <w:proofErr w:type="gramStart"/>
      <w:r w:rsidR="003C7A0A">
        <w:rPr>
          <w:lang w:val="en-US"/>
        </w:rPr>
        <w:t>eg</w:t>
      </w:r>
      <w:proofErr w:type="spellEnd"/>
      <w:proofErr w:type="gramEnd"/>
      <w:r w:rsidR="003C7A0A">
        <w:rPr>
          <w:lang w:val="en-US"/>
        </w:rPr>
        <w:t xml:space="preserve"> producing green steel pellets to be </w:t>
      </w:r>
      <w:r w:rsidR="00685BCD">
        <w:rPr>
          <w:lang w:val="en-US"/>
        </w:rPr>
        <w:t xml:space="preserve">exported </w:t>
      </w:r>
      <w:r w:rsidR="003C7A0A">
        <w:rPr>
          <w:lang w:val="en-US"/>
        </w:rPr>
        <w:t xml:space="preserve">rather than </w:t>
      </w:r>
      <w:r w:rsidR="00630409">
        <w:rPr>
          <w:lang w:val="en-US"/>
        </w:rPr>
        <w:t xml:space="preserve">exporting </w:t>
      </w:r>
      <w:r w:rsidR="003C7A0A">
        <w:rPr>
          <w:lang w:val="en-US"/>
        </w:rPr>
        <w:t>hydrogen)</w:t>
      </w:r>
      <w:r w:rsidR="00630409">
        <w:rPr>
          <w:lang w:val="en-US"/>
        </w:rPr>
        <w:t xml:space="preserve"> and onshoring more non-ferrous metals processing.</w:t>
      </w:r>
    </w:p>
    <w:p w14:paraId="64BF213C" w14:textId="28853E8E" w:rsidR="00840BFB" w:rsidRDefault="00840BFB" w:rsidP="00840BFB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For</w:t>
      </w:r>
      <w:r w:rsidR="00FD7EAE">
        <w:rPr>
          <w:lang w:val="en-US"/>
        </w:rPr>
        <w:t xml:space="preserve"> example, see</w:t>
      </w:r>
      <w:r>
        <w:rPr>
          <w:lang w:val="en-US"/>
        </w:rPr>
        <w:t xml:space="preserve"> </w:t>
      </w:r>
      <w:hyperlink r:id="rId65" w:history="1">
        <w:r w:rsidR="00FD7EAE">
          <w:rPr>
            <w:rStyle w:val="Hyperlink"/>
            <w:lang w:val="en-US"/>
          </w:rPr>
          <w:t>CSIRO</w:t>
        </w:r>
      </w:hyperlink>
      <w:r>
        <w:rPr>
          <w:lang w:val="en-US"/>
        </w:rPr>
        <w:t>.</w:t>
      </w:r>
    </w:p>
    <w:p w14:paraId="7ADA16F6" w14:textId="6B4588C3" w:rsidR="00A67D0F" w:rsidRDefault="00A67D0F" w:rsidP="00A67D0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Material efficiency</w:t>
      </w:r>
    </w:p>
    <w:p w14:paraId="42CFCC48" w14:textId="69FBA998" w:rsidR="00A67D0F" w:rsidRDefault="00A67D0F" w:rsidP="00A67D0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Greater recycling rates</w:t>
      </w:r>
    </w:p>
    <w:p w14:paraId="5C068AD1" w14:textId="4CA3ACF8" w:rsidR="00A67D0F" w:rsidRDefault="00A67D0F" w:rsidP="00A67D0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Less materials needed for same end </w:t>
      </w:r>
      <w:proofErr w:type="gramStart"/>
      <w:r>
        <w:rPr>
          <w:lang w:val="en-US"/>
        </w:rPr>
        <w:t>output</w:t>
      </w:r>
      <w:proofErr w:type="gramEnd"/>
    </w:p>
    <w:p w14:paraId="13BAAE7C" w14:textId="77777777" w:rsidR="00BD3E7D" w:rsidRPr="00324302" w:rsidRDefault="00BD3E7D" w:rsidP="00BD3E7D">
      <w:pPr>
        <w:pStyle w:val="ListParagraph"/>
        <w:rPr>
          <w:lang w:val="en-US"/>
        </w:rPr>
      </w:pPr>
    </w:p>
    <w:p w14:paraId="2B144981" w14:textId="6BCDA288" w:rsidR="007F564F" w:rsidRPr="007F564F" w:rsidRDefault="007F564F" w:rsidP="007F564F">
      <w:pPr>
        <w:pStyle w:val="Heading2"/>
      </w:pPr>
      <w:r>
        <w:t>Current context</w:t>
      </w:r>
    </w:p>
    <w:p w14:paraId="7ECFA575" w14:textId="30686D6F" w:rsidR="007F564F" w:rsidRDefault="007F564F" w:rsidP="00AD7442">
      <w:pPr>
        <w:rPr>
          <w:lang w:val="en-US"/>
        </w:rPr>
      </w:pPr>
      <w:r w:rsidRPr="007F564F">
        <w:rPr>
          <w:noProof/>
          <w:lang w:val="en-US"/>
        </w:rPr>
        <w:drawing>
          <wp:inline distT="0" distB="0" distL="0" distR="0" wp14:anchorId="313AFEB0" wp14:editId="3F4964BA">
            <wp:extent cx="5420481" cy="4029637"/>
            <wp:effectExtent l="0" t="0" r="8890" b="9525"/>
            <wp:docPr id="1786962014" name="Picture 1786962014" descr="A graph of energy consum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62014" name="Picture 1" descr="A graph of energy consumption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D4C" w14:textId="501811E8" w:rsidR="00DD3F2F" w:rsidRDefault="00DD3F2F">
      <w:pPr>
        <w:rPr>
          <w:lang w:val="en-US"/>
        </w:rPr>
      </w:pPr>
      <w:r>
        <w:rPr>
          <w:lang w:val="en-US"/>
        </w:rPr>
        <w:br w:type="page"/>
      </w:r>
    </w:p>
    <w:p w14:paraId="524DD0A6" w14:textId="77777777" w:rsidR="00093F29" w:rsidRDefault="00093F29" w:rsidP="00093F29">
      <w:pPr>
        <w:pStyle w:val="Heading2"/>
        <w:sectPr w:rsidR="00093F29" w:rsidSect="00BC38C0">
          <w:headerReference w:type="default" r:id="rId6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DBCCD18" w14:textId="67B50F2E" w:rsidR="00093F29" w:rsidRDefault="00093F29" w:rsidP="00093F29">
      <w:pPr>
        <w:pStyle w:val="Heading2"/>
      </w:pPr>
      <w:r>
        <w:lastRenderedPageBreak/>
        <w:t xml:space="preserve">Key Assumptions for the </w:t>
      </w:r>
      <w:r w:rsidR="00220FA6">
        <w:t>Australia</w:t>
      </w:r>
    </w:p>
    <w:tbl>
      <w:tblPr>
        <w:tblStyle w:val="GridTable4"/>
        <w:tblW w:w="14024" w:type="dxa"/>
        <w:tblLook w:val="04A0" w:firstRow="1" w:lastRow="0" w:firstColumn="1" w:lastColumn="0" w:noHBand="0" w:noVBand="1"/>
      </w:tblPr>
      <w:tblGrid>
        <w:gridCol w:w="2155"/>
        <w:gridCol w:w="5934"/>
        <w:gridCol w:w="5935"/>
      </w:tblGrid>
      <w:tr w:rsidR="00093F29" w14:paraId="3080FAB9" w14:textId="77777777" w:rsidTr="00150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14DEBE" w14:textId="77777777" w:rsidR="00093F29" w:rsidRDefault="00093F29" w:rsidP="00150D06">
            <w:pPr>
              <w:rPr>
                <w:lang w:val="en-US"/>
              </w:rPr>
            </w:pPr>
          </w:p>
        </w:tc>
        <w:tc>
          <w:tcPr>
            <w:tcW w:w="5934" w:type="dxa"/>
          </w:tcPr>
          <w:p w14:paraId="3EB214BC" w14:textId="77777777" w:rsidR="00093F29" w:rsidRPr="00044066" w:rsidRDefault="00093F29" w:rsidP="00150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4066">
              <w:rPr>
                <w:lang w:val="en-US"/>
              </w:rPr>
              <w:t>Reference</w:t>
            </w:r>
          </w:p>
        </w:tc>
        <w:tc>
          <w:tcPr>
            <w:tcW w:w="5935" w:type="dxa"/>
          </w:tcPr>
          <w:p w14:paraId="50D257D9" w14:textId="77777777" w:rsidR="00093F29" w:rsidRPr="00044066" w:rsidRDefault="00093F29" w:rsidP="00150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4066">
              <w:rPr>
                <w:lang w:val="en-US"/>
              </w:rPr>
              <w:t>Target</w:t>
            </w:r>
          </w:p>
        </w:tc>
      </w:tr>
      <w:tr w:rsidR="00093F29" w14:paraId="26601F4A" w14:textId="77777777" w:rsidTr="0015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1F4B58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Macro</w:t>
            </w:r>
          </w:p>
        </w:tc>
        <w:tc>
          <w:tcPr>
            <w:tcW w:w="11869" w:type="dxa"/>
            <w:gridSpan w:val="2"/>
          </w:tcPr>
          <w:p w14:paraId="4E9A5B64" w14:textId="48120B83" w:rsidR="00093F29" w:rsidRDefault="00093F29" w:rsidP="00093F29">
            <w:pPr>
              <w:pStyle w:val="ListParagraph"/>
              <w:numPr>
                <w:ilvl w:val="0"/>
                <w:numId w:val="2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Population: UNDESA “High”</w:t>
            </w:r>
            <w:r w:rsidR="008A4409">
              <w:rPr>
                <w:lang w:val="en-US"/>
              </w:rPr>
              <w:t xml:space="preserve"> or 2023 Intergenerational Report</w:t>
            </w:r>
          </w:p>
          <w:p w14:paraId="12B0DECD" w14:textId="2625B92F" w:rsidR="00093F29" w:rsidRPr="00D65EE0" w:rsidRDefault="00093F29" w:rsidP="00093F29">
            <w:pPr>
              <w:pStyle w:val="ListParagraph"/>
              <w:numPr>
                <w:ilvl w:val="0"/>
                <w:numId w:val="23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5EE0">
              <w:rPr>
                <w:lang w:val="en-US"/>
              </w:rPr>
              <w:t>GDP: APERC macro model</w:t>
            </w:r>
            <w:r w:rsidR="00DC031D">
              <w:rPr>
                <w:lang w:val="en-US"/>
              </w:rPr>
              <w:t xml:space="preserve"> (IMF projections to 2027)</w:t>
            </w:r>
          </w:p>
        </w:tc>
      </w:tr>
      <w:tr w:rsidR="00093F29" w14:paraId="37B17AC4" w14:textId="77777777" w:rsidTr="00150D0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09D11EE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5934" w:type="dxa"/>
          </w:tcPr>
          <w:p w14:paraId="34C5AC35" w14:textId="77777777" w:rsidR="00093F29" w:rsidRPr="005827A2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Energy efficiency, fuel efficiency, and fuel switching trends continue</w:t>
            </w:r>
          </w:p>
        </w:tc>
        <w:tc>
          <w:tcPr>
            <w:tcW w:w="5935" w:type="dxa"/>
          </w:tcPr>
          <w:p w14:paraId="1E6C3171" w14:textId="67FD3436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Fuel switching to electricity increases </w:t>
            </w:r>
            <w:r w:rsidR="005A6C5D">
              <w:rPr>
                <w:lang w:val="en-US"/>
              </w:rPr>
              <w:t xml:space="preserve">at a </w:t>
            </w:r>
            <w:r>
              <w:rPr>
                <w:lang w:val="en-US"/>
              </w:rPr>
              <w:t xml:space="preserve">faster </w:t>
            </w:r>
            <w:r w:rsidR="005A6C5D">
              <w:rPr>
                <w:lang w:val="en-US"/>
              </w:rPr>
              <w:t xml:space="preserve">rate than </w:t>
            </w:r>
            <w:r>
              <w:rPr>
                <w:lang w:val="en-US"/>
              </w:rPr>
              <w:t>REF</w:t>
            </w:r>
          </w:p>
        </w:tc>
      </w:tr>
      <w:tr w:rsidR="00093F29" w14:paraId="52855521" w14:textId="77777777" w:rsidTr="0015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EBF8C51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Buildings</w:t>
            </w:r>
          </w:p>
        </w:tc>
        <w:tc>
          <w:tcPr>
            <w:tcW w:w="5934" w:type="dxa"/>
          </w:tcPr>
          <w:p w14:paraId="3AC1DFA7" w14:textId="28478AB4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Energy efficiency trends</w:t>
            </w:r>
            <w:r w:rsidR="00AF6984">
              <w:rPr>
                <w:lang w:val="en-US"/>
              </w:rPr>
              <w:t xml:space="preserve"> per appliance</w:t>
            </w:r>
            <w:r>
              <w:rPr>
                <w:lang w:val="en-US"/>
              </w:rPr>
              <w:t xml:space="preserve"> and fuel switching trends </w:t>
            </w:r>
            <w:proofErr w:type="gramStart"/>
            <w:r>
              <w:rPr>
                <w:lang w:val="en-US"/>
              </w:rPr>
              <w:t>continue</w:t>
            </w:r>
            <w:proofErr w:type="gramEnd"/>
          </w:p>
          <w:p w14:paraId="7B2744F2" w14:textId="0639A4B1" w:rsidR="002F0AAA" w:rsidRDefault="00015CEE" w:rsidP="002F0AAA">
            <w:pPr>
              <w:pStyle w:val="ListParagraph"/>
              <w:numPr>
                <w:ilvl w:val="0"/>
                <w:numId w:val="17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Domestic natural gas market remains in policy quagmire driving electrification. </w:t>
            </w:r>
            <w:r w:rsidR="006D2680">
              <w:rPr>
                <w:lang w:val="en-US"/>
              </w:rPr>
              <w:t>Realistic to see a more rapid shift than in 8</w:t>
            </w:r>
            <w:r w:rsidR="006D2680" w:rsidRPr="006D2680">
              <w:rPr>
                <w:vertAlign w:val="superscript"/>
                <w:lang w:val="en-US"/>
              </w:rPr>
              <w:t>th</w:t>
            </w:r>
            <w:r w:rsidR="006D2680">
              <w:rPr>
                <w:lang w:val="en-US"/>
              </w:rPr>
              <w:t xml:space="preserve"> </w:t>
            </w:r>
            <w:proofErr w:type="gramStart"/>
            <w:r w:rsidR="006D2680">
              <w:rPr>
                <w:lang w:val="en-US"/>
              </w:rPr>
              <w:t>REF</w:t>
            </w:r>
            <w:proofErr w:type="gramEnd"/>
          </w:p>
          <w:p w14:paraId="3B348CF4" w14:textId="72ED85C1" w:rsidR="00824398" w:rsidRPr="002F0AAA" w:rsidRDefault="00824398" w:rsidP="002F0AAA">
            <w:pPr>
              <w:pStyle w:val="ListParagraph"/>
              <w:numPr>
                <w:ilvl w:val="0"/>
                <w:numId w:val="17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Likely downtrend in square </w:t>
            </w:r>
            <w:proofErr w:type="spellStart"/>
            <w:r>
              <w:rPr>
                <w:lang w:val="en-US"/>
              </w:rPr>
              <w:t>metres</w:t>
            </w:r>
            <w:proofErr w:type="spellEnd"/>
            <w:r>
              <w:rPr>
                <w:lang w:val="en-US"/>
              </w:rPr>
              <w:t xml:space="preserve"> per capita due to rapid population growth</w:t>
            </w:r>
          </w:p>
        </w:tc>
        <w:tc>
          <w:tcPr>
            <w:tcW w:w="5935" w:type="dxa"/>
          </w:tcPr>
          <w:p w14:paraId="6A103398" w14:textId="195ABE68" w:rsidR="008E69FF" w:rsidRPr="00001EB5" w:rsidRDefault="008C162E" w:rsidP="008E69FF">
            <w:pPr>
              <w:pStyle w:val="ListParagraph"/>
              <w:numPr>
                <w:ilvl w:val="0"/>
                <w:numId w:val="17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aggressive electrification and efficiency assumptions</w:t>
            </w:r>
          </w:p>
          <w:p w14:paraId="3BD0C0E8" w14:textId="3108AA60" w:rsidR="00093F29" w:rsidRPr="008C162E" w:rsidRDefault="00093F29" w:rsidP="008C162E">
            <w:pPr>
              <w:ind w:left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3F29" w14:paraId="787F7949" w14:textId="77777777" w:rsidTr="00150D0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01FAC73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5934" w:type="dxa"/>
          </w:tcPr>
          <w:p w14:paraId="2017B1E0" w14:textId="77777777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7879FD23">
              <w:rPr>
                <w:lang w:val="en-US"/>
              </w:rPr>
              <w:t>Energy efficiency and fuel switching trends continue (vary b</w:t>
            </w:r>
            <w:r>
              <w:rPr>
                <w:lang w:val="en-US"/>
              </w:rPr>
              <w:t>y subsector)</w:t>
            </w:r>
          </w:p>
          <w:p w14:paraId="480FAABA" w14:textId="78DE24DA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Small amount of hydrogen for steel starting in </w:t>
            </w:r>
            <w:r w:rsidRPr="002F0AAA">
              <w:rPr>
                <w:lang w:val="en-US"/>
              </w:rPr>
              <w:t>20</w:t>
            </w:r>
            <w:r w:rsidR="009A5DA0">
              <w:rPr>
                <w:lang w:val="en-US"/>
              </w:rPr>
              <w:t>40</w:t>
            </w:r>
            <w:r>
              <w:rPr>
                <w:lang w:val="en-US"/>
              </w:rPr>
              <w:t xml:space="preserve"> increasing through 2060</w:t>
            </w:r>
          </w:p>
          <w:p w14:paraId="1E13682E" w14:textId="3A9DEF17" w:rsidR="00093F29" w:rsidRPr="002F0AAA" w:rsidRDefault="00093F29" w:rsidP="002F0AAA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Pilot and demo scale CCUS projects</w:t>
            </w:r>
            <w:r w:rsidR="00542FF9">
              <w:rPr>
                <w:lang w:val="en-US"/>
              </w:rPr>
              <w:t xml:space="preserve"> in some subsectors</w:t>
            </w:r>
          </w:p>
        </w:tc>
        <w:tc>
          <w:tcPr>
            <w:tcW w:w="5935" w:type="dxa"/>
          </w:tcPr>
          <w:p w14:paraId="6990662E" w14:textId="77777777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Material efficiency improvements for steel, cement, and chemicals subsectors</w:t>
            </w:r>
          </w:p>
          <w:p w14:paraId="63ACD8C3" w14:textId="37616380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fuel switching from coal to biomass</w:t>
            </w:r>
            <w:r w:rsidR="00366263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electricity in multiple subsectors</w:t>
            </w:r>
            <w:r w:rsidR="00366263">
              <w:rPr>
                <w:lang w:val="en-US"/>
              </w:rPr>
              <w:t>.</w:t>
            </w:r>
          </w:p>
          <w:p w14:paraId="790499D0" w14:textId="05F2D22F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Increased electrification of steel processes</w:t>
            </w:r>
          </w:p>
          <w:p w14:paraId="7DBD0032" w14:textId="372B7510" w:rsidR="00366263" w:rsidRPr="00E411DE" w:rsidRDefault="00366263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very </w:t>
            </w:r>
            <w:r w:rsidR="008F48EF">
              <w:rPr>
                <w:lang w:val="en-US"/>
              </w:rPr>
              <w:t>large increase in value add to iron ore driving very large increase in green steel pellet production</w:t>
            </w:r>
          </w:p>
          <w:p w14:paraId="408DACC2" w14:textId="77777777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Greater energy efficiency improvements compared to </w:t>
            </w:r>
            <w:proofErr w:type="gramStart"/>
            <w:r>
              <w:rPr>
                <w:lang w:val="en-US"/>
              </w:rPr>
              <w:t>REF</w:t>
            </w:r>
            <w:proofErr w:type="gramEnd"/>
          </w:p>
          <w:p w14:paraId="16297368" w14:textId="11D90B50" w:rsidR="00093F29" w:rsidRDefault="002D0EFD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093F29">
              <w:rPr>
                <w:lang w:val="en-US"/>
              </w:rPr>
              <w:t xml:space="preserve">ydrogen production </w:t>
            </w:r>
            <w:r w:rsidR="00324A0C">
              <w:rPr>
                <w:lang w:val="en-US"/>
              </w:rPr>
              <w:t>process</w:t>
            </w:r>
            <w:r w:rsidR="00150D06">
              <w:rPr>
                <w:lang w:val="en-US"/>
              </w:rPr>
              <w:t xml:space="preserve">es in steel </w:t>
            </w:r>
            <w:r w:rsidR="0043168D">
              <w:rPr>
                <w:lang w:val="en-US"/>
              </w:rPr>
              <w:t xml:space="preserve">begins in </w:t>
            </w:r>
            <w:proofErr w:type="gramStart"/>
            <w:r w:rsidR="0043168D">
              <w:rPr>
                <w:lang w:val="en-US"/>
              </w:rPr>
              <w:t>2030s</w:t>
            </w:r>
            <w:proofErr w:type="gramEnd"/>
          </w:p>
          <w:p w14:paraId="3335CA0C" w14:textId="77777777" w:rsidR="00093F29" w:rsidRDefault="00093F29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CCS </w:t>
            </w:r>
            <w:r w:rsidR="004F7481">
              <w:rPr>
                <w:lang w:val="en-US"/>
              </w:rPr>
              <w:t xml:space="preserve">emerges in the 2030s in </w:t>
            </w:r>
            <w:r>
              <w:rPr>
                <w:lang w:val="en-US"/>
              </w:rPr>
              <w:t>steel, cement, and chemicals</w:t>
            </w:r>
            <w:r w:rsidR="004F7481">
              <w:rPr>
                <w:lang w:val="en-US"/>
              </w:rPr>
              <w:t xml:space="preserve"> and is commercially scaled in the </w:t>
            </w:r>
            <w:proofErr w:type="gramStart"/>
            <w:r w:rsidR="004F7481">
              <w:rPr>
                <w:lang w:val="en-US"/>
              </w:rPr>
              <w:t>2040s</w:t>
            </w:r>
            <w:proofErr w:type="gramEnd"/>
          </w:p>
          <w:p w14:paraId="3852410E" w14:textId="77777777" w:rsidR="00686BFC" w:rsidRDefault="00686BFC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Higher mining activity </w:t>
            </w:r>
            <w:proofErr w:type="gramStart"/>
            <w:r>
              <w:rPr>
                <w:lang w:val="en-US"/>
              </w:rPr>
              <w:t>due</w:t>
            </w:r>
            <w:proofErr w:type="gramEnd"/>
            <w:r>
              <w:rPr>
                <w:lang w:val="en-US"/>
              </w:rPr>
              <w:t xml:space="preserve"> to higher demand for minerals to manufacture energy transition technologies</w:t>
            </w:r>
            <w:r w:rsidR="0043168D">
              <w:rPr>
                <w:lang w:val="en-US"/>
              </w:rPr>
              <w:t>.</w:t>
            </w:r>
          </w:p>
          <w:p w14:paraId="4F3D29F5" w14:textId="75698BEC" w:rsidR="0043168D" w:rsidRPr="00046F4C" w:rsidRDefault="0043168D" w:rsidP="00093F29">
            <w:pPr>
              <w:pStyle w:val="ListParagraph"/>
              <w:numPr>
                <w:ilvl w:val="0"/>
                <w:numId w:val="17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Higher non-ferrous metals production to enable energy transition technologies</w:t>
            </w:r>
          </w:p>
        </w:tc>
      </w:tr>
      <w:tr w:rsidR="00093F29" w14:paraId="42748BB4" w14:textId="77777777" w:rsidTr="0015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D5CEB31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5934" w:type="dxa"/>
          </w:tcPr>
          <w:p w14:paraId="00B79271" w14:textId="5C840D1C" w:rsidR="00093F29" w:rsidRDefault="00686BFC" w:rsidP="00093F29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</w:t>
            </w:r>
            <w:r w:rsidR="00093F29" w:rsidRPr="00A16A2C">
              <w:rPr>
                <w:lang w:val="en-US"/>
              </w:rPr>
              <w:t xml:space="preserve"> </w:t>
            </w:r>
            <w:r w:rsidR="00752F0A">
              <w:rPr>
                <w:lang w:val="en-US"/>
              </w:rPr>
              <w:t xml:space="preserve">sales increase </w:t>
            </w:r>
            <w:r w:rsidR="00EC58C3">
              <w:rPr>
                <w:lang w:val="en-US"/>
              </w:rPr>
              <w:t>but the stock is still significantly ICE by the latter parts of the projection</w:t>
            </w:r>
            <w:r w:rsidR="00AD236D">
              <w:rPr>
                <w:lang w:val="en-US"/>
              </w:rPr>
              <w:t>.</w:t>
            </w:r>
          </w:p>
          <w:p w14:paraId="7916BF2B" w14:textId="4786EAB9" w:rsidR="00093F29" w:rsidRPr="00A16A2C" w:rsidRDefault="00AD236D" w:rsidP="00093F29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 CSIRO report for sales share and stock share of EVs (most pessimistic scenario likely to be good for REF)</w:t>
            </w:r>
          </w:p>
        </w:tc>
        <w:tc>
          <w:tcPr>
            <w:tcW w:w="5935" w:type="dxa"/>
          </w:tcPr>
          <w:p w14:paraId="72B7DBF8" w14:textId="453BBF0E" w:rsidR="00686BFC" w:rsidRDefault="00AD236D" w:rsidP="00093F29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Refer CSIRO report </w:t>
            </w:r>
            <w:r w:rsidR="00893E31">
              <w:rPr>
                <w:lang w:val="en-US"/>
              </w:rPr>
              <w:t xml:space="preserve">for EV sales and stock shares </w:t>
            </w:r>
            <w:r>
              <w:rPr>
                <w:lang w:val="en-US"/>
              </w:rPr>
              <w:t xml:space="preserve">with an energy transition scenario likely to be good for </w:t>
            </w:r>
            <w:proofErr w:type="gramStart"/>
            <w:r>
              <w:rPr>
                <w:lang w:val="en-US"/>
              </w:rPr>
              <w:t>TGT</w:t>
            </w:r>
            <w:proofErr w:type="gramEnd"/>
          </w:p>
          <w:p w14:paraId="78B0CD8D" w14:textId="553A0040" w:rsidR="00093F29" w:rsidRDefault="00012194" w:rsidP="00093F29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86BFC">
              <w:rPr>
                <w:lang w:val="en-US"/>
              </w:rPr>
              <w:t xml:space="preserve">ome </w:t>
            </w:r>
            <w:proofErr w:type="gramStart"/>
            <w:r w:rsidR="00686BFC">
              <w:rPr>
                <w:lang w:val="en-US"/>
              </w:rPr>
              <w:t>role</w:t>
            </w:r>
            <w:proofErr w:type="gramEnd"/>
            <w:r w:rsidR="00686BFC">
              <w:rPr>
                <w:lang w:val="en-US"/>
              </w:rPr>
              <w:t xml:space="preserve"> for hydrogen vehicles</w:t>
            </w:r>
          </w:p>
          <w:p w14:paraId="0872355F" w14:textId="2A054F19" w:rsidR="00686BFC" w:rsidRDefault="00686BFC" w:rsidP="00686BFC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Diesel will remain for some freight </w:t>
            </w:r>
            <w:proofErr w:type="gramStart"/>
            <w:r>
              <w:rPr>
                <w:lang w:val="en-US"/>
              </w:rPr>
              <w:t>applications</w:t>
            </w:r>
            <w:proofErr w:type="gramEnd"/>
          </w:p>
          <w:p w14:paraId="7639C5D1" w14:textId="13BA9604" w:rsidR="00686BFC" w:rsidRDefault="00686BFC" w:rsidP="00686BFC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Aviation</w:t>
            </w:r>
            <w:r w:rsidR="00012194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operational efficiency and sustainable aviation fuel adoption </w:t>
            </w:r>
            <w:r w:rsidR="00012194">
              <w:rPr>
                <w:lang w:val="en-US"/>
              </w:rPr>
              <w:t>supports decarbonization.</w:t>
            </w:r>
          </w:p>
          <w:p w14:paraId="17C213AB" w14:textId="77777777" w:rsidR="00686BFC" w:rsidRDefault="00686BFC" w:rsidP="00686BFC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shifting towards more efficient transport modes</w:t>
            </w:r>
            <w:r w:rsidR="00012194">
              <w:rPr>
                <w:lang w:val="en-US"/>
              </w:rPr>
              <w:t>, and potentially lower vehicle stock</w:t>
            </w:r>
          </w:p>
          <w:p w14:paraId="45900DF7" w14:textId="62BFADFA" w:rsidR="00012194" w:rsidRPr="00686BFC" w:rsidRDefault="00012194" w:rsidP="00686BFC">
            <w:pPr>
              <w:pStyle w:val="ListParagraph"/>
              <w:numPr>
                <w:ilvl w:val="0"/>
                <w:numId w:val="18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commentRangeStart w:id="1"/>
            <w:r>
              <w:rPr>
                <w:lang w:val="en-US"/>
              </w:rPr>
              <w:t xml:space="preserve">Investigate potential of increased public transport or </w:t>
            </w:r>
            <w:proofErr w:type="gramStart"/>
            <w:r w:rsidR="008156A5">
              <w:rPr>
                <w:lang w:val="en-US"/>
              </w:rPr>
              <w:t>high speed</w:t>
            </w:r>
            <w:proofErr w:type="gramEnd"/>
            <w:r w:rsidR="008156A5">
              <w:rPr>
                <w:lang w:val="en-US"/>
              </w:rPr>
              <w:t xml:space="preserve"> rail.</w:t>
            </w:r>
            <w:commentRangeEnd w:id="1"/>
            <w:r w:rsidR="00CF683F">
              <w:rPr>
                <w:rStyle w:val="CommentReference"/>
              </w:rPr>
              <w:commentReference w:id="1"/>
            </w:r>
          </w:p>
        </w:tc>
      </w:tr>
      <w:tr w:rsidR="00093F29" w14:paraId="18A9D162" w14:textId="77777777" w:rsidTr="00150D0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206377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Power and heat</w:t>
            </w:r>
          </w:p>
        </w:tc>
        <w:tc>
          <w:tcPr>
            <w:tcW w:w="5934" w:type="dxa"/>
          </w:tcPr>
          <w:p w14:paraId="31F76642" w14:textId="5CB66D5B" w:rsidR="00A82418" w:rsidRDefault="00A82418" w:rsidP="00093F29">
            <w:pPr>
              <w:pStyle w:val="ListParagraph"/>
              <w:numPr>
                <w:ilvl w:val="0"/>
                <w:numId w:val="18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62F1">
              <w:rPr>
                <w:lang w:val="en-US"/>
              </w:rPr>
              <w:t xml:space="preserve">Batteries </w:t>
            </w:r>
            <w:r w:rsidR="004D5B8E" w:rsidRPr="001162F1">
              <w:rPr>
                <w:lang w:val="en-US"/>
              </w:rPr>
              <w:t>make some inroads into generation</w:t>
            </w:r>
            <w:r w:rsidR="001162F1">
              <w:rPr>
                <w:lang w:val="en-US"/>
              </w:rPr>
              <w:t xml:space="preserve"> </w:t>
            </w:r>
            <w:r w:rsidR="0084243C" w:rsidRPr="001162F1">
              <w:rPr>
                <w:lang w:val="en-US"/>
              </w:rPr>
              <w:t>due to ancillary services</w:t>
            </w:r>
            <w:r w:rsidR="003B50AD">
              <w:rPr>
                <w:lang w:val="en-US"/>
              </w:rPr>
              <w:t xml:space="preserve"> and providing support for variable renewable generation</w:t>
            </w:r>
            <w:r w:rsidR="00303AF1">
              <w:rPr>
                <w:lang w:val="en-US"/>
              </w:rPr>
              <w:t>.</w:t>
            </w:r>
          </w:p>
          <w:p w14:paraId="37212DF8" w14:textId="1666230C" w:rsidR="003B50AD" w:rsidRPr="001162F1" w:rsidRDefault="00074D9D" w:rsidP="00093F29">
            <w:pPr>
              <w:pStyle w:val="ListParagraph"/>
              <w:numPr>
                <w:ilvl w:val="0"/>
                <w:numId w:val="18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Significant decarbonization occurs in </w:t>
            </w:r>
            <w:proofErr w:type="gramStart"/>
            <w:r>
              <w:rPr>
                <w:lang w:val="en-US"/>
              </w:rPr>
              <w:t>REF</w:t>
            </w:r>
            <w:proofErr w:type="gramEnd"/>
          </w:p>
          <w:p w14:paraId="692EACBC" w14:textId="7B1AC43F" w:rsidR="00093F29" w:rsidRPr="001162F1" w:rsidRDefault="00093F29" w:rsidP="00A82418">
            <w:pPr>
              <w:pStyle w:val="ListParagraph"/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935" w:type="dxa"/>
          </w:tcPr>
          <w:p w14:paraId="5A01F892" w14:textId="24194475" w:rsidR="0084243C" w:rsidRPr="002D1451" w:rsidRDefault="00B21B5F" w:rsidP="00074D9D">
            <w:pPr>
              <w:pStyle w:val="ListParagraph"/>
              <w:numPr>
                <w:ilvl w:val="0"/>
                <w:numId w:val="18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More electricity demand than REF, and most of this demand is met via </w:t>
            </w:r>
            <w:r w:rsidR="00D00842">
              <w:rPr>
                <w:lang w:val="en-US"/>
              </w:rPr>
              <w:t>renewables, batteries, and whatever is best choice to support this variability</w:t>
            </w:r>
          </w:p>
        </w:tc>
      </w:tr>
      <w:tr w:rsidR="00093F29" w14:paraId="3F4A1BC1" w14:textId="77777777" w:rsidTr="0015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5D255FF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Hydrogen Supply</w:t>
            </w:r>
          </w:p>
        </w:tc>
        <w:tc>
          <w:tcPr>
            <w:tcW w:w="5934" w:type="dxa"/>
          </w:tcPr>
          <w:p w14:paraId="17BADDF1" w14:textId="09BA3728" w:rsidR="00093F29" w:rsidRDefault="00093F29" w:rsidP="00093F29">
            <w:pPr>
              <w:pStyle w:val="ListParagraph"/>
              <w:numPr>
                <w:ilvl w:val="0"/>
                <w:numId w:val="19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Domestic production of blue </w:t>
            </w:r>
            <w:r w:rsidR="00A35D0C">
              <w:rPr>
                <w:lang w:val="en-US"/>
              </w:rPr>
              <w:t xml:space="preserve">(SMR w/ CCUS) </w:t>
            </w:r>
            <w:r>
              <w:rPr>
                <w:lang w:val="en-US"/>
              </w:rPr>
              <w:t xml:space="preserve">and </w:t>
            </w:r>
            <w:proofErr w:type="gramStart"/>
            <w:r>
              <w:rPr>
                <w:lang w:val="en-US"/>
              </w:rPr>
              <w:t xml:space="preserve">green </w:t>
            </w:r>
            <w:r w:rsidR="00A35D0C">
              <w:rPr>
                <w:lang w:val="en-US"/>
              </w:rPr>
              <w:t xml:space="preserve"> (</w:t>
            </w:r>
            <w:proofErr w:type="gramEnd"/>
            <w:r w:rsidR="00A35D0C">
              <w:rPr>
                <w:lang w:val="en-US"/>
              </w:rPr>
              <w:t xml:space="preserve">electrolysis) </w:t>
            </w:r>
            <w:r>
              <w:rPr>
                <w:lang w:val="en-US"/>
              </w:rPr>
              <w:t>hydrogen</w:t>
            </w:r>
            <w:r w:rsidR="00A35D0C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ammonia</w:t>
            </w:r>
          </w:p>
          <w:p w14:paraId="76E12C02" w14:textId="13DB2217" w:rsidR="00093F29" w:rsidRPr="00CA7E41" w:rsidRDefault="00FE7A7A" w:rsidP="00093F29">
            <w:pPr>
              <w:pStyle w:val="ListParagraph"/>
              <w:numPr>
                <w:ilvl w:val="0"/>
                <w:numId w:val="19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Potentially some exports, but </w:t>
            </w:r>
            <w:r w:rsidR="00187132">
              <w:rPr>
                <w:lang w:val="en-US"/>
              </w:rPr>
              <w:t xml:space="preserve">also </w:t>
            </w:r>
            <w:r>
              <w:rPr>
                <w:lang w:val="en-US"/>
              </w:rPr>
              <w:t xml:space="preserve">supporting green steel pellet production </w:t>
            </w:r>
          </w:p>
        </w:tc>
        <w:tc>
          <w:tcPr>
            <w:tcW w:w="5935" w:type="dxa"/>
          </w:tcPr>
          <w:p w14:paraId="5649B9FF" w14:textId="77777777" w:rsidR="008C0FF0" w:rsidRDefault="00FE7A7A" w:rsidP="00093F29">
            <w:pPr>
              <w:pStyle w:val="ListParagraph"/>
              <w:numPr>
                <w:ilvl w:val="0"/>
                <w:numId w:val="19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Significant exports in line with hydrogen potential globally (Australia will be a superpower if hydrogen takes off)</w:t>
            </w:r>
          </w:p>
          <w:p w14:paraId="643E2624" w14:textId="3F39A461" w:rsidR="00FE7A7A" w:rsidRPr="0019422D" w:rsidRDefault="00FE7A7A" w:rsidP="00093F29">
            <w:pPr>
              <w:pStyle w:val="ListParagraph"/>
              <w:numPr>
                <w:ilvl w:val="0"/>
                <w:numId w:val="19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 there is a </w:t>
            </w:r>
            <w:r w:rsidR="00A467F4">
              <w:rPr>
                <w:lang w:val="en-US"/>
              </w:rPr>
              <w:t xml:space="preserve">significant case to consume a </w:t>
            </w:r>
            <w:r w:rsidR="00B613C9">
              <w:rPr>
                <w:lang w:val="en-US"/>
              </w:rPr>
              <w:t xml:space="preserve">significant proportion of the </w:t>
            </w:r>
            <w:r w:rsidR="00A467F4">
              <w:rPr>
                <w:lang w:val="en-US"/>
              </w:rPr>
              <w:t>hydrogen domestically with steel production and perhaps ammonia/methanol production</w:t>
            </w:r>
          </w:p>
        </w:tc>
      </w:tr>
      <w:tr w:rsidR="00A35D0C" w14:paraId="28729E7F" w14:textId="77777777" w:rsidTr="00150D0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DBFD472" w14:textId="530F26B4" w:rsidR="00A35D0C" w:rsidRDefault="00A35D0C" w:rsidP="00150D06">
            <w:pPr>
              <w:rPr>
                <w:lang w:val="en-US"/>
              </w:rPr>
            </w:pPr>
            <w:r>
              <w:rPr>
                <w:lang w:val="en-US"/>
              </w:rPr>
              <w:t>Refining</w:t>
            </w:r>
          </w:p>
        </w:tc>
        <w:tc>
          <w:tcPr>
            <w:tcW w:w="5934" w:type="dxa"/>
          </w:tcPr>
          <w:p w14:paraId="7346113E" w14:textId="0C6FF1BE" w:rsidR="00A35D0C" w:rsidRPr="00A35D0C" w:rsidRDefault="00D00842" w:rsidP="00A35D0C">
            <w:pPr>
              <w:pStyle w:val="ListParagraph"/>
              <w:numPr>
                <w:ilvl w:val="0"/>
                <w:numId w:val="21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new refineries</w:t>
            </w:r>
            <w:r w:rsidR="00C97474">
              <w:rPr>
                <w:lang w:val="en-US"/>
              </w:rPr>
              <w:t>. Uncertain how long the remaining two will remain operational</w:t>
            </w:r>
            <w:r w:rsidR="00B613C9">
              <w:rPr>
                <w:lang w:val="en-US"/>
              </w:rPr>
              <w:t>.</w:t>
            </w:r>
          </w:p>
        </w:tc>
        <w:tc>
          <w:tcPr>
            <w:tcW w:w="5935" w:type="dxa"/>
          </w:tcPr>
          <w:p w14:paraId="62105AA7" w14:textId="3D99BDEC" w:rsidR="008C0FF0" w:rsidRPr="008C0FF0" w:rsidRDefault="00C97474" w:rsidP="008C0FF0">
            <w:pPr>
              <w:pStyle w:val="ListParagraph"/>
              <w:numPr>
                <w:ilvl w:val="0"/>
                <w:numId w:val="20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Ok case for closure of refineries if EV take-up is </w:t>
            </w:r>
            <w:r w:rsidR="00B613C9">
              <w:rPr>
                <w:lang w:val="en-US"/>
              </w:rPr>
              <w:t>high enough.</w:t>
            </w:r>
          </w:p>
        </w:tc>
      </w:tr>
      <w:tr w:rsidR="00093F29" w14:paraId="010FE831" w14:textId="77777777" w:rsidTr="0015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9178B70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Fossil Fuel Supply</w:t>
            </w:r>
          </w:p>
        </w:tc>
        <w:tc>
          <w:tcPr>
            <w:tcW w:w="5934" w:type="dxa"/>
          </w:tcPr>
          <w:p w14:paraId="374D16BD" w14:textId="5279726C" w:rsidR="00093F29" w:rsidRDefault="00093F29" w:rsidP="00093F29">
            <w:pPr>
              <w:pStyle w:val="ListParagraph"/>
              <w:numPr>
                <w:ilvl w:val="0"/>
                <w:numId w:val="21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C5463">
              <w:rPr>
                <w:lang w:val="en-US"/>
              </w:rPr>
              <w:t xml:space="preserve">Reduce fugitive methane emissions </w:t>
            </w:r>
            <w:r w:rsidR="00C97474">
              <w:rPr>
                <w:lang w:val="en-US"/>
              </w:rPr>
              <w:t xml:space="preserve">in line with international </w:t>
            </w:r>
            <w:proofErr w:type="gramStart"/>
            <w:r w:rsidR="00C97474">
              <w:rPr>
                <w:lang w:val="en-US"/>
              </w:rPr>
              <w:t>commitments</w:t>
            </w:r>
            <w:proofErr w:type="gramEnd"/>
          </w:p>
          <w:p w14:paraId="236E1C57" w14:textId="6917BC15" w:rsidR="00093F29" w:rsidRDefault="004C071D" w:rsidP="00093F29">
            <w:pPr>
              <w:pStyle w:val="ListParagraph"/>
              <w:numPr>
                <w:ilvl w:val="0"/>
                <w:numId w:val="21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LNG export capacity </w:t>
            </w:r>
            <w:r w:rsidR="00C97474">
              <w:rPr>
                <w:lang w:val="en-US"/>
              </w:rPr>
              <w:t xml:space="preserve">is mostly maintained, with a small drop </w:t>
            </w:r>
            <w:r w:rsidR="000616D1">
              <w:rPr>
                <w:lang w:val="en-US"/>
              </w:rPr>
              <w:t xml:space="preserve">fall through decades as capacity is </w:t>
            </w:r>
            <w:proofErr w:type="gramStart"/>
            <w:r w:rsidR="000616D1">
              <w:rPr>
                <w:lang w:val="en-US"/>
              </w:rPr>
              <w:t>retired</w:t>
            </w:r>
            <w:proofErr w:type="gramEnd"/>
          </w:p>
          <w:p w14:paraId="5241FA9D" w14:textId="0E28945B" w:rsidR="00B35798" w:rsidRPr="00AC5463" w:rsidRDefault="00D818ED" w:rsidP="00093F29">
            <w:pPr>
              <w:pStyle w:val="ListParagraph"/>
              <w:numPr>
                <w:ilvl w:val="0"/>
                <w:numId w:val="21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Thermal and met c</w:t>
            </w:r>
            <w:r w:rsidR="00B35798">
              <w:rPr>
                <w:lang w:val="en-US"/>
              </w:rPr>
              <w:t xml:space="preserve">oal production falls </w:t>
            </w:r>
            <w:r>
              <w:rPr>
                <w:lang w:val="en-US"/>
              </w:rPr>
              <w:t xml:space="preserve">in line with global demand. </w:t>
            </w:r>
            <w:r w:rsidR="00877C4C">
              <w:rPr>
                <w:lang w:val="en-US"/>
              </w:rPr>
              <w:t xml:space="preserve">Met coal </w:t>
            </w:r>
            <w:r w:rsidR="00426DA8">
              <w:rPr>
                <w:lang w:val="en-US"/>
              </w:rPr>
              <w:t xml:space="preserve">demand is </w:t>
            </w:r>
            <w:r>
              <w:rPr>
                <w:lang w:val="en-US"/>
              </w:rPr>
              <w:t>relatively robust</w:t>
            </w:r>
            <w:r w:rsidR="00426DA8">
              <w:rPr>
                <w:lang w:val="en-US"/>
              </w:rPr>
              <w:t xml:space="preserve"> in a world that still requires steel</w:t>
            </w:r>
            <w:r>
              <w:rPr>
                <w:lang w:val="en-US"/>
              </w:rPr>
              <w:t>.</w:t>
            </w:r>
          </w:p>
        </w:tc>
        <w:tc>
          <w:tcPr>
            <w:tcW w:w="5935" w:type="dxa"/>
          </w:tcPr>
          <w:p w14:paraId="30B0D9C7" w14:textId="5E376D2D" w:rsidR="00093F29" w:rsidRPr="0015053D" w:rsidRDefault="00093F29" w:rsidP="00093F29">
            <w:pPr>
              <w:pStyle w:val="ListParagraph"/>
              <w:numPr>
                <w:ilvl w:val="0"/>
                <w:numId w:val="20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053D">
              <w:rPr>
                <w:lang w:val="en-US"/>
              </w:rPr>
              <w:t xml:space="preserve">LNG exports: capacity the same as REF (with lower </w:t>
            </w:r>
            <w:proofErr w:type="spellStart"/>
            <w:r w:rsidRPr="0015053D">
              <w:rPr>
                <w:lang w:val="en-US"/>
              </w:rPr>
              <w:t>utili</w:t>
            </w:r>
            <w:r w:rsidR="00426DA8">
              <w:rPr>
                <w:lang w:val="en-US"/>
              </w:rPr>
              <w:t>s</w:t>
            </w:r>
            <w:r w:rsidRPr="0015053D">
              <w:rPr>
                <w:lang w:val="en-US"/>
              </w:rPr>
              <w:t>ation</w:t>
            </w:r>
            <w:proofErr w:type="spellEnd"/>
            <w:r w:rsidRPr="0015053D">
              <w:rPr>
                <w:lang w:val="en-US"/>
              </w:rPr>
              <w:t>)</w:t>
            </w:r>
          </w:p>
          <w:p w14:paraId="0B9F8076" w14:textId="13C4C714" w:rsidR="00093F29" w:rsidRPr="00A8556F" w:rsidRDefault="0012290B" w:rsidP="00A8556F">
            <w:pPr>
              <w:pStyle w:val="ListParagraph"/>
              <w:numPr>
                <w:ilvl w:val="0"/>
                <w:numId w:val="20"/>
              </w:numPr>
              <w:ind w:left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Exports</w:t>
            </w:r>
            <w:r w:rsidR="00A8556F">
              <w:rPr>
                <w:lang w:val="en-US"/>
              </w:rPr>
              <w:t xml:space="preserve"> and production</w:t>
            </w:r>
            <w:r>
              <w:rPr>
                <w:lang w:val="en-US"/>
              </w:rPr>
              <w:t xml:space="preserve"> of coal, oil</w:t>
            </w:r>
            <w:r w:rsidR="00426DA8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gas fall in line with the reductions from APEC in TGT</w:t>
            </w:r>
            <w:r w:rsidR="00A50484">
              <w:rPr>
                <w:lang w:val="en-US"/>
              </w:rPr>
              <w:t xml:space="preserve"> (most demand for Australian production is international but domestic share is likely to become less prominent with time due to greater electrification, and faster decarbonization of domestic power system)</w:t>
            </w:r>
          </w:p>
        </w:tc>
      </w:tr>
      <w:tr w:rsidR="00093F29" w14:paraId="5EF3DDA6" w14:textId="77777777" w:rsidTr="00150D0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A4B518D" w14:textId="77777777" w:rsidR="00093F29" w:rsidRDefault="00093F29" w:rsidP="00150D06">
            <w:pPr>
              <w:rPr>
                <w:lang w:val="en-US"/>
              </w:rPr>
            </w:pPr>
            <w:r>
              <w:rPr>
                <w:lang w:val="en-US"/>
              </w:rPr>
              <w:t>Climate</w:t>
            </w:r>
          </w:p>
        </w:tc>
        <w:tc>
          <w:tcPr>
            <w:tcW w:w="5934" w:type="dxa"/>
          </w:tcPr>
          <w:p w14:paraId="16847F71" w14:textId="4A305710" w:rsidR="00093F29" w:rsidRDefault="00093F29" w:rsidP="00093F29">
            <w:pPr>
              <w:pStyle w:val="ListParagraph"/>
              <w:numPr>
                <w:ilvl w:val="0"/>
                <w:numId w:val="22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NDC pathway not modeled</w:t>
            </w:r>
            <w:r w:rsidR="00B613C9">
              <w:rPr>
                <w:lang w:val="en-US"/>
              </w:rPr>
              <w:t>.</w:t>
            </w:r>
          </w:p>
          <w:p w14:paraId="7419E299" w14:textId="77777777" w:rsidR="00093F29" w:rsidRPr="00C74272" w:rsidRDefault="00093F29" w:rsidP="00093F29">
            <w:pPr>
              <w:pStyle w:val="ListParagraph"/>
              <w:numPr>
                <w:ilvl w:val="0"/>
                <w:numId w:val="22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Net-zero energy sector not realized by 2050</w:t>
            </w:r>
          </w:p>
        </w:tc>
        <w:tc>
          <w:tcPr>
            <w:tcW w:w="5935" w:type="dxa"/>
          </w:tcPr>
          <w:p w14:paraId="2016EB8A" w14:textId="036DBC6C" w:rsidR="00093F29" w:rsidRDefault="00093F29" w:rsidP="00093F29">
            <w:pPr>
              <w:pStyle w:val="ListParagraph"/>
              <w:numPr>
                <w:ilvl w:val="0"/>
                <w:numId w:val="22"/>
              </w:numPr>
              <w:ind w:left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NDC</w:t>
            </w:r>
            <w:r w:rsidR="00A50484">
              <w:rPr>
                <w:lang w:val="en-US"/>
              </w:rPr>
              <w:t>, l</w:t>
            </w:r>
            <w:r>
              <w:rPr>
                <w:lang w:val="en-US"/>
              </w:rPr>
              <w:t xml:space="preserve">ong-term </w:t>
            </w:r>
            <w:r w:rsidR="00A50484">
              <w:rPr>
                <w:lang w:val="en-US"/>
              </w:rPr>
              <w:t>emissions reduction s</w:t>
            </w:r>
            <w:r>
              <w:rPr>
                <w:lang w:val="en-US"/>
              </w:rPr>
              <w:t>trategy</w:t>
            </w:r>
            <w:r w:rsidR="00A50484">
              <w:rPr>
                <w:lang w:val="en-US"/>
              </w:rPr>
              <w:t>, and ESOO/GSOO</w:t>
            </w:r>
            <w:r>
              <w:rPr>
                <w:lang w:val="en-US"/>
              </w:rPr>
              <w:t xml:space="preserve"> used as guidelines</w:t>
            </w:r>
            <w:r w:rsidR="00A50484">
              <w:rPr>
                <w:lang w:val="en-US"/>
              </w:rPr>
              <w:t>.</w:t>
            </w:r>
          </w:p>
          <w:p w14:paraId="2A56CC99" w14:textId="22D8BBCE" w:rsidR="00093F29" w:rsidRPr="004E366C" w:rsidRDefault="00093F29" w:rsidP="004E366C">
            <w:pPr>
              <w:ind w:left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73D084" w14:textId="4F712314" w:rsidR="00DD3F2F" w:rsidRPr="00BD1CEB" w:rsidRDefault="00DD3F2F" w:rsidP="00093F29">
      <w:pPr>
        <w:rPr>
          <w:lang w:val="en-US"/>
        </w:rPr>
      </w:pPr>
    </w:p>
    <w:sectPr w:rsidR="00DD3F2F" w:rsidRPr="00BD1CEB" w:rsidSect="001806A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nbar MAUNSELL" w:date="2023-10-11T16:40:00Z" w:initials="FM">
    <w:p w14:paraId="5DB586A3" w14:textId="77777777" w:rsidR="00CF683F" w:rsidRDefault="00CF683F" w:rsidP="009B0DB0">
      <w:pPr>
        <w:pStyle w:val="CommentText"/>
      </w:pPr>
      <w:r>
        <w:rPr>
          <w:rStyle w:val="CommentReference"/>
        </w:rPr>
        <w:annotationRef/>
      </w:r>
      <w:r>
        <w:t>Mine has similar non road growth to the road. Not sure if/how I should change it</w:t>
      </w:r>
    </w:p>
  </w:comment>
  <w:comment w:id="1" w:author="Finbar MAUNSELL" w:date="2023-10-11T16:45:00Z" w:initials="FM">
    <w:p w14:paraId="0BE357C3" w14:textId="77777777" w:rsidR="00CF683F" w:rsidRDefault="00CF683F" w:rsidP="001D4B79">
      <w:pPr>
        <w:pStyle w:val="CommentText"/>
      </w:pPr>
      <w:r>
        <w:rPr>
          <w:rStyle w:val="CommentReference"/>
        </w:rPr>
        <w:annotationRef/>
      </w:r>
      <w:r>
        <w:t>This and freight rail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B586A3" w15:done="0"/>
  <w15:commentEx w15:paraId="0BE357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2B8618" w16cex:dateUtc="2023-10-11T07:40:00Z"/>
  <w16cex:commentExtensible w16cex:durableId="2389B4D2" w16cex:dateUtc="2023-10-11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B586A3" w16cid:durableId="742B8618"/>
  <w16cid:commentId w16cid:paraId="0BE357C3" w16cid:durableId="2389B4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74C4" w14:textId="77777777" w:rsidR="00593E36" w:rsidRDefault="00593E36" w:rsidP="00117782">
      <w:pPr>
        <w:spacing w:after="0" w:line="240" w:lineRule="auto"/>
      </w:pPr>
      <w:r>
        <w:separator/>
      </w:r>
    </w:p>
  </w:endnote>
  <w:endnote w:type="continuationSeparator" w:id="0">
    <w:p w14:paraId="15738A21" w14:textId="77777777" w:rsidR="00593E36" w:rsidRDefault="00593E36" w:rsidP="00117782">
      <w:pPr>
        <w:spacing w:after="0" w:line="240" w:lineRule="auto"/>
      </w:pPr>
      <w:r>
        <w:continuationSeparator/>
      </w:r>
    </w:p>
  </w:endnote>
  <w:endnote w:type="continuationNotice" w:id="1">
    <w:p w14:paraId="29A4B1A5" w14:textId="77777777" w:rsidR="00593E36" w:rsidRDefault="00593E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3016" w14:textId="77777777" w:rsidR="00593E36" w:rsidRDefault="00593E36" w:rsidP="00117782">
      <w:pPr>
        <w:spacing w:after="0" w:line="240" w:lineRule="auto"/>
      </w:pPr>
      <w:r>
        <w:separator/>
      </w:r>
    </w:p>
  </w:footnote>
  <w:footnote w:type="continuationSeparator" w:id="0">
    <w:p w14:paraId="7A4F3C6C" w14:textId="77777777" w:rsidR="00593E36" w:rsidRDefault="00593E36" w:rsidP="00117782">
      <w:pPr>
        <w:spacing w:after="0" w:line="240" w:lineRule="auto"/>
      </w:pPr>
      <w:r>
        <w:continuationSeparator/>
      </w:r>
    </w:p>
  </w:footnote>
  <w:footnote w:type="continuationNotice" w:id="1">
    <w:p w14:paraId="158A058F" w14:textId="77777777" w:rsidR="00593E36" w:rsidRDefault="00593E36">
      <w:pPr>
        <w:spacing w:after="0" w:line="240" w:lineRule="auto"/>
      </w:pPr>
    </w:p>
  </w:footnote>
  <w:footnote w:id="2">
    <w:p w14:paraId="50166FD6" w14:textId="674C2143" w:rsidR="0017207C" w:rsidRPr="0017207C" w:rsidRDefault="001720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6196E">
          <w:rPr>
            <w:rStyle w:val="Hyperlink"/>
          </w:rPr>
          <w:t>https://population.un.org/wpp/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AACC" w14:textId="6C095A0C" w:rsidR="00117782" w:rsidRPr="00117782" w:rsidRDefault="00117782" w:rsidP="00117782">
    <w:pPr>
      <w:pStyle w:val="Header"/>
      <w:jc w:val="center"/>
      <w:rPr>
        <w:color w:val="FF0000"/>
        <w:lang w:val="en-US"/>
      </w:rPr>
    </w:pPr>
    <w:r w:rsidRPr="00117782">
      <w:rPr>
        <w:color w:val="FF0000"/>
        <w:lang w:val="en-US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2AB"/>
    <w:multiLevelType w:val="hybridMultilevel"/>
    <w:tmpl w:val="BAD0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39A3"/>
    <w:multiLevelType w:val="hybridMultilevel"/>
    <w:tmpl w:val="F5FE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76F1"/>
    <w:multiLevelType w:val="hybridMultilevel"/>
    <w:tmpl w:val="BC8A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82F"/>
    <w:multiLevelType w:val="hybridMultilevel"/>
    <w:tmpl w:val="EEA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F6982"/>
    <w:multiLevelType w:val="hybridMultilevel"/>
    <w:tmpl w:val="CDB0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43705"/>
    <w:multiLevelType w:val="hybridMultilevel"/>
    <w:tmpl w:val="CD86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6562F"/>
    <w:multiLevelType w:val="hybridMultilevel"/>
    <w:tmpl w:val="22F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270BD"/>
    <w:multiLevelType w:val="hybridMultilevel"/>
    <w:tmpl w:val="9E14F800"/>
    <w:lvl w:ilvl="0" w:tplc="CD7A4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AE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6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61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67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E0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49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67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431142"/>
    <w:multiLevelType w:val="hybridMultilevel"/>
    <w:tmpl w:val="93E6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4251A"/>
    <w:multiLevelType w:val="hybridMultilevel"/>
    <w:tmpl w:val="BEF8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5918"/>
    <w:multiLevelType w:val="hybridMultilevel"/>
    <w:tmpl w:val="8F0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41EB3"/>
    <w:multiLevelType w:val="hybridMultilevel"/>
    <w:tmpl w:val="F49E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469FB"/>
    <w:multiLevelType w:val="hybridMultilevel"/>
    <w:tmpl w:val="9D28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F4A1A"/>
    <w:multiLevelType w:val="hybridMultilevel"/>
    <w:tmpl w:val="05F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E2509"/>
    <w:multiLevelType w:val="hybridMultilevel"/>
    <w:tmpl w:val="037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5114E"/>
    <w:multiLevelType w:val="hybridMultilevel"/>
    <w:tmpl w:val="FEA2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AE7356"/>
    <w:multiLevelType w:val="hybridMultilevel"/>
    <w:tmpl w:val="1560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C671F"/>
    <w:multiLevelType w:val="hybridMultilevel"/>
    <w:tmpl w:val="F2485AF0"/>
    <w:lvl w:ilvl="0" w:tplc="BA725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F188F"/>
    <w:multiLevelType w:val="hybridMultilevel"/>
    <w:tmpl w:val="B93EEEBC"/>
    <w:lvl w:ilvl="0" w:tplc="5078A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826D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4A2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64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24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6C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C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851D9A"/>
    <w:multiLevelType w:val="hybridMultilevel"/>
    <w:tmpl w:val="A12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57842"/>
    <w:multiLevelType w:val="hybridMultilevel"/>
    <w:tmpl w:val="AF06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D5639"/>
    <w:multiLevelType w:val="hybridMultilevel"/>
    <w:tmpl w:val="6E9A7314"/>
    <w:lvl w:ilvl="0" w:tplc="076C0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256FF"/>
    <w:multiLevelType w:val="hybridMultilevel"/>
    <w:tmpl w:val="587A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47C69"/>
    <w:multiLevelType w:val="hybridMultilevel"/>
    <w:tmpl w:val="2B60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33981">
    <w:abstractNumId w:val="18"/>
  </w:num>
  <w:num w:numId="2" w16cid:durableId="1799449602">
    <w:abstractNumId w:val="7"/>
  </w:num>
  <w:num w:numId="3" w16cid:durableId="1593201155">
    <w:abstractNumId w:val="22"/>
  </w:num>
  <w:num w:numId="4" w16cid:durableId="291711427">
    <w:abstractNumId w:val="13"/>
  </w:num>
  <w:num w:numId="5" w16cid:durableId="1709866776">
    <w:abstractNumId w:val="6"/>
  </w:num>
  <w:num w:numId="6" w16cid:durableId="1907033343">
    <w:abstractNumId w:val="15"/>
  </w:num>
  <w:num w:numId="7" w16cid:durableId="1937589392">
    <w:abstractNumId w:val="8"/>
  </w:num>
  <w:num w:numId="8" w16cid:durableId="1538346304">
    <w:abstractNumId w:val="14"/>
  </w:num>
  <w:num w:numId="9" w16cid:durableId="670572134">
    <w:abstractNumId w:val="20"/>
  </w:num>
  <w:num w:numId="10" w16cid:durableId="1529833452">
    <w:abstractNumId w:val="4"/>
  </w:num>
  <w:num w:numId="11" w16cid:durableId="326323883">
    <w:abstractNumId w:val="11"/>
  </w:num>
  <w:num w:numId="12" w16cid:durableId="577982949">
    <w:abstractNumId w:val="2"/>
  </w:num>
  <w:num w:numId="13" w16cid:durableId="338893020">
    <w:abstractNumId w:val="2"/>
  </w:num>
  <w:num w:numId="14" w16cid:durableId="1829786207">
    <w:abstractNumId w:val="12"/>
  </w:num>
  <w:num w:numId="15" w16cid:durableId="449470789">
    <w:abstractNumId w:val="16"/>
  </w:num>
  <w:num w:numId="16" w16cid:durableId="329793220">
    <w:abstractNumId w:val="10"/>
  </w:num>
  <w:num w:numId="17" w16cid:durableId="1290432404">
    <w:abstractNumId w:val="23"/>
  </w:num>
  <w:num w:numId="18" w16cid:durableId="1563977253">
    <w:abstractNumId w:val="9"/>
  </w:num>
  <w:num w:numId="19" w16cid:durableId="1884750903">
    <w:abstractNumId w:val="1"/>
  </w:num>
  <w:num w:numId="20" w16cid:durableId="1693870810">
    <w:abstractNumId w:val="3"/>
  </w:num>
  <w:num w:numId="21" w16cid:durableId="59712370">
    <w:abstractNumId w:val="0"/>
  </w:num>
  <w:num w:numId="22" w16cid:durableId="2022316893">
    <w:abstractNumId w:val="5"/>
  </w:num>
  <w:num w:numId="23" w16cid:durableId="1696879332">
    <w:abstractNumId w:val="19"/>
  </w:num>
  <w:num w:numId="24" w16cid:durableId="791174469">
    <w:abstractNumId w:val="17"/>
  </w:num>
  <w:num w:numId="25" w16cid:durableId="115075157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nbar MAUNSELL">
    <w15:presenceInfo w15:providerId="AD" w15:userId="S::finbar.maunsell@aperc.or.jp::8826923f-3184-43b7-a36b-2a6b79ce9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2NjU2NDE0M7Q0NTRR0lEKTi0uzszPAykwqQUAfjqi2CwAAAA="/>
  </w:docVars>
  <w:rsids>
    <w:rsidRoot w:val="597673C3"/>
    <w:rsid w:val="00005E55"/>
    <w:rsid w:val="00011B85"/>
    <w:rsid w:val="00012194"/>
    <w:rsid w:val="00012ADD"/>
    <w:rsid w:val="00015CEE"/>
    <w:rsid w:val="00016094"/>
    <w:rsid w:val="00020673"/>
    <w:rsid w:val="00021F94"/>
    <w:rsid w:val="00022A88"/>
    <w:rsid w:val="00023E0F"/>
    <w:rsid w:val="0002573F"/>
    <w:rsid w:val="000257F8"/>
    <w:rsid w:val="00031B58"/>
    <w:rsid w:val="00031B7F"/>
    <w:rsid w:val="000342BE"/>
    <w:rsid w:val="00034536"/>
    <w:rsid w:val="00035EA2"/>
    <w:rsid w:val="000412C7"/>
    <w:rsid w:val="00042C38"/>
    <w:rsid w:val="000431E7"/>
    <w:rsid w:val="0004457D"/>
    <w:rsid w:val="000474B0"/>
    <w:rsid w:val="0005008A"/>
    <w:rsid w:val="00054BA2"/>
    <w:rsid w:val="000572CC"/>
    <w:rsid w:val="000616D1"/>
    <w:rsid w:val="00063A0F"/>
    <w:rsid w:val="00065F5E"/>
    <w:rsid w:val="00070658"/>
    <w:rsid w:val="00072D51"/>
    <w:rsid w:val="000741B9"/>
    <w:rsid w:val="00074D9D"/>
    <w:rsid w:val="00075348"/>
    <w:rsid w:val="00081ADD"/>
    <w:rsid w:val="00082458"/>
    <w:rsid w:val="00083EA6"/>
    <w:rsid w:val="00086ECF"/>
    <w:rsid w:val="00087DC5"/>
    <w:rsid w:val="00090469"/>
    <w:rsid w:val="00091C64"/>
    <w:rsid w:val="0009276A"/>
    <w:rsid w:val="00093894"/>
    <w:rsid w:val="00093F29"/>
    <w:rsid w:val="000A36BB"/>
    <w:rsid w:val="000B0DDF"/>
    <w:rsid w:val="000B4779"/>
    <w:rsid w:val="000B5707"/>
    <w:rsid w:val="000C03EF"/>
    <w:rsid w:val="000C3D7B"/>
    <w:rsid w:val="000C67D8"/>
    <w:rsid w:val="000D100E"/>
    <w:rsid w:val="000D4B29"/>
    <w:rsid w:val="000D662A"/>
    <w:rsid w:val="000D6EB1"/>
    <w:rsid w:val="000E1C9A"/>
    <w:rsid w:val="000E1F5D"/>
    <w:rsid w:val="000E5EF7"/>
    <w:rsid w:val="000E5FB8"/>
    <w:rsid w:val="000E6052"/>
    <w:rsid w:val="000E68CE"/>
    <w:rsid w:val="000F058C"/>
    <w:rsid w:val="000F6965"/>
    <w:rsid w:val="00100004"/>
    <w:rsid w:val="00102131"/>
    <w:rsid w:val="00102724"/>
    <w:rsid w:val="001039C2"/>
    <w:rsid w:val="00105323"/>
    <w:rsid w:val="00107218"/>
    <w:rsid w:val="001150B6"/>
    <w:rsid w:val="001162F1"/>
    <w:rsid w:val="00117782"/>
    <w:rsid w:val="0012290B"/>
    <w:rsid w:val="0012300C"/>
    <w:rsid w:val="001267A6"/>
    <w:rsid w:val="00126960"/>
    <w:rsid w:val="00126B0F"/>
    <w:rsid w:val="0012731C"/>
    <w:rsid w:val="001274CD"/>
    <w:rsid w:val="001330A3"/>
    <w:rsid w:val="001423CD"/>
    <w:rsid w:val="00142F93"/>
    <w:rsid w:val="001437E7"/>
    <w:rsid w:val="00146B34"/>
    <w:rsid w:val="00147EF8"/>
    <w:rsid w:val="00150D06"/>
    <w:rsid w:val="001559AA"/>
    <w:rsid w:val="00161FD3"/>
    <w:rsid w:val="0017025B"/>
    <w:rsid w:val="0017207C"/>
    <w:rsid w:val="001720CE"/>
    <w:rsid w:val="00174B16"/>
    <w:rsid w:val="001768AB"/>
    <w:rsid w:val="001806A2"/>
    <w:rsid w:val="0018183F"/>
    <w:rsid w:val="0018308C"/>
    <w:rsid w:val="001845FB"/>
    <w:rsid w:val="0018522E"/>
    <w:rsid w:val="00187132"/>
    <w:rsid w:val="001906C8"/>
    <w:rsid w:val="00192DE0"/>
    <w:rsid w:val="001A0213"/>
    <w:rsid w:val="001A0908"/>
    <w:rsid w:val="001A0B16"/>
    <w:rsid w:val="001A2192"/>
    <w:rsid w:val="001A3842"/>
    <w:rsid w:val="001A4811"/>
    <w:rsid w:val="001A6D28"/>
    <w:rsid w:val="001A76FF"/>
    <w:rsid w:val="001B12D8"/>
    <w:rsid w:val="001B2B96"/>
    <w:rsid w:val="001B32E3"/>
    <w:rsid w:val="001B4788"/>
    <w:rsid w:val="001B5C2D"/>
    <w:rsid w:val="001B5F81"/>
    <w:rsid w:val="001C04A2"/>
    <w:rsid w:val="001C0F83"/>
    <w:rsid w:val="001C3C08"/>
    <w:rsid w:val="001C5F03"/>
    <w:rsid w:val="001C7B42"/>
    <w:rsid w:val="001D356E"/>
    <w:rsid w:val="001E1607"/>
    <w:rsid w:val="001E30CD"/>
    <w:rsid w:val="001E61E9"/>
    <w:rsid w:val="001E777F"/>
    <w:rsid w:val="001F3413"/>
    <w:rsid w:val="001F7C96"/>
    <w:rsid w:val="00202632"/>
    <w:rsid w:val="002071E9"/>
    <w:rsid w:val="00210BF6"/>
    <w:rsid w:val="002127D3"/>
    <w:rsid w:val="00220FA6"/>
    <w:rsid w:val="00221F8B"/>
    <w:rsid w:val="002226B1"/>
    <w:rsid w:val="002230C1"/>
    <w:rsid w:val="002251A6"/>
    <w:rsid w:val="00225A19"/>
    <w:rsid w:val="00227F3E"/>
    <w:rsid w:val="002349C2"/>
    <w:rsid w:val="00234FB9"/>
    <w:rsid w:val="002377A3"/>
    <w:rsid w:val="00245729"/>
    <w:rsid w:val="00251894"/>
    <w:rsid w:val="00253959"/>
    <w:rsid w:val="00256CD5"/>
    <w:rsid w:val="00260DD6"/>
    <w:rsid w:val="0026232B"/>
    <w:rsid w:val="00262A6D"/>
    <w:rsid w:val="00271C9B"/>
    <w:rsid w:val="00273C9D"/>
    <w:rsid w:val="00274706"/>
    <w:rsid w:val="00277EFA"/>
    <w:rsid w:val="00280264"/>
    <w:rsid w:val="00280EF7"/>
    <w:rsid w:val="00284AB7"/>
    <w:rsid w:val="00286ABE"/>
    <w:rsid w:val="00287D87"/>
    <w:rsid w:val="00290E26"/>
    <w:rsid w:val="00291A7A"/>
    <w:rsid w:val="00292648"/>
    <w:rsid w:val="00292ACA"/>
    <w:rsid w:val="00292BE1"/>
    <w:rsid w:val="00294452"/>
    <w:rsid w:val="002A04BF"/>
    <w:rsid w:val="002A5FC1"/>
    <w:rsid w:val="002A681B"/>
    <w:rsid w:val="002B01F8"/>
    <w:rsid w:val="002B07CC"/>
    <w:rsid w:val="002B0A43"/>
    <w:rsid w:val="002B40A6"/>
    <w:rsid w:val="002B4291"/>
    <w:rsid w:val="002B51C0"/>
    <w:rsid w:val="002B662B"/>
    <w:rsid w:val="002C236B"/>
    <w:rsid w:val="002C3A08"/>
    <w:rsid w:val="002D012F"/>
    <w:rsid w:val="002D0EFD"/>
    <w:rsid w:val="002D3B1A"/>
    <w:rsid w:val="002D717A"/>
    <w:rsid w:val="002D74CF"/>
    <w:rsid w:val="002D7B00"/>
    <w:rsid w:val="002E016C"/>
    <w:rsid w:val="002E05B8"/>
    <w:rsid w:val="002E135A"/>
    <w:rsid w:val="002E14DB"/>
    <w:rsid w:val="002E6C5D"/>
    <w:rsid w:val="002E7568"/>
    <w:rsid w:val="002E75CB"/>
    <w:rsid w:val="002E7654"/>
    <w:rsid w:val="002F0709"/>
    <w:rsid w:val="002F0AAA"/>
    <w:rsid w:val="002F5EB6"/>
    <w:rsid w:val="00301F60"/>
    <w:rsid w:val="00303AF1"/>
    <w:rsid w:val="003040FF"/>
    <w:rsid w:val="00304261"/>
    <w:rsid w:val="0031155D"/>
    <w:rsid w:val="00313416"/>
    <w:rsid w:val="003142AE"/>
    <w:rsid w:val="00314801"/>
    <w:rsid w:val="00314FAD"/>
    <w:rsid w:val="00316657"/>
    <w:rsid w:val="00316FE2"/>
    <w:rsid w:val="00321A10"/>
    <w:rsid w:val="00323224"/>
    <w:rsid w:val="00324302"/>
    <w:rsid w:val="00324A0C"/>
    <w:rsid w:val="003260ED"/>
    <w:rsid w:val="00326186"/>
    <w:rsid w:val="00326761"/>
    <w:rsid w:val="0033196A"/>
    <w:rsid w:val="00333EFB"/>
    <w:rsid w:val="0034009C"/>
    <w:rsid w:val="003411D1"/>
    <w:rsid w:val="00343C9C"/>
    <w:rsid w:val="003464DC"/>
    <w:rsid w:val="003471BC"/>
    <w:rsid w:val="00347AAA"/>
    <w:rsid w:val="00350357"/>
    <w:rsid w:val="00351A81"/>
    <w:rsid w:val="00361AEA"/>
    <w:rsid w:val="00362D3B"/>
    <w:rsid w:val="00366263"/>
    <w:rsid w:val="00370281"/>
    <w:rsid w:val="003855B4"/>
    <w:rsid w:val="0038572B"/>
    <w:rsid w:val="00390DD8"/>
    <w:rsid w:val="00394DAD"/>
    <w:rsid w:val="003954CE"/>
    <w:rsid w:val="0039790D"/>
    <w:rsid w:val="003B17E7"/>
    <w:rsid w:val="003B1AE9"/>
    <w:rsid w:val="003B2A04"/>
    <w:rsid w:val="003B3755"/>
    <w:rsid w:val="003B50AD"/>
    <w:rsid w:val="003B5B21"/>
    <w:rsid w:val="003B676F"/>
    <w:rsid w:val="003B7ED7"/>
    <w:rsid w:val="003B7F68"/>
    <w:rsid w:val="003C136C"/>
    <w:rsid w:val="003C4EBF"/>
    <w:rsid w:val="003C5F5C"/>
    <w:rsid w:val="003C655C"/>
    <w:rsid w:val="003C7A0A"/>
    <w:rsid w:val="003C7B90"/>
    <w:rsid w:val="003D12AE"/>
    <w:rsid w:val="003D37C4"/>
    <w:rsid w:val="003D682B"/>
    <w:rsid w:val="003E4EA6"/>
    <w:rsid w:val="003E6C03"/>
    <w:rsid w:val="003E7F56"/>
    <w:rsid w:val="003F14E0"/>
    <w:rsid w:val="003F1EDB"/>
    <w:rsid w:val="003F305B"/>
    <w:rsid w:val="003F61F6"/>
    <w:rsid w:val="003F6B89"/>
    <w:rsid w:val="003F6B9C"/>
    <w:rsid w:val="004001EF"/>
    <w:rsid w:val="004006F1"/>
    <w:rsid w:val="00402AB4"/>
    <w:rsid w:val="0041066F"/>
    <w:rsid w:val="00412E09"/>
    <w:rsid w:val="00414453"/>
    <w:rsid w:val="0041554D"/>
    <w:rsid w:val="00415B3C"/>
    <w:rsid w:val="00421C15"/>
    <w:rsid w:val="00426A63"/>
    <w:rsid w:val="00426DA8"/>
    <w:rsid w:val="00427608"/>
    <w:rsid w:val="0043168D"/>
    <w:rsid w:val="004323C8"/>
    <w:rsid w:val="00443E22"/>
    <w:rsid w:val="00446E44"/>
    <w:rsid w:val="0045238B"/>
    <w:rsid w:val="004553DC"/>
    <w:rsid w:val="004555DA"/>
    <w:rsid w:val="00455FB1"/>
    <w:rsid w:val="00460754"/>
    <w:rsid w:val="00461151"/>
    <w:rsid w:val="00463F95"/>
    <w:rsid w:val="00464270"/>
    <w:rsid w:val="004669D7"/>
    <w:rsid w:val="0047323E"/>
    <w:rsid w:val="004815DC"/>
    <w:rsid w:val="00483AE0"/>
    <w:rsid w:val="0048549B"/>
    <w:rsid w:val="0048580E"/>
    <w:rsid w:val="004879B8"/>
    <w:rsid w:val="00495D7A"/>
    <w:rsid w:val="0049703E"/>
    <w:rsid w:val="004A1C88"/>
    <w:rsid w:val="004A50AF"/>
    <w:rsid w:val="004A64D3"/>
    <w:rsid w:val="004B051A"/>
    <w:rsid w:val="004B092B"/>
    <w:rsid w:val="004B27B7"/>
    <w:rsid w:val="004B69BA"/>
    <w:rsid w:val="004B7C18"/>
    <w:rsid w:val="004C071D"/>
    <w:rsid w:val="004C0BB6"/>
    <w:rsid w:val="004C1A87"/>
    <w:rsid w:val="004C1AD7"/>
    <w:rsid w:val="004C61A2"/>
    <w:rsid w:val="004D0574"/>
    <w:rsid w:val="004D076B"/>
    <w:rsid w:val="004D2145"/>
    <w:rsid w:val="004D38F1"/>
    <w:rsid w:val="004D45E4"/>
    <w:rsid w:val="004D5747"/>
    <w:rsid w:val="004D5B8E"/>
    <w:rsid w:val="004E125D"/>
    <w:rsid w:val="004E1ACD"/>
    <w:rsid w:val="004E1B49"/>
    <w:rsid w:val="004E366C"/>
    <w:rsid w:val="004E530A"/>
    <w:rsid w:val="004F076E"/>
    <w:rsid w:val="004F5B7E"/>
    <w:rsid w:val="004F62F2"/>
    <w:rsid w:val="004F716E"/>
    <w:rsid w:val="004F7481"/>
    <w:rsid w:val="00501124"/>
    <w:rsid w:val="00503FFD"/>
    <w:rsid w:val="00505045"/>
    <w:rsid w:val="005063D4"/>
    <w:rsid w:val="00511E6D"/>
    <w:rsid w:val="005126F5"/>
    <w:rsid w:val="00515C81"/>
    <w:rsid w:val="00516CF7"/>
    <w:rsid w:val="005173CE"/>
    <w:rsid w:val="00522429"/>
    <w:rsid w:val="0052276A"/>
    <w:rsid w:val="005248F6"/>
    <w:rsid w:val="0052576A"/>
    <w:rsid w:val="005259B8"/>
    <w:rsid w:val="0053597B"/>
    <w:rsid w:val="005406DC"/>
    <w:rsid w:val="00541E65"/>
    <w:rsid w:val="00542DB3"/>
    <w:rsid w:val="00542FF9"/>
    <w:rsid w:val="005441BC"/>
    <w:rsid w:val="00545768"/>
    <w:rsid w:val="00547B40"/>
    <w:rsid w:val="00553019"/>
    <w:rsid w:val="005637ED"/>
    <w:rsid w:val="00567975"/>
    <w:rsid w:val="00570E8A"/>
    <w:rsid w:val="00571CC3"/>
    <w:rsid w:val="0057419F"/>
    <w:rsid w:val="00574417"/>
    <w:rsid w:val="00575100"/>
    <w:rsid w:val="00575929"/>
    <w:rsid w:val="00583A8B"/>
    <w:rsid w:val="0058408C"/>
    <w:rsid w:val="0058454E"/>
    <w:rsid w:val="00593E36"/>
    <w:rsid w:val="005A180A"/>
    <w:rsid w:val="005A20E5"/>
    <w:rsid w:val="005A2B22"/>
    <w:rsid w:val="005A3189"/>
    <w:rsid w:val="005A4121"/>
    <w:rsid w:val="005A6C5D"/>
    <w:rsid w:val="005B2575"/>
    <w:rsid w:val="005B2B4D"/>
    <w:rsid w:val="005B3E7E"/>
    <w:rsid w:val="005B4EEE"/>
    <w:rsid w:val="005B547A"/>
    <w:rsid w:val="005B5D38"/>
    <w:rsid w:val="005B5EDE"/>
    <w:rsid w:val="005C1A41"/>
    <w:rsid w:val="005C6374"/>
    <w:rsid w:val="005C79F7"/>
    <w:rsid w:val="005D3792"/>
    <w:rsid w:val="005D4001"/>
    <w:rsid w:val="005D6659"/>
    <w:rsid w:val="005D6BBB"/>
    <w:rsid w:val="005D7399"/>
    <w:rsid w:val="005D7DD4"/>
    <w:rsid w:val="005E10A3"/>
    <w:rsid w:val="005E2DEE"/>
    <w:rsid w:val="005E334D"/>
    <w:rsid w:val="005E6469"/>
    <w:rsid w:val="005E6CED"/>
    <w:rsid w:val="005E71ED"/>
    <w:rsid w:val="005F1C9A"/>
    <w:rsid w:val="005F6589"/>
    <w:rsid w:val="00601681"/>
    <w:rsid w:val="00607EED"/>
    <w:rsid w:val="00610F57"/>
    <w:rsid w:val="006113DB"/>
    <w:rsid w:val="00612652"/>
    <w:rsid w:val="00612D88"/>
    <w:rsid w:val="006237E7"/>
    <w:rsid w:val="00624917"/>
    <w:rsid w:val="00624F04"/>
    <w:rsid w:val="00625C9D"/>
    <w:rsid w:val="00626775"/>
    <w:rsid w:val="00630187"/>
    <w:rsid w:val="00630409"/>
    <w:rsid w:val="006309E1"/>
    <w:rsid w:val="006350BF"/>
    <w:rsid w:val="00636082"/>
    <w:rsid w:val="006422CA"/>
    <w:rsid w:val="00643142"/>
    <w:rsid w:val="00645CBF"/>
    <w:rsid w:val="00645FC2"/>
    <w:rsid w:val="00647441"/>
    <w:rsid w:val="006518B3"/>
    <w:rsid w:val="00651C6A"/>
    <w:rsid w:val="00651D9C"/>
    <w:rsid w:val="00654ED3"/>
    <w:rsid w:val="006559B4"/>
    <w:rsid w:val="006560C3"/>
    <w:rsid w:val="00656C41"/>
    <w:rsid w:val="00661788"/>
    <w:rsid w:val="00663D1A"/>
    <w:rsid w:val="006650F2"/>
    <w:rsid w:val="00665C2D"/>
    <w:rsid w:val="00666F3A"/>
    <w:rsid w:val="0067239B"/>
    <w:rsid w:val="00673CE8"/>
    <w:rsid w:val="00674EBA"/>
    <w:rsid w:val="006762C6"/>
    <w:rsid w:val="006825E6"/>
    <w:rsid w:val="0068439B"/>
    <w:rsid w:val="00685BCD"/>
    <w:rsid w:val="00686BFC"/>
    <w:rsid w:val="0069133A"/>
    <w:rsid w:val="0069238E"/>
    <w:rsid w:val="0069593E"/>
    <w:rsid w:val="006A0B0B"/>
    <w:rsid w:val="006A5172"/>
    <w:rsid w:val="006A6A1D"/>
    <w:rsid w:val="006B0A3D"/>
    <w:rsid w:val="006B1F7C"/>
    <w:rsid w:val="006B2B6B"/>
    <w:rsid w:val="006B3086"/>
    <w:rsid w:val="006C37AD"/>
    <w:rsid w:val="006C5577"/>
    <w:rsid w:val="006C7C66"/>
    <w:rsid w:val="006C7F1C"/>
    <w:rsid w:val="006D0A86"/>
    <w:rsid w:val="006D1FCC"/>
    <w:rsid w:val="006D2680"/>
    <w:rsid w:val="006D5D98"/>
    <w:rsid w:val="006D5FA8"/>
    <w:rsid w:val="006D662F"/>
    <w:rsid w:val="006D6E40"/>
    <w:rsid w:val="006E24E3"/>
    <w:rsid w:val="006E351E"/>
    <w:rsid w:val="006E4BFE"/>
    <w:rsid w:val="006E5518"/>
    <w:rsid w:val="006E5D73"/>
    <w:rsid w:val="006E6D34"/>
    <w:rsid w:val="006E7C44"/>
    <w:rsid w:val="006F1AAB"/>
    <w:rsid w:val="006F35F3"/>
    <w:rsid w:val="006F61B3"/>
    <w:rsid w:val="006F79D2"/>
    <w:rsid w:val="007002B9"/>
    <w:rsid w:val="00701E88"/>
    <w:rsid w:val="0070689C"/>
    <w:rsid w:val="007071F4"/>
    <w:rsid w:val="007111A6"/>
    <w:rsid w:val="00711E6E"/>
    <w:rsid w:val="00713D6B"/>
    <w:rsid w:val="00714FE6"/>
    <w:rsid w:val="00717D59"/>
    <w:rsid w:val="00717FC1"/>
    <w:rsid w:val="0072043B"/>
    <w:rsid w:val="007210A5"/>
    <w:rsid w:val="00723D3C"/>
    <w:rsid w:val="00723F2B"/>
    <w:rsid w:val="00725448"/>
    <w:rsid w:val="00726940"/>
    <w:rsid w:val="00732C7D"/>
    <w:rsid w:val="0073489F"/>
    <w:rsid w:val="0073600F"/>
    <w:rsid w:val="00737B70"/>
    <w:rsid w:val="0074074E"/>
    <w:rsid w:val="00740CE2"/>
    <w:rsid w:val="0074374F"/>
    <w:rsid w:val="00745554"/>
    <w:rsid w:val="00747787"/>
    <w:rsid w:val="00750838"/>
    <w:rsid w:val="00752F0A"/>
    <w:rsid w:val="007551E3"/>
    <w:rsid w:val="00756F66"/>
    <w:rsid w:val="00757FCA"/>
    <w:rsid w:val="007625B7"/>
    <w:rsid w:val="007665EB"/>
    <w:rsid w:val="00766B24"/>
    <w:rsid w:val="00771982"/>
    <w:rsid w:val="0077345C"/>
    <w:rsid w:val="007751E3"/>
    <w:rsid w:val="007773D5"/>
    <w:rsid w:val="00781191"/>
    <w:rsid w:val="00781FC5"/>
    <w:rsid w:val="00782330"/>
    <w:rsid w:val="00784C1D"/>
    <w:rsid w:val="00786905"/>
    <w:rsid w:val="00791F49"/>
    <w:rsid w:val="00796AF7"/>
    <w:rsid w:val="007973B2"/>
    <w:rsid w:val="007A02B1"/>
    <w:rsid w:val="007A0E2A"/>
    <w:rsid w:val="007A6474"/>
    <w:rsid w:val="007B2350"/>
    <w:rsid w:val="007B2B0F"/>
    <w:rsid w:val="007B3918"/>
    <w:rsid w:val="007B3AF6"/>
    <w:rsid w:val="007B3D3A"/>
    <w:rsid w:val="007B55A2"/>
    <w:rsid w:val="007B735C"/>
    <w:rsid w:val="007B7DD2"/>
    <w:rsid w:val="007B7F16"/>
    <w:rsid w:val="007C069C"/>
    <w:rsid w:val="007C3192"/>
    <w:rsid w:val="007C354F"/>
    <w:rsid w:val="007C38AA"/>
    <w:rsid w:val="007C5D72"/>
    <w:rsid w:val="007D0457"/>
    <w:rsid w:val="007D0DA1"/>
    <w:rsid w:val="007D308B"/>
    <w:rsid w:val="007D5F06"/>
    <w:rsid w:val="007E22F3"/>
    <w:rsid w:val="007E6FE9"/>
    <w:rsid w:val="007E7295"/>
    <w:rsid w:val="007F026B"/>
    <w:rsid w:val="007F04CF"/>
    <w:rsid w:val="007F21B6"/>
    <w:rsid w:val="007F564F"/>
    <w:rsid w:val="007F67B5"/>
    <w:rsid w:val="007F729C"/>
    <w:rsid w:val="007F7CE1"/>
    <w:rsid w:val="00801733"/>
    <w:rsid w:val="00801B98"/>
    <w:rsid w:val="00803491"/>
    <w:rsid w:val="008035EB"/>
    <w:rsid w:val="00811C28"/>
    <w:rsid w:val="00813935"/>
    <w:rsid w:val="008156A5"/>
    <w:rsid w:val="00824398"/>
    <w:rsid w:val="00827323"/>
    <w:rsid w:val="0082740E"/>
    <w:rsid w:val="00827E65"/>
    <w:rsid w:val="008344DB"/>
    <w:rsid w:val="00835B59"/>
    <w:rsid w:val="00835C48"/>
    <w:rsid w:val="00840BFB"/>
    <w:rsid w:val="00841CCE"/>
    <w:rsid w:val="0084243C"/>
    <w:rsid w:val="00843952"/>
    <w:rsid w:val="0084471C"/>
    <w:rsid w:val="00847A00"/>
    <w:rsid w:val="008520F9"/>
    <w:rsid w:val="00852BF2"/>
    <w:rsid w:val="00853273"/>
    <w:rsid w:val="00856297"/>
    <w:rsid w:val="00857492"/>
    <w:rsid w:val="008617E4"/>
    <w:rsid w:val="00861BC4"/>
    <w:rsid w:val="00865D7C"/>
    <w:rsid w:val="008660E4"/>
    <w:rsid w:val="00875D1D"/>
    <w:rsid w:val="00877BED"/>
    <w:rsid w:val="00877C4C"/>
    <w:rsid w:val="008800C3"/>
    <w:rsid w:val="008815BF"/>
    <w:rsid w:val="00881D74"/>
    <w:rsid w:val="00884A74"/>
    <w:rsid w:val="008914B4"/>
    <w:rsid w:val="00893296"/>
    <w:rsid w:val="00893E31"/>
    <w:rsid w:val="00894721"/>
    <w:rsid w:val="0089498E"/>
    <w:rsid w:val="008A4409"/>
    <w:rsid w:val="008A461D"/>
    <w:rsid w:val="008A6528"/>
    <w:rsid w:val="008B0D04"/>
    <w:rsid w:val="008B0F6E"/>
    <w:rsid w:val="008B0F7F"/>
    <w:rsid w:val="008B1E95"/>
    <w:rsid w:val="008B61FD"/>
    <w:rsid w:val="008B6334"/>
    <w:rsid w:val="008C0FF0"/>
    <w:rsid w:val="008C162E"/>
    <w:rsid w:val="008C24DA"/>
    <w:rsid w:val="008C6D71"/>
    <w:rsid w:val="008C7D5F"/>
    <w:rsid w:val="008E1706"/>
    <w:rsid w:val="008E2E8C"/>
    <w:rsid w:val="008E4470"/>
    <w:rsid w:val="008E5650"/>
    <w:rsid w:val="008E69FF"/>
    <w:rsid w:val="008F03D1"/>
    <w:rsid w:val="008F3DE5"/>
    <w:rsid w:val="008F48EF"/>
    <w:rsid w:val="008F5160"/>
    <w:rsid w:val="008F5B31"/>
    <w:rsid w:val="008F5DEF"/>
    <w:rsid w:val="008F76E1"/>
    <w:rsid w:val="00902EBC"/>
    <w:rsid w:val="00905313"/>
    <w:rsid w:val="00906F71"/>
    <w:rsid w:val="00907877"/>
    <w:rsid w:val="00907C64"/>
    <w:rsid w:val="009114D5"/>
    <w:rsid w:val="00912C88"/>
    <w:rsid w:val="00913D8A"/>
    <w:rsid w:val="00915ACC"/>
    <w:rsid w:val="00916361"/>
    <w:rsid w:val="00916AF6"/>
    <w:rsid w:val="00923622"/>
    <w:rsid w:val="009255B1"/>
    <w:rsid w:val="00925DDF"/>
    <w:rsid w:val="0093110C"/>
    <w:rsid w:val="009320C2"/>
    <w:rsid w:val="0093266E"/>
    <w:rsid w:val="00943F31"/>
    <w:rsid w:val="00945602"/>
    <w:rsid w:val="00945F69"/>
    <w:rsid w:val="00947D7B"/>
    <w:rsid w:val="00951D86"/>
    <w:rsid w:val="00951EC5"/>
    <w:rsid w:val="0095798A"/>
    <w:rsid w:val="00960042"/>
    <w:rsid w:val="00966133"/>
    <w:rsid w:val="0097382F"/>
    <w:rsid w:val="00975DD0"/>
    <w:rsid w:val="00981B64"/>
    <w:rsid w:val="00982897"/>
    <w:rsid w:val="00986C01"/>
    <w:rsid w:val="00991F5B"/>
    <w:rsid w:val="009968B0"/>
    <w:rsid w:val="00996F86"/>
    <w:rsid w:val="00996FBC"/>
    <w:rsid w:val="009978AF"/>
    <w:rsid w:val="009A209C"/>
    <w:rsid w:val="009A5DA0"/>
    <w:rsid w:val="009A78BF"/>
    <w:rsid w:val="009A7C8B"/>
    <w:rsid w:val="009B1878"/>
    <w:rsid w:val="009B3A54"/>
    <w:rsid w:val="009B56CD"/>
    <w:rsid w:val="009C2B70"/>
    <w:rsid w:val="009C6F95"/>
    <w:rsid w:val="009C7CCE"/>
    <w:rsid w:val="009D210B"/>
    <w:rsid w:val="009D54A4"/>
    <w:rsid w:val="009D7F3C"/>
    <w:rsid w:val="009E1851"/>
    <w:rsid w:val="009E7277"/>
    <w:rsid w:val="009F71C4"/>
    <w:rsid w:val="009F79D9"/>
    <w:rsid w:val="00A0299D"/>
    <w:rsid w:val="00A0648E"/>
    <w:rsid w:val="00A121C9"/>
    <w:rsid w:val="00A139C4"/>
    <w:rsid w:val="00A17486"/>
    <w:rsid w:val="00A2022A"/>
    <w:rsid w:val="00A20705"/>
    <w:rsid w:val="00A214D8"/>
    <w:rsid w:val="00A261D6"/>
    <w:rsid w:val="00A32D8F"/>
    <w:rsid w:val="00A32E1A"/>
    <w:rsid w:val="00A35D0C"/>
    <w:rsid w:val="00A36FB5"/>
    <w:rsid w:val="00A37B3C"/>
    <w:rsid w:val="00A4404D"/>
    <w:rsid w:val="00A45B25"/>
    <w:rsid w:val="00A467F4"/>
    <w:rsid w:val="00A4681F"/>
    <w:rsid w:val="00A476EA"/>
    <w:rsid w:val="00A50484"/>
    <w:rsid w:val="00A516EC"/>
    <w:rsid w:val="00A51EC0"/>
    <w:rsid w:val="00A5217D"/>
    <w:rsid w:val="00A528B1"/>
    <w:rsid w:val="00A54985"/>
    <w:rsid w:val="00A637EB"/>
    <w:rsid w:val="00A66020"/>
    <w:rsid w:val="00A67D0F"/>
    <w:rsid w:val="00A70FE1"/>
    <w:rsid w:val="00A7185B"/>
    <w:rsid w:val="00A71CC3"/>
    <w:rsid w:val="00A82418"/>
    <w:rsid w:val="00A8556F"/>
    <w:rsid w:val="00A90E5F"/>
    <w:rsid w:val="00A956F9"/>
    <w:rsid w:val="00A970BA"/>
    <w:rsid w:val="00A97475"/>
    <w:rsid w:val="00A97F0B"/>
    <w:rsid w:val="00AA2FCC"/>
    <w:rsid w:val="00AA46AA"/>
    <w:rsid w:val="00AA4B4E"/>
    <w:rsid w:val="00AB45AE"/>
    <w:rsid w:val="00AB47B4"/>
    <w:rsid w:val="00AB6C03"/>
    <w:rsid w:val="00AB7DA9"/>
    <w:rsid w:val="00AC267F"/>
    <w:rsid w:val="00AC4A76"/>
    <w:rsid w:val="00AC6CC5"/>
    <w:rsid w:val="00AC73E3"/>
    <w:rsid w:val="00AD09C7"/>
    <w:rsid w:val="00AD236D"/>
    <w:rsid w:val="00AD2591"/>
    <w:rsid w:val="00AD4BAB"/>
    <w:rsid w:val="00AD4E3A"/>
    <w:rsid w:val="00AD7442"/>
    <w:rsid w:val="00AE418A"/>
    <w:rsid w:val="00AE6150"/>
    <w:rsid w:val="00AF09A2"/>
    <w:rsid w:val="00AF2BCE"/>
    <w:rsid w:val="00AF3ED3"/>
    <w:rsid w:val="00AF6984"/>
    <w:rsid w:val="00AF6F93"/>
    <w:rsid w:val="00B06095"/>
    <w:rsid w:val="00B066E9"/>
    <w:rsid w:val="00B07074"/>
    <w:rsid w:val="00B079D9"/>
    <w:rsid w:val="00B10F22"/>
    <w:rsid w:val="00B16FF6"/>
    <w:rsid w:val="00B21B5F"/>
    <w:rsid w:val="00B23EE2"/>
    <w:rsid w:val="00B246A5"/>
    <w:rsid w:val="00B2643E"/>
    <w:rsid w:val="00B278DA"/>
    <w:rsid w:val="00B35798"/>
    <w:rsid w:val="00B41410"/>
    <w:rsid w:val="00B445C5"/>
    <w:rsid w:val="00B44A64"/>
    <w:rsid w:val="00B52642"/>
    <w:rsid w:val="00B538ED"/>
    <w:rsid w:val="00B5779F"/>
    <w:rsid w:val="00B613C9"/>
    <w:rsid w:val="00B61B39"/>
    <w:rsid w:val="00B63D25"/>
    <w:rsid w:val="00B66F25"/>
    <w:rsid w:val="00B70144"/>
    <w:rsid w:val="00B73176"/>
    <w:rsid w:val="00B73874"/>
    <w:rsid w:val="00B748C1"/>
    <w:rsid w:val="00B779F4"/>
    <w:rsid w:val="00B80299"/>
    <w:rsid w:val="00B85DEB"/>
    <w:rsid w:val="00B86A48"/>
    <w:rsid w:val="00B90009"/>
    <w:rsid w:val="00B91763"/>
    <w:rsid w:val="00B9715A"/>
    <w:rsid w:val="00B97874"/>
    <w:rsid w:val="00BA1DAF"/>
    <w:rsid w:val="00BA3327"/>
    <w:rsid w:val="00BA3ED7"/>
    <w:rsid w:val="00BA47CE"/>
    <w:rsid w:val="00BA4F5E"/>
    <w:rsid w:val="00BB61E1"/>
    <w:rsid w:val="00BC38C0"/>
    <w:rsid w:val="00BC4329"/>
    <w:rsid w:val="00BC5121"/>
    <w:rsid w:val="00BC7912"/>
    <w:rsid w:val="00BD10FF"/>
    <w:rsid w:val="00BD1CEB"/>
    <w:rsid w:val="00BD243B"/>
    <w:rsid w:val="00BD28CF"/>
    <w:rsid w:val="00BD3E7D"/>
    <w:rsid w:val="00BD5A21"/>
    <w:rsid w:val="00BE42CF"/>
    <w:rsid w:val="00BE4399"/>
    <w:rsid w:val="00BE51AB"/>
    <w:rsid w:val="00BE57C0"/>
    <w:rsid w:val="00BE6CCC"/>
    <w:rsid w:val="00BF0E88"/>
    <w:rsid w:val="00BF27C5"/>
    <w:rsid w:val="00BF301B"/>
    <w:rsid w:val="00BF6807"/>
    <w:rsid w:val="00BF7669"/>
    <w:rsid w:val="00C06800"/>
    <w:rsid w:val="00C142A3"/>
    <w:rsid w:val="00C15DC7"/>
    <w:rsid w:val="00C20314"/>
    <w:rsid w:val="00C2233C"/>
    <w:rsid w:val="00C25202"/>
    <w:rsid w:val="00C26602"/>
    <w:rsid w:val="00C30F23"/>
    <w:rsid w:val="00C355E4"/>
    <w:rsid w:val="00C369D4"/>
    <w:rsid w:val="00C3704B"/>
    <w:rsid w:val="00C40BD9"/>
    <w:rsid w:val="00C444CD"/>
    <w:rsid w:val="00C45EBF"/>
    <w:rsid w:val="00C5169F"/>
    <w:rsid w:val="00C5396B"/>
    <w:rsid w:val="00C60133"/>
    <w:rsid w:val="00C616E4"/>
    <w:rsid w:val="00C67608"/>
    <w:rsid w:val="00C7028E"/>
    <w:rsid w:val="00C70F40"/>
    <w:rsid w:val="00C76135"/>
    <w:rsid w:val="00C8078F"/>
    <w:rsid w:val="00C8126C"/>
    <w:rsid w:val="00C85173"/>
    <w:rsid w:val="00C85EF6"/>
    <w:rsid w:val="00C861E9"/>
    <w:rsid w:val="00C92899"/>
    <w:rsid w:val="00C97474"/>
    <w:rsid w:val="00CA2506"/>
    <w:rsid w:val="00CA2C1D"/>
    <w:rsid w:val="00CA33AE"/>
    <w:rsid w:val="00CA425F"/>
    <w:rsid w:val="00CA73D5"/>
    <w:rsid w:val="00CA7EE1"/>
    <w:rsid w:val="00CB0D2B"/>
    <w:rsid w:val="00CB515B"/>
    <w:rsid w:val="00CC521A"/>
    <w:rsid w:val="00CC52CF"/>
    <w:rsid w:val="00CC5A9D"/>
    <w:rsid w:val="00CC5C3C"/>
    <w:rsid w:val="00CC5C9C"/>
    <w:rsid w:val="00CC7F15"/>
    <w:rsid w:val="00CD18B8"/>
    <w:rsid w:val="00CD1B59"/>
    <w:rsid w:val="00CD4E71"/>
    <w:rsid w:val="00CD76B9"/>
    <w:rsid w:val="00CE142A"/>
    <w:rsid w:val="00CE306D"/>
    <w:rsid w:val="00CE5983"/>
    <w:rsid w:val="00CF1A9E"/>
    <w:rsid w:val="00CF626D"/>
    <w:rsid w:val="00CF683F"/>
    <w:rsid w:val="00CF6DB4"/>
    <w:rsid w:val="00D00842"/>
    <w:rsid w:val="00D00DEC"/>
    <w:rsid w:val="00D01019"/>
    <w:rsid w:val="00D019B2"/>
    <w:rsid w:val="00D031A1"/>
    <w:rsid w:val="00D1008A"/>
    <w:rsid w:val="00D101CD"/>
    <w:rsid w:val="00D11BEF"/>
    <w:rsid w:val="00D16518"/>
    <w:rsid w:val="00D1789B"/>
    <w:rsid w:val="00D20183"/>
    <w:rsid w:val="00D21BF6"/>
    <w:rsid w:val="00D22076"/>
    <w:rsid w:val="00D220DD"/>
    <w:rsid w:val="00D23922"/>
    <w:rsid w:val="00D2572E"/>
    <w:rsid w:val="00D26182"/>
    <w:rsid w:val="00D26E4E"/>
    <w:rsid w:val="00D27C4F"/>
    <w:rsid w:val="00D33131"/>
    <w:rsid w:val="00D44416"/>
    <w:rsid w:val="00D457DE"/>
    <w:rsid w:val="00D45DAD"/>
    <w:rsid w:val="00D535B9"/>
    <w:rsid w:val="00D633E5"/>
    <w:rsid w:val="00D64EED"/>
    <w:rsid w:val="00D65590"/>
    <w:rsid w:val="00D670B5"/>
    <w:rsid w:val="00D71401"/>
    <w:rsid w:val="00D718DE"/>
    <w:rsid w:val="00D73004"/>
    <w:rsid w:val="00D774C7"/>
    <w:rsid w:val="00D818ED"/>
    <w:rsid w:val="00D833EC"/>
    <w:rsid w:val="00D84973"/>
    <w:rsid w:val="00D8746D"/>
    <w:rsid w:val="00D93FD9"/>
    <w:rsid w:val="00D95800"/>
    <w:rsid w:val="00DA2E1F"/>
    <w:rsid w:val="00DA365A"/>
    <w:rsid w:val="00DA4120"/>
    <w:rsid w:val="00DA4DE1"/>
    <w:rsid w:val="00DA668A"/>
    <w:rsid w:val="00DA698C"/>
    <w:rsid w:val="00DB5A9F"/>
    <w:rsid w:val="00DB67DC"/>
    <w:rsid w:val="00DB70C5"/>
    <w:rsid w:val="00DB7DD8"/>
    <w:rsid w:val="00DC031D"/>
    <w:rsid w:val="00DC182A"/>
    <w:rsid w:val="00DC1DC3"/>
    <w:rsid w:val="00DC1E3F"/>
    <w:rsid w:val="00DC6EAB"/>
    <w:rsid w:val="00DD0DD2"/>
    <w:rsid w:val="00DD37BA"/>
    <w:rsid w:val="00DD3F2F"/>
    <w:rsid w:val="00DD42FB"/>
    <w:rsid w:val="00DD4EC2"/>
    <w:rsid w:val="00DD510B"/>
    <w:rsid w:val="00DD563C"/>
    <w:rsid w:val="00DD576A"/>
    <w:rsid w:val="00DD68A4"/>
    <w:rsid w:val="00DE282F"/>
    <w:rsid w:val="00DE3AC0"/>
    <w:rsid w:val="00DE69C1"/>
    <w:rsid w:val="00DE70E3"/>
    <w:rsid w:val="00DE77F5"/>
    <w:rsid w:val="00DF16EA"/>
    <w:rsid w:val="00DF1FA5"/>
    <w:rsid w:val="00DF27AD"/>
    <w:rsid w:val="00DF2A7F"/>
    <w:rsid w:val="00DF2F87"/>
    <w:rsid w:val="00DF5388"/>
    <w:rsid w:val="00DF57D8"/>
    <w:rsid w:val="00DF75D5"/>
    <w:rsid w:val="00E017D2"/>
    <w:rsid w:val="00E10410"/>
    <w:rsid w:val="00E113C7"/>
    <w:rsid w:val="00E13607"/>
    <w:rsid w:val="00E13705"/>
    <w:rsid w:val="00E137AD"/>
    <w:rsid w:val="00E1684E"/>
    <w:rsid w:val="00E2027F"/>
    <w:rsid w:val="00E22CC9"/>
    <w:rsid w:val="00E25382"/>
    <w:rsid w:val="00E275AD"/>
    <w:rsid w:val="00E308E8"/>
    <w:rsid w:val="00E32992"/>
    <w:rsid w:val="00E407EC"/>
    <w:rsid w:val="00E417C9"/>
    <w:rsid w:val="00E43476"/>
    <w:rsid w:val="00E44225"/>
    <w:rsid w:val="00E46149"/>
    <w:rsid w:val="00E46394"/>
    <w:rsid w:val="00E47576"/>
    <w:rsid w:val="00E475D2"/>
    <w:rsid w:val="00E55DE3"/>
    <w:rsid w:val="00E60BC8"/>
    <w:rsid w:val="00E61B77"/>
    <w:rsid w:val="00E6253B"/>
    <w:rsid w:val="00E71C16"/>
    <w:rsid w:val="00E7603E"/>
    <w:rsid w:val="00E814B1"/>
    <w:rsid w:val="00E826D7"/>
    <w:rsid w:val="00E83BF9"/>
    <w:rsid w:val="00E844A4"/>
    <w:rsid w:val="00E848EC"/>
    <w:rsid w:val="00E8610B"/>
    <w:rsid w:val="00E8647D"/>
    <w:rsid w:val="00E87A04"/>
    <w:rsid w:val="00E91EC9"/>
    <w:rsid w:val="00E95991"/>
    <w:rsid w:val="00E96E6F"/>
    <w:rsid w:val="00EA0CB3"/>
    <w:rsid w:val="00EA209F"/>
    <w:rsid w:val="00EA25D7"/>
    <w:rsid w:val="00EB2618"/>
    <w:rsid w:val="00EB32C3"/>
    <w:rsid w:val="00EB4779"/>
    <w:rsid w:val="00EB5B7A"/>
    <w:rsid w:val="00EB7000"/>
    <w:rsid w:val="00EB72D5"/>
    <w:rsid w:val="00EC16C9"/>
    <w:rsid w:val="00EC58C3"/>
    <w:rsid w:val="00EC692C"/>
    <w:rsid w:val="00ED4FD3"/>
    <w:rsid w:val="00ED6AB1"/>
    <w:rsid w:val="00EE0DD0"/>
    <w:rsid w:val="00EE2B19"/>
    <w:rsid w:val="00EE3140"/>
    <w:rsid w:val="00EE3D72"/>
    <w:rsid w:val="00EE4D11"/>
    <w:rsid w:val="00EE6C8A"/>
    <w:rsid w:val="00EF18D7"/>
    <w:rsid w:val="00EF1CE5"/>
    <w:rsid w:val="00EF22B2"/>
    <w:rsid w:val="00EF4EA6"/>
    <w:rsid w:val="00EF6AFE"/>
    <w:rsid w:val="00EF78D0"/>
    <w:rsid w:val="00F00002"/>
    <w:rsid w:val="00F01498"/>
    <w:rsid w:val="00F024F2"/>
    <w:rsid w:val="00F10224"/>
    <w:rsid w:val="00F10858"/>
    <w:rsid w:val="00F1261C"/>
    <w:rsid w:val="00F169F6"/>
    <w:rsid w:val="00F2404D"/>
    <w:rsid w:val="00F26C0F"/>
    <w:rsid w:val="00F26EBD"/>
    <w:rsid w:val="00F27374"/>
    <w:rsid w:val="00F30A31"/>
    <w:rsid w:val="00F31DA5"/>
    <w:rsid w:val="00F3211F"/>
    <w:rsid w:val="00F34E8D"/>
    <w:rsid w:val="00F4652A"/>
    <w:rsid w:val="00F469ED"/>
    <w:rsid w:val="00F46DFC"/>
    <w:rsid w:val="00F503FA"/>
    <w:rsid w:val="00F514E0"/>
    <w:rsid w:val="00F51D11"/>
    <w:rsid w:val="00F53DD8"/>
    <w:rsid w:val="00F54288"/>
    <w:rsid w:val="00F543E5"/>
    <w:rsid w:val="00F55CF7"/>
    <w:rsid w:val="00F61B46"/>
    <w:rsid w:val="00F61FA0"/>
    <w:rsid w:val="00F62924"/>
    <w:rsid w:val="00F63FA2"/>
    <w:rsid w:val="00F64B24"/>
    <w:rsid w:val="00F66393"/>
    <w:rsid w:val="00F73B20"/>
    <w:rsid w:val="00F75BC8"/>
    <w:rsid w:val="00F77680"/>
    <w:rsid w:val="00F778E2"/>
    <w:rsid w:val="00F83087"/>
    <w:rsid w:val="00F83D26"/>
    <w:rsid w:val="00F90B35"/>
    <w:rsid w:val="00F9155E"/>
    <w:rsid w:val="00F952A7"/>
    <w:rsid w:val="00F959BB"/>
    <w:rsid w:val="00F96193"/>
    <w:rsid w:val="00FA0BDF"/>
    <w:rsid w:val="00FA19DB"/>
    <w:rsid w:val="00FA2ED7"/>
    <w:rsid w:val="00FA411C"/>
    <w:rsid w:val="00FB0520"/>
    <w:rsid w:val="00FB4ECC"/>
    <w:rsid w:val="00FB5055"/>
    <w:rsid w:val="00FC0FF6"/>
    <w:rsid w:val="00FC10DD"/>
    <w:rsid w:val="00FC1C88"/>
    <w:rsid w:val="00FC27B1"/>
    <w:rsid w:val="00FC44ED"/>
    <w:rsid w:val="00FC77B4"/>
    <w:rsid w:val="00FD03E7"/>
    <w:rsid w:val="00FD220C"/>
    <w:rsid w:val="00FD3722"/>
    <w:rsid w:val="00FD718F"/>
    <w:rsid w:val="00FD7CB2"/>
    <w:rsid w:val="00FD7EAE"/>
    <w:rsid w:val="00FE0101"/>
    <w:rsid w:val="00FE145F"/>
    <w:rsid w:val="00FE3D24"/>
    <w:rsid w:val="00FE7569"/>
    <w:rsid w:val="00FE7A7A"/>
    <w:rsid w:val="00FF0D8A"/>
    <w:rsid w:val="00FF128F"/>
    <w:rsid w:val="00FF1E77"/>
    <w:rsid w:val="00FF503A"/>
    <w:rsid w:val="5976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73C3"/>
  <w15:chartTrackingRefBased/>
  <w15:docId w15:val="{9FA00336-F508-4CD6-9A75-654040F3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AU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CE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AU" w:eastAsia="ja-JP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D1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1CEB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ja-JP"/>
      <w14:ligatures w14:val="standardContextual"/>
    </w:rPr>
  </w:style>
  <w:style w:type="paragraph" w:styleId="ListParagraph">
    <w:name w:val="List Paragraph"/>
    <w:basedOn w:val="Normal"/>
    <w:uiPriority w:val="34"/>
    <w:qFormat/>
    <w:rsid w:val="00624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8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82"/>
  </w:style>
  <w:style w:type="paragraph" w:styleId="Footer">
    <w:name w:val="footer"/>
    <w:basedOn w:val="Normal"/>
    <w:link w:val="FooterChar"/>
    <w:uiPriority w:val="99"/>
    <w:unhideWhenUsed/>
    <w:rsid w:val="0011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82"/>
  </w:style>
  <w:style w:type="paragraph" w:styleId="FootnoteText">
    <w:name w:val="footnote text"/>
    <w:basedOn w:val="Normal"/>
    <w:link w:val="FootnoteTextChar"/>
    <w:uiPriority w:val="99"/>
    <w:semiHidden/>
    <w:unhideWhenUsed/>
    <w:rsid w:val="00EB5B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B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B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5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E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774C7"/>
    <w:pPr>
      <w:spacing w:after="0" w:line="240" w:lineRule="auto"/>
    </w:pPr>
  </w:style>
  <w:style w:type="table" w:styleId="GridTable4">
    <w:name w:val="Grid Table 4"/>
    <w:basedOn w:val="TableNormal"/>
    <w:uiPriority w:val="49"/>
    <w:rsid w:val="009311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F6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6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6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8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nergy.gov.au/government-priorities/energy-supply/delivering-priority-transmission-projects" TargetMode="External"/><Relationship Id="rId21" Type="http://schemas.openxmlformats.org/officeDocument/2006/relationships/hyperlink" Target="https://www.acfa.org.sg/newsletters/australia-new-fuel-standards-disappointing-below-international-standards" TargetMode="External"/><Relationship Id="rId42" Type="http://schemas.openxmlformats.org/officeDocument/2006/relationships/hyperlink" Target="https://www.bitre.gov.au/forecasts" TargetMode="External"/><Relationship Id="rId47" Type="http://schemas.openxmlformats.org/officeDocument/2006/relationships/hyperlink" Target="https://www.aemo.com.au/energy-systems/major-publications/integrated-system-plan-isp/2022-integrated-system-plan-isp/2022-isp-inputs-assumptions-and-scenarios" TargetMode="External"/><Relationship Id="rId63" Type="http://schemas.openxmlformats.org/officeDocument/2006/relationships/hyperlink" Target="https://www.hsra.gov.au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emo.com.au/energy-systems/major-publications/integrated-system-plan-isp/2022-integrated-system-plan-isp/2022-isp-inputs-assumptions-and-scenarios" TargetMode="External"/><Relationship Id="rId29" Type="http://schemas.openxmlformats.org/officeDocument/2006/relationships/hyperlink" Target="https://www.energy.gov.au/government-priorities/energy-security/australias-fuel-security" TargetMode="External"/><Relationship Id="rId11" Type="http://schemas.openxmlformats.org/officeDocument/2006/relationships/hyperlink" Target="https://www.dcceew.gov.au/sites/default/files/documents/australias-long-term-emissions-reduction-plan.pdf" TargetMode="External"/><Relationship Id="rId24" Type="http://schemas.openxmlformats.org/officeDocument/2006/relationships/hyperlink" Target="https://www.aemo.com.au/-/media/files/electricity/nem/planning_and_forecasting/nem_esoo/2023/2023-electricity-statement-of-opportunities.pdf?la=en" TargetMode="External"/><Relationship Id="rId32" Type="http://schemas.openxmlformats.org/officeDocument/2006/relationships/hyperlink" Target="https://www.dcceew.gov.au/sites/default/files/documents/australias-long-term-emissions-reduction-plan.pdf" TargetMode="External"/><Relationship Id="rId37" Type="http://schemas.openxmlformats.org/officeDocument/2006/relationships/hyperlink" Target="https://www.accc.gov.au/consumers/petrol-and-fuel/ethanol-and-other-biofuels" TargetMode="External"/><Relationship Id="rId40" Type="http://schemas.openxmlformats.org/officeDocument/2006/relationships/hyperlink" Target="https://aemo.com.au/-/media/files/major-publications/isp/2023/2023-inputs-assumptions-and-scenarios-report.pdf?la=en" TargetMode="External"/><Relationship Id="rId45" Type="http://schemas.microsoft.com/office/2016/09/relationships/commentsIds" Target="commentsIds.xml"/><Relationship Id="rId53" Type="http://schemas.openxmlformats.org/officeDocument/2006/relationships/image" Target="media/image4.png"/><Relationship Id="rId58" Type="http://schemas.openxmlformats.org/officeDocument/2006/relationships/hyperlink" Target="https://www.industry.gov.au/sites/default/files/2023-04/resources-and-energy-quarterly-march-2023.pdf" TargetMode="External"/><Relationship Id="rId66" Type="http://schemas.openxmlformats.org/officeDocument/2006/relationships/image" Target="media/image5.png"/><Relationship Id="rId5" Type="http://schemas.openxmlformats.org/officeDocument/2006/relationships/numbering" Target="numbering.xml"/><Relationship Id="rId61" Type="http://schemas.openxmlformats.org/officeDocument/2006/relationships/hyperlink" Target="https://aemo.com.au/en/energy-systems/electricity/national-electricity-market-nem/nem-forecasting-and-planning/forecasting-and-reliability/nem-electricity-statement-of-opportunities-esoo" TargetMode="External"/><Relationship Id="rId19" Type="http://schemas.openxmlformats.org/officeDocument/2006/relationships/hyperlink" Target="https://www.dcceew.gov.au/energy/transport" TargetMode="External"/><Relationship Id="rId14" Type="http://schemas.openxmlformats.org/officeDocument/2006/relationships/hyperlink" Target="https://aemo.com.au/-/media/files/gas/national_planning_and_forecasting/gsoo/2023/2023-gas-statement-of-opportunities.pdf?la=en&amp;hash=10261137C785EA7B5A7E0E417A96B700" TargetMode="External"/><Relationship Id="rId22" Type="http://schemas.openxmlformats.org/officeDocument/2006/relationships/hyperlink" Target="https://www.dcceew.gov.au/climate-change/emissions-reporting/national-greenhouse-energy-reporting-scheme/safeguard-mechanism" TargetMode="External"/><Relationship Id="rId27" Type="http://schemas.openxmlformats.org/officeDocument/2006/relationships/hyperlink" Target="https://www.energy.gov.au/government-priorities/energy-markets/gas-markets" TargetMode="External"/><Relationship Id="rId30" Type="http://schemas.openxmlformats.org/officeDocument/2006/relationships/hyperlink" Target="https://aemo.com.au/-/media/files/gas/national_planning_and_forecasting/gsoo/2023/2023-gas-statement-of-opportunities.pdf?la=en&amp;hash=10261137C785EA7B5A7E0E417A96B700" TargetMode="External"/><Relationship Id="rId35" Type="http://schemas.openxmlformats.org/officeDocument/2006/relationships/hyperlink" Target="https://www.macrobusiness.com.au/2023/09/why-more-supply-will-never-fix-the-housing-market/" TargetMode="External"/><Relationship Id="rId43" Type="http://schemas.openxmlformats.org/officeDocument/2006/relationships/comments" Target="comments.xml"/><Relationship Id="rId48" Type="http://schemas.openxmlformats.org/officeDocument/2006/relationships/hyperlink" Target="https://aemo.com.au/-/media/files/electricity/nem/national-electricity-market-fact-sheet.pdf" TargetMode="External"/><Relationship Id="rId56" Type="http://schemas.openxmlformats.org/officeDocument/2006/relationships/hyperlink" Target="https://www.energy.gov.au/government-priorities/energy-security/australias-fuel-security" TargetMode="External"/><Relationship Id="rId64" Type="http://schemas.openxmlformats.org/officeDocument/2006/relationships/hyperlink" Target="https://www.bcg.com/publications/2023/the-rise-of-the-car-subscription-market" TargetMode="External"/><Relationship Id="rId69" Type="http://schemas.microsoft.com/office/2011/relationships/people" Target="people.xml"/><Relationship Id="rId8" Type="http://schemas.openxmlformats.org/officeDocument/2006/relationships/webSettings" Target="webSettings.xml"/><Relationship Id="rId51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hyperlink" Target="https://www.dcceew.gov.au/climate-change/publications/technology-investment-roadmap" TargetMode="External"/><Relationship Id="rId17" Type="http://schemas.openxmlformats.org/officeDocument/2006/relationships/hyperlink" Target="https://www.energy.gov.au/government-priorities/buildings" TargetMode="External"/><Relationship Id="rId25" Type="http://schemas.openxmlformats.org/officeDocument/2006/relationships/hyperlink" Target="https://www.energy.gov.au/government-priorities/energy-supply/capacity-investment-scheme" TargetMode="External"/><Relationship Id="rId33" Type="http://schemas.openxmlformats.org/officeDocument/2006/relationships/hyperlink" Target="https://treasury.gov.au/publication/2023-intergenerational-report" TargetMode="External"/><Relationship Id="rId38" Type="http://schemas.openxmlformats.org/officeDocument/2006/relationships/hyperlink" Target="https://www.argusmedia.com/en/news/2286032-australia-to-raise-biofuels-consumption-usda" TargetMode="External"/><Relationship Id="rId46" Type="http://schemas.microsoft.com/office/2018/08/relationships/commentsExtensible" Target="commentsExtensible.xml"/><Relationship Id="rId59" Type="http://schemas.openxmlformats.org/officeDocument/2006/relationships/hyperlink" Target="https://minerals.org.au/wp-content/uploads/2022/12/Best-in-Class-Australian-Export-Thermal-Coal-2021.pdf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www.globalvillagespace.com/australia/australias-big-car-obsession-a-troubling-issue/" TargetMode="External"/><Relationship Id="rId41" Type="http://schemas.openxmlformats.org/officeDocument/2006/relationships/hyperlink" Target="https://aemo.com.au/-/media/files/stakeholder_consultation/consultations/nem-consultations/2022/2023-inputs-assumptions-and-scenarios-consultation/supporting-materials-for-2023/csiro-2022-electric-vehicles-projections-report.pdf" TargetMode="External"/><Relationship Id="rId54" Type="http://schemas.openxmlformats.org/officeDocument/2006/relationships/hyperlink" Target="https://www.dcceew.gov.au/energy/publications/australias-national-hydrogen-strategy" TargetMode="External"/><Relationship Id="rId62" Type="http://schemas.openxmlformats.org/officeDocument/2006/relationships/hyperlink" Target="https://farmersforclimateaction.org.au/wp-content/uploads/2021/09/FCA-EY-FINAL-Report-Low-emissions-future-for-Agriculture.pdf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aemo.com.au/en/energy-systems/electricity/national-electricity-market-nem/nem-forecasting-and-planning/forecasting-and-reliability/nem-electricity-statement-of-opportunities-esoo" TargetMode="External"/><Relationship Id="rId23" Type="http://schemas.openxmlformats.org/officeDocument/2006/relationships/hyperlink" Target="https://www.aemo.com.au/energy-systems/major-publications/integrated-system-plan-isp/2022-integrated-system-plan-isp/2022-isp-inputs-assumptions-and-scenarios" TargetMode="External"/><Relationship Id="rId28" Type="http://schemas.openxmlformats.org/officeDocument/2006/relationships/hyperlink" Target="https://www.accc.gov.au/inquiries-and-consultations/gas-inquiry-2017-30" TargetMode="External"/><Relationship Id="rId36" Type="http://schemas.openxmlformats.org/officeDocument/2006/relationships/hyperlink" Target="https://www.abs.gov.au/articles/average-floor-area-new-residential-dwellings" TargetMode="External"/><Relationship Id="rId49" Type="http://schemas.openxmlformats.org/officeDocument/2006/relationships/image" Target="media/image1.png"/><Relationship Id="rId57" Type="http://schemas.openxmlformats.org/officeDocument/2006/relationships/hyperlink" Target="https://www.industry.gov.au/sites/default/files/2023-04/resources-and-energy-quarterly-march-2023.pdf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dcceew.gov.au/energy/hydrogen" TargetMode="External"/><Relationship Id="rId44" Type="http://schemas.microsoft.com/office/2011/relationships/commentsExtended" Target="commentsExtended.xml"/><Relationship Id="rId52" Type="http://schemas.openxmlformats.org/officeDocument/2006/relationships/image" Target="media/image3.png"/><Relationship Id="rId60" Type="http://schemas.openxmlformats.org/officeDocument/2006/relationships/hyperlink" Target="https://aemo.com.au/en/energy-systems/electricity/national-electricity-market-nem/nem-forecasting-and-planning/forecasting-and-reliability/nem-electricity-statement-of-opportunities-esoo" TargetMode="External"/><Relationship Id="rId65" Type="http://schemas.openxmlformats.org/officeDocument/2006/relationships/hyperlink" Target="https://www.csiro.au/en/work-with-us/industries/mining-resources/resourceful-magazine/issue-26/net-zero-stee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aperc.or.jp/file/2023/9/1/APEC_Energy_Overview_2023.pdf" TargetMode="External"/><Relationship Id="rId18" Type="http://schemas.openxmlformats.org/officeDocument/2006/relationships/hyperlink" Target="https://www.energy.gov.au/government-priorities/vehicles-and-fuels" TargetMode="External"/><Relationship Id="rId39" Type="http://schemas.openxmlformats.org/officeDocument/2006/relationships/hyperlink" Target="https://aemo.com.au/en/energy-systems/electricity/national-electricity-market-nem/nem-forecasting-and-planning/forecasting-and-reliability/nem-electricity-statement-of-opportunities-esoo" TargetMode="External"/><Relationship Id="rId34" Type="http://schemas.openxmlformats.org/officeDocument/2006/relationships/hyperlink" Target="https://www.agriculture.gov.au/agriculture-land/farm-food-drought/climatechange/mitigation-strategies" TargetMode="External"/><Relationship Id="rId50" Type="http://schemas.openxmlformats.org/officeDocument/2006/relationships/hyperlink" Target="https://aemo.com.au/en/energy-systems/electricity/national-electricity-market-nem/nem-forecasting-and-planning/forecasting-and-reliability/nem-electricity-statement-of-opportunities-esoo" TargetMode="External"/><Relationship Id="rId55" Type="http://schemas.openxmlformats.org/officeDocument/2006/relationships/hyperlink" Target="https://arena.gov.au/funding/hydrogen-headstart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opulation.un.org/w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3DE4B8CEBD9304286F1E0B7BC383844" ma:contentTypeVersion="12" ma:contentTypeDescription="新しいドキュメントを作成します。" ma:contentTypeScope="" ma:versionID="f03410b33ad3cb45399ea91ebf40c6db">
  <xsd:schema xmlns:xsd="http://www.w3.org/2001/XMLSchema" xmlns:xs="http://www.w3.org/2001/XMLSchema" xmlns:p="http://schemas.microsoft.com/office/2006/metadata/properties" xmlns:ns2="339e5aef-327d-4eb6-a8e0-9b2fd01ac0fa" xmlns:ns3="3042e625-934f-4bb2-8533-cbb6446c8b2b" targetNamespace="http://schemas.microsoft.com/office/2006/metadata/properties" ma:root="true" ma:fieldsID="e8e1c1097d14208a0086d42f5107ed53" ns2:_="" ns3:_="">
    <xsd:import namespace="339e5aef-327d-4eb6-a8e0-9b2fd01ac0fa"/>
    <xsd:import namespace="3042e625-934f-4bb2-8533-cbb6446c8b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e5aef-327d-4eb6-a8e0-9b2fd01ac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19187c13-ff0b-40b9-aedf-f4c5774af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2e625-934f-4bb2-8533-cbb6446c8b2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420bbb-da00-4731-a94a-6eda77d9d78f}" ma:internalName="TaxCatchAll" ma:showField="CatchAllData" ma:web="3042e625-934f-4bb2-8533-cbb6446c8b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9e5aef-327d-4eb6-a8e0-9b2fd01ac0fa">
      <Terms xmlns="http://schemas.microsoft.com/office/infopath/2007/PartnerControls"/>
    </lcf76f155ced4ddcb4097134ff3c332f>
    <TaxCatchAll xmlns="3042e625-934f-4bb2-8533-cbb6446c8b2b" xsi:nil="true"/>
  </documentManagement>
</p:properties>
</file>

<file path=customXml/itemProps1.xml><?xml version="1.0" encoding="utf-8"?>
<ds:datastoreItem xmlns:ds="http://schemas.openxmlformats.org/officeDocument/2006/customXml" ds:itemID="{8795B5F7-A05E-4C87-89A0-70A4D15E5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e5aef-327d-4eb6-a8e0-9b2fd01ac0fa"/>
    <ds:schemaRef ds:uri="3042e625-934f-4bb2-8533-cbb6446c8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F3700-9C63-4F8C-AF07-D0DB475C21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78529-0E43-42E6-8194-B1F9592951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E0B8D7-00FF-4B2C-AF58-080655331DB8}">
  <ds:schemaRefs>
    <ds:schemaRef ds:uri="http://schemas.microsoft.com/office/2006/metadata/properties"/>
    <ds:schemaRef ds:uri="http://schemas.microsoft.com/office/infopath/2007/PartnerControls"/>
    <ds:schemaRef ds:uri="339e5aef-327d-4eb6-a8e0-9b2fd01ac0fa"/>
    <ds:schemaRef ds:uri="3042e625-934f-4bb2-8533-cbb6446c8b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9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Links>
    <vt:vector size="168" baseType="variant">
      <vt:variant>
        <vt:i4>4849664</vt:i4>
      </vt:variant>
      <vt:variant>
        <vt:i4>0</vt:i4>
      </vt:variant>
      <vt:variant>
        <vt:i4>0</vt:i4>
      </vt:variant>
      <vt:variant>
        <vt:i4>5</vt:i4>
      </vt:variant>
      <vt:variant>
        <vt:lpwstr>https://www.mccarthy.ca/sites/default/files/2023-04/2023_Canadian_Federal_Budget_-_Clean_Energy_and_Technology_Tax_Incentives.pdf</vt:lpwstr>
      </vt:variant>
      <vt:variant>
        <vt:lpwstr/>
      </vt:variant>
      <vt:variant>
        <vt:i4>7274540</vt:i4>
      </vt:variant>
      <vt:variant>
        <vt:i4>78</vt:i4>
      </vt:variant>
      <vt:variant>
        <vt:i4>0</vt:i4>
      </vt:variant>
      <vt:variant>
        <vt:i4>5</vt:i4>
      </vt:variant>
      <vt:variant>
        <vt:lpwstr>https://www.cer-rec.gc.ca/en/data-analysis/energy-markets/market-snapshots/2023/market-snapshot-new-renewable-diesel-facilities-will-help-reduce-carbon-intensity-fuels-canada.html</vt:lpwstr>
      </vt:variant>
      <vt:variant>
        <vt:lpwstr/>
      </vt:variant>
      <vt:variant>
        <vt:i4>6160404</vt:i4>
      </vt:variant>
      <vt:variant>
        <vt:i4>75</vt:i4>
      </vt:variant>
      <vt:variant>
        <vt:i4>0</vt:i4>
      </vt:variant>
      <vt:variant>
        <vt:i4>5</vt:i4>
      </vt:variant>
      <vt:variant>
        <vt:lpwstr>https://www.energyinst.org/statistical-review</vt:lpwstr>
      </vt:variant>
      <vt:variant>
        <vt:lpwstr/>
      </vt:variant>
      <vt:variant>
        <vt:i4>3407992</vt:i4>
      </vt:variant>
      <vt:variant>
        <vt:i4>72</vt:i4>
      </vt:variant>
      <vt:variant>
        <vt:i4>0</vt:i4>
      </vt:variant>
      <vt:variant>
        <vt:i4>5</vt:i4>
      </vt:variant>
      <vt:variant>
        <vt:lpwstr>https://population.un.org/wpp/</vt:lpwstr>
      </vt:variant>
      <vt:variant>
        <vt:lpwstr/>
      </vt:variant>
      <vt:variant>
        <vt:i4>5767251</vt:i4>
      </vt:variant>
      <vt:variant>
        <vt:i4>69</vt:i4>
      </vt:variant>
      <vt:variant>
        <vt:i4>0</vt:i4>
      </vt:variant>
      <vt:variant>
        <vt:i4>5</vt:i4>
      </vt:variant>
      <vt:variant>
        <vt:lpwstr>https://www.cer-rec.gc.ca/en/data-analysis/canada-energy-future/2023/</vt:lpwstr>
      </vt:variant>
      <vt:variant>
        <vt:lpwstr/>
      </vt:variant>
      <vt:variant>
        <vt:i4>7471226</vt:i4>
      </vt:variant>
      <vt:variant>
        <vt:i4>66</vt:i4>
      </vt:variant>
      <vt:variant>
        <vt:i4>0</vt:i4>
      </vt:variant>
      <vt:variant>
        <vt:i4>5</vt:i4>
      </vt:variant>
      <vt:variant>
        <vt:lpwstr>https://tc.canada.ca/sites/default/files/2022-11/canada-aviation-climate-action-plan-2022-2030.pdf</vt:lpwstr>
      </vt:variant>
      <vt:variant>
        <vt:lpwstr/>
      </vt:variant>
      <vt:variant>
        <vt:i4>2687059</vt:i4>
      </vt:variant>
      <vt:variant>
        <vt:i4>63</vt:i4>
      </vt:variant>
      <vt:variant>
        <vt:i4>0</vt:i4>
      </vt:variant>
      <vt:variant>
        <vt:i4>5</vt:i4>
      </vt:variant>
      <vt:variant>
        <vt:lpwstr>https://www.nrcan.gc.ca/sites/nrcan/files/environment/hydrogen/NRCan_Hydrogen-Strategy-Canada-na-en-v3.pdf</vt:lpwstr>
      </vt:variant>
      <vt:variant>
        <vt:lpwstr/>
      </vt:variant>
      <vt:variant>
        <vt:i4>5767236</vt:i4>
      </vt:variant>
      <vt:variant>
        <vt:i4>60</vt:i4>
      </vt:variant>
      <vt:variant>
        <vt:i4>0</vt:i4>
      </vt:variant>
      <vt:variant>
        <vt:i4>5</vt:i4>
      </vt:variant>
      <vt:variant>
        <vt:lpwstr>https://smractionplan.ca/</vt:lpwstr>
      </vt:variant>
      <vt:variant>
        <vt:lpwstr/>
      </vt:variant>
      <vt:variant>
        <vt:i4>589855</vt:i4>
      </vt:variant>
      <vt:variant>
        <vt:i4>57</vt:i4>
      </vt:variant>
      <vt:variant>
        <vt:i4>0</vt:i4>
      </vt:variant>
      <vt:variant>
        <vt:i4>5</vt:i4>
      </vt:variant>
      <vt:variant>
        <vt:lpwstr>https://natural-resources.canada.ca/climate-change/canadas-green-future/carbon-capture-utilization-and-storage-strategy/23721</vt:lpwstr>
      </vt:variant>
      <vt:variant>
        <vt:lpwstr/>
      </vt:variant>
      <vt:variant>
        <vt:i4>7143425</vt:i4>
      </vt:variant>
      <vt:variant>
        <vt:i4>54</vt:i4>
      </vt:variant>
      <vt:variant>
        <vt:i4>0</vt:i4>
      </vt:variant>
      <vt:variant>
        <vt:i4>5</vt:i4>
      </vt:variant>
      <vt:variant>
        <vt:lpwstr>https://publications.gc.ca/collections/collection_2022/eccc/En4-491-2022-eng.pdf</vt:lpwstr>
      </vt:variant>
      <vt:variant>
        <vt:lpwstr/>
      </vt:variant>
      <vt:variant>
        <vt:i4>5832787</vt:i4>
      </vt:variant>
      <vt:variant>
        <vt:i4>51</vt:i4>
      </vt:variant>
      <vt:variant>
        <vt:i4>0</vt:i4>
      </vt:variant>
      <vt:variant>
        <vt:i4>5</vt:i4>
      </vt:variant>
      <vt:variant>
        <vt:lpwstr>https://www.canada.ca/content/dam/nrcan-rncan/site/critical-minerals/Critical-minerals-strategyDec09.pdf</vt:lpwstr>
      </vt:variant>
      <vt:variant>
        <vt:lpwstr/>
      </vt:variant>
      <vt:variant>
        <vt:i4>6684782</vt:i4>
      </vt:variant>
      <vt:variant>
        <vt:i4>48</vt:i4>
      </vt:variant>
      <vt:variant>
        <vt:i4>0</vt:i4>
      </vt:variant>
      <vt:variant>
        <vt:i4>5</vt:i4>
      </vt:variant>
      <vt:variant>
        <vt:lpwstr>https://www.cer-rec.gc.ca/en/data-analysis/canada-energy-future/2023/scenarios-and-assumptions/index.html</vt:lpwstr>
      </vt:variant>
      <vt:variant>
        <vt:lpwstr>c1</vt:lpwstr>
      </vt:variant>
      <vt:variant>
        <vt:i4>7143425</vt:i4>
      </vt:variant>
      <vt:variant>
        <vt:i4>45</vt:i4>
      </vt:variant>
      <vt:variant>
        <vt:i4>0</vt:i4>
      </vt:variant>
      <vt:variant>
        <vt:i4>5</vt:i4>
      </vt:variant>
      <vt:variant>
        <vt:lpwstr>https://publications.gc.ca/collections/collection_2022/eccc/En4-491-2022-eng.pdf</vt:lpwstr>
      </vt:variant>
      <vt:variant>
        <vt:lpwstr/>
      </vt:variant>
      <vt:variant>
        <vt:i4>4063358</vt:i4>
      </vt:variant>
      <vt:variant>
        <vt:i4>42</vt:i4>
      </vt:variant>
      <vt:variant>
        <vt:i4>0</vt:i4>
      </vt:variant>
      <vt:variant>
        <vt:i4>5</vt:i4>
      </vt:variant>
      <vt:variant>
        <vt:lpwstr>https://natural-resources.canada.ca/public-consultations-and-engagements/the-canada-green-buildings-strategy/25009</vt:lpwstr>
      </vt:variant>
      <vt:variant>
        <vt:lpwstr/>
      </vt:variant>
      <vt:variant>
        <vt:i4>7143538</vt:i4>
      </vt:variant>
      <vt:variant>
        <vt:i4>39</vt:i4>
      </vt:variant>
      <vt:variant>
        <vt:i4>0</vt:i4>
      </vt:variant>
      <vt:variant>
        <vt:i4>5</vt:i4>
      </vt:variant>
      <vt:variant>
        <vt:lpwstr>https://www.canada.ca/en/environment-climate-change/news/2022/03/2030-emissions-reduction-plan--canadas-next-steps-for-clean-air-and-a-strong-economy.html</vt:lpwstr>
      </vt:variant>
      <vt:variant>
        <vt:lpwstr/>
      </vt:variant>
      <vt:variant>
        <vt:i4>3539035</vt:i4>
      </vt:variant>
      <vt:variant>
        <vt:i4>36</vt:i4>
      </vt:variant>
      <vt:variant>
        <vt:i4>0</vt:i4>
      </vt:variant>
      <vt:variant>
        <vt:i4>5</vt:i4>
      </vt:variant>
      <vt:variant>
        <vt:lpwstr>https://www.canada.ca/content/dam/eccc/documents/pdf/climate-change/clean-fuel/electricity/81000-2-4931-CGI_Unofficial Version Non Officielle.pdf</vt:lpwstr>
      </vt:variant>
      <vt:variant>
        <vt:lpwstr/>
      </vt:variant>
      <vt:variant>
        <vt:i4>4915264</vt:i4>
      </vt:variant>
      <vt:variant>
        <vt:i4>33</vt:i4>
      </vt:variant>
      <vt:variant>
        <vt:i4>0</vt:i4>
      </vt:variant>
      <vt:variant>
        <vt:i4>5</vt:i4>
      </vt:variant>
      <vt:variant>
        <vt:lpwstr>https://www.canada.ca/en/environment-climate-change/services/canadian-environmental-protection-act-registry/achieving-net-zero-emissions-electricity-generation-discussion-paper.html</vt:lpwstr>
      </vt:variant>
      <vt:variant>
        <vt:lpwstr/>
      </vt:variant>
      <vt:variant>
        <vt:i4>458839</vt:i4>
      </vt:variant>
      <vt:variant>
        <vt:i4>30</vt:i4>
      </vt:variant>
      <vt:variant>
        <vt:i4>0</vt:i4>
      </vt:variant>
      <vt:variant>
        <vt:i4>5</vt:i4>
      </vt:variant>
      <vt:variant>
        <vt:lpwstr>https://www.cer-rec.gc.ca/en/data-analysis/energy-markets/market-snapshots/2023/market-snapshot-two-decades-growth-renewable-natural-gas-canada.html</vt:lpwstr>
      </vt:variant>
      <vt:variant>
        <vt:lpwstr/>
      </vt:variant>
      <vt:variant>
        <vt:i4>2883698</vt:i4>
      </vt:variant>
      <vt:variant>
        <vt:i4>27</vt:i4>
      </vt:variant>
      <vt:variant>
        <vt:i4>0</vt:i4>
      </vt:variant>
      <vt:variant>
        <vt:i4>5</vt:i4>
      </vt:variant>
      <vt:variant>
        <vt:lpwstr>https://tc.canada.ca/en/road-transportation/innovative-technologies/zero-emission-vehicles</vt:lpwstr>
      </vt:variant>
      <vt:variant>
        <vt:lpwstr/>
      </vt:variant>
      <vt:variant>
        <vt:i4>6160479</vt:i4>
      </vt:variant>
      <vt:variant>
        <vt:i4>24</vt:i4>
      </vt:variant>
      <vt:variant>
        <vt:i4>0</vt:i4>
      </vt:variant>
      <vt:variant>
        <vt:i4>5</vt:i4>
      </vt:variant>
      <vt:variant>
        <vt:lpwstr>https://canadagazette.gc.ca/rp-pr/p2/2018/2018-05-30/html/sor-dors98-eng.html</vt:lpwstr>
      </vt:variant>
      <vt:variant>
        <vt:lpwstr/>
      </vt:variant>
      <vt:variant>
        <vt:i4>4194334</vt:i4>
      </vt:variant>
      <vt:variant>
        <vt:i4>21</vt:i4>
      </vt:variant>
      <vt:variant>
        <vt:i4>0</vt:i4>
      </vt:variant>
      <vt:variant>
        <vt:i4>5</vt:i4>
      </vt:variant>
      <vt:variant>
        <vt:lpwstr>https://gazette.gc.ca/rp-pr/p2/2014/2014-10-08/html/sor-dors207-eng.html</vt:lpwstr>
      </vt:variant>
      <vt:variant>
        <vt:lpwstr/>
      </vt:variant>
      <vt:variant>
        <vt:i4>4128865</vt:i4>
      </vt:variant>
      <vt:variant>
        <vt:i4>18</vt:i4>
      </vt:variant>
      <vt:variant>
        <vt:i4>0</vt:i4>
      </vt:variant>
      <vt:variant>
        <vt:i4>5</vt:i4>
      </vt:variant>
      <vt:variant>
        <vt:lpwstr>https://nrc.canada.ca/en/certifications-evaluations-standards/codes-canada/codes-canada-publications/users-guide-national-energy-code-canada-buildings-2017</vt:lpwstr>
      </vt:variant>
      <vt:variant>
        <vt:lpwstr/>
      </vt:variant>
      <vt:variant>
        <vt:i4>6619172</vt:i4>
      </vt:variant>
      <vt:variant>
        <vt:i4>15</vt:i4>
      </vt:variant>
      <vt:variant>
        <vt:i4>0</vt:i4>
      </vt:variant>
      <vt:variant>
        <vt:i4>5</vt:i4>
      </vt:variant>
      <vt:variant>
        <vt:lpwstr>https://laws-lois.justice.gc.ca/eng/regulations/SOR-2016-311/index.html</vt:lpwstr>
      </vt:variant>
      <vt:variant>
        <vt:lpwstr/>
      </vt:variant>
      <vt:variant>
        <vt:i4>6619171</vt:i4>
      </vt:variant>
      <vt:variant>
        <vt:i4>12</vt:i4>
      </vt:variant>
      <vt:variant>
        <vt:i4>0</vt:i4>
      </vt:variant>
      <vt:variant>
        <vt:i4>5</vt:i4>
      </vt:variant>
      <vt:variant>
        <vt:lpwstr>https://laws-lois.justice.gc.ca/eng/regulations/sor-2012-167/index.html</vt:lpwstr>
      </vt:variant>
      <vt:variant>
        <vt:lpwstr/>
      </vt:variant>
      <vt:variant>
        <vt:i4>5177409</vt:i4>
      </vt:variant>
      <vt:variant>
        <vt:i4>9</vt:i4>
      </vt:variant>
      <vt:variant>
        <vt:i4>0</vt:i4>
      </vt:variant>
      <vt:variant>
        <vt:i4>5</vt:i4>
      </vt:variant>
      <vt:variant>
        <vt:lpwstr>https://www.canada.ca/en/environment-climate-change/services/managing-pollution/energy-production/fuel-regulations/clean-fuel-regulations/regulatory-design.html</vt:lpwstr>
      </vt:variant>
      <vt:variant>
        <vt:lpwstr/>
      </vt:variant>
      <vt:variant>
        <vt:i4>2883700</vt:i4>
      </vt:variant>
      <vt:variant>
        <vt:i4>6</vt:i4>
      </vt:variant>
      <vt:variant>
        <vt:i4>0</vt:i4>
      </vt:variant>
      <vt:variant>
        <vt:i4>5</vt:i4>
      </vt:variant>
      <vt:variant>
        <vt:lpwstr>https://www.budget.canada.ca/2023/report-rapport/tm-mf-en.html</vt:lpwstr>
      </vt:variant>
      <vt:variant>
        <vt:lpwstr/>
      </vt:variant>
      <vt:variant>
        <vt:i4>2818058</vt:i4>
      </vt:variant>
      <vt:variant>
        <vt:i4>3</vt:i4>
      </vt:variant>
      <vt:variant>
        <vt:i4>0</vt:i4>
      </vt:variant>
      <vt:variant>
        <vt:i4>5</vt:i4>
      </vt:variant>
      <vt:variant>
        <vt:lpwstr>https://publications.gc.ca/site/archivee-archived.html?url=https://publications.gc.ca/collections/collection_2022/eccc/En4-460-2022-eng.pdf</vt:lpwstr>
      </vt:variant>
      <vt:variant>
        <vt:lpwstr/>
      </vt:variant>
      <vt:variant>
        <vt:i4>3801097</vt:i4>
      </vt:variant>
      <vt:variant>
        <vt:i4>0</vt:i4>
      </vt:variant>
      <vt:variant>
        <vt:i4>0</vt:i4>
      </vt:variant>
      <vt:variant>
        <vt:i4>5</vt:i4>
      </vt:variant>
      <vt:variant>
        <vt:lpwstr>https://unfccc.int/sites/default/files/NDC/2022-06/Canada%27s Enhanced NDC Submission1_FINAL 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Michael WOGAN</dc:creator>
  <cp:keywords/>
  <dc:description/>
  <cp:lastModifiedBy>Finbar MAUNSELL</cp:lastModifiedBy>
  <cp:revision>313</cp:revision>
  <dcterms:created xsi:type="dcterms:W3CDTF">2023-08-15T22:46:00Z</dcterms:created>
  <dcterms:modified xsi:type="dcterms:W3CDTF">2023-10-11T07:46:00Z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0x01010033DE4B8CEBD9304286F1E0B7BC383844</vt:lpwstr>
  </property>
  <property fmtid="{D5CDD505-2E9C-101B-9397-08002B2CF9AE}" pid="3" name="MediaServiceImageTags">
    <vt:lpwstr/>
  </property>
  <property fmtid="{D5CDD505-2E9C-101B-9397-08002B2CF9AE}" pid="4" name="GrammarlyDocumentId">
    <vt:lpwstr>391cea495463cbb43640c887552cd455eace156773dda05676fcf6e48a5e35e4</vt:lpwstr>
  </property>
</Properties>
</file>