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Arial" w:cs="Arial" w:eastAsia="Arial" w:hAnsi="Arial"/>
          <w:b/>
          <w:bCs/>
          <w:sz w:val="48"/>
          <w:szCs w:val="48"/>
        </w:rPr>
        <w:t xml:space="preserve">Chronotop</w:t>
      </w:r>
    </w:p>
    <w:p>
      <w:pPr>
        <w:spacing w:after="60"/>
        <w:jc w:val="left"/>
      </w:pPr>
      <w:r>
        <w:rPr>
          <w:rFonts w:ascii="Arial" w:cs="Arial" w:eastAsia="Arial" w:hAnsi="Arial"/>
          <w:color w:val="555555"/>
          <w:sz w:val="28"/>
          <w:szCs w:val="28"/>
        </w:rPr>
        <w:t xml:space="preserve">Technisches Zielmodell 1.1</w:t>
      </w:r>
    </w:p>
    <w:p>
      <w:pPr>
        <w:spacing w:after="360"/>
        <w:jc w:val="left"/>
      </w:pPr>
      <w:r>
        <w:rPr>
          <w:rFonts w:ascii="Arial" w:cs="Arial" w:eastAsia="Arial" w:hAnsi="Arial"/>
          <w:i/>
          <w:iCs/>
          <w:color w:val="777777"/>
          <w:sz w:val="22"/>
          <w:szCs w:val="22"/>
        </w:rPr>
        <w:t xml:space="preserve">Ein digitales Framework zur Darstellung historischer Zusammenhänge</w:t>
      </w:r>
    </w:p>
    <w:p>
      <w:pPr>
        <w:pStyle w:val="Heading1"/>
        <w:spacing w:after="180" w:before="360"/>
      </w:pPr>
      <w:r>
        <w:rPr>
          <w:rFonts w:ascii="Arial" w:cs="Arial" w:eastAsia="Arial" w:hAnsi="Arial"/>
          <w:b/>
          <w:bCs/>
          <w:sz w:val="32"/>
          <w:szCs w:val="32"/>
        </w:rPr>
        <w:t xml:space="preserve">Kurzfassung</w:t>
      </w:r>
    </w:p>
    <w:p>
      <w:pPr>
        <w:spacing w:after="120" w:line="300"/>
        <w:jc w:val="both"/>
      </w:pPr>
      <w:r>
        <w:rPr>
          <w:rFonts w:ascii="Arial" w:cs="Arial" w:eastAsia="Arial" w:hAnsi="Arial"/>
        </w:rPr>
        <w:t xml:space="preserve">Chronotop ist ein offenes, modulares Framework zur Darstellung und Bearbeitung historischer Inhalte. Es verbindet räumliche, zeitliche, begriffliche und quellenbezogene Dimensionen in einer gemeinsamen Arbeitsumgebung. Das System ist nicht um eine einzelne Kartenansicht herum konstruiert, sondern um ein historisches Daten- und Beziehungsmodell, auf dem mehrere gekoppelte Ansichten aufsetzen. Primärer Einsatzkontext ist der Geschichtsunterricht der Sekundarstufen I und II sowie darüber hinaus die Selbstarbeit interessierter Lernender. Das Zielmodell ist von Anfang an so konzipiert, dass auch andere Autorinnen und Autoren eigene Inhalte in Chronotop erstellen können; eigene Beispielinhalte entstehen parallel als Referenz.</w:t>
      </w:r>
    </w:p>
    <w:p>
      <w:pPr>
        <w:spacing w:after="120" w:line="300"/>
        <w:jc w:val="both"/>
      </w:pPr>
      <w:r>
        <w:rPr>
          <w:rFonts w:ascii="Arial" w:cs="Arial" w:eastAsia="Arial" w:hAnsi="Arial"/>
        </w:rPr>
        <w:t xml:space="preserve">Version 1.1 präzisiert das in Version 1.0 skizzierte Datenmodell, trennt Fakt und Deutung, verankert externe Standards (CIDOC CRM, Wikidata, GND, IIIF), ergänzt Unsicherheit als Modellbestandteil, definiert ein didaktisches Nutzungsmodell, Querschnittsanforderungen (Barrierefreiheit, Mehrsprachigkeit, Lizenzen) und eine konkrete MVP-Schneise.</w:t>
      </w:r>
    </w:p>
    <w:p>
      <w:pPr>
        <w:pStyle w:val="Heading1"/>
        <w:spacing w:after="180" w:before="360"/>
      </w:pPr>
      <w:r>
        <w:rPr>
          <w:rFonts w:ascii="Arial" w:cs="Arial" w:eastAsia="Arial" w:hAnsi="Arial"/>
          <w:b/>
          <w:bCs/>
          <w:sz w:val="32"/>
          <w:szCs w:val="32"/>
        </w:rPr>
        <w:t xml:space="preserve">1. Leitbild und Geltungsbereich</w:t>
      </w:r>
    </w:p>
    <w:p>
      <w:pPr>
        <w:spacing w:after="120" w:line="300"/>
        <w:jc w:val="both"/>
      </w:pPr>
      <w:r>
        <w:rPr>
          <w:rFonts w:ascii="Arial" w:cs="Arial" w:eastAsia="Arial" w:hAnsi="Arial"/>
        </w:rPr>
        <w:t xml:space="preserve">Ziel des Vorhabens ist nicht eine weitere digitale Geschichtskarte, sondern ein Rahmenwerk, das historisches Verständnis als Erkennen von Zusammenhängen unterstützt. Historische Einsicht entsteht didaktisch nicht aus der bloßen Anordnung von Daten, sondern aus dem Nachvollziehen von Beziehungen, Perspektivwechseln und Quellenbezügen. Chronotop soll genau diese Operationen niedrigschwellig bedienbar machen.</w:t>
      </w:r>
    </w:p>
    <w:p>
      <w:pPr>
        <w:spacing w:after="120" w:line="300"/>
        <w:jc w:val="both"/>
      </w:pPr>
      <w:r>
        <w:rPr>
          <w:rFonts w:ascii="Arial" w:cs="Arial" w:eastAsia="Arial" w:hAnsi="Arial"/>
        </w:rPr>
        <w:t xml:space="preserve">Der Name Chronotop knüpft an Michail Bachtins Begriff der untrennbaren Verschränkung von Raum und Zeit in Erzählungen an. Er bezeichnet damit präzise das, was das System leisten soll: gekoppelte Raum-Zeit-Darstellungen historischer Prozesse, angereichert um Begriffe, Akteure und Quellen.</w:t>
      </w:r>
    </w:p>
    <w:p>
      <w:pPr>
        <w:pStyle w:val="Heading2"/>
        <w:spacing w:after="120" w:before="240"/>
      </w:pPr>
      <w:r>
        <w:rPr>
          <w:rFonts w:ascii="Arial" w:cs="Arial" w:eastAsia="Arial" w:hAnsi="Arial"/>
          <w:b/>
          <w:bCs/>
          <w:sz w:val="26"/>
          <w:szCs w:val="26"/>
        </w:rPr>
        <w:t xml:space="preserve">1.1 Zielgruppe</w:t>
      </w:r>
    </w:p>
    <w:p>
      <w:pPr>
        <w:pStyle w:val="ListParagraph"/>
        <w:numPr>
          <w:ilvl w:val="0"/>
          <w:numId w:val="2"/>
        </w:numPr>
        <w:spacing w:after="80"/>
      </w:pPr>
      <w:r>
        <w:rPr>
          <w:rFonts w:ascii="Arial" w:cs="Arial" w:eastAsia="Arial" w:hAnsi="Arial"/>
        </w:rPr>
        <w:t xml:space="preserve">Lehrkräfte und Lernende in der Sekundarstufe I und II, primär im Fach Geschichte, sekundär in Politik, Gemeinschaftskunde, Religion, Deutsch und fächerverbindenden Projekten.</w:t>
      </w:r>
    </w:p>
    <w:p>
      <w:pPr>
        <w:pStyle w:val="ListParagraph"/>
        <w:numPr>
          <w:ilvl w:val="0"/>
          <w:numId w:val="2"/>
        </w:numPr>
        <w:spacing w:after="80"/>
      </w:pPr>
      <w:r>
        <w:rPr>
          <w:rFonts w:ascii="Arial" w:cs="Arial" w:eastAsia="Arial" w:hAnsi="Arial"/>
        </w:rPr>
        <w:t xml:space="preserve">Interessierte Lernende über den Unterricht hinaus (Projektarbeit, Seminarkurs, Wettbewerbe wie der Geschichtswettbewerb des Bundespräsidenten).</w:t>
      </w:r>
    </w:p>
    <w:p>
      <w:pPr>
        <w:pStyle w:val="ListParagraph"/>
        <w:numPr>
          <w:ilvl w:val="0"/>
          <w:numId w:val="2"/>
        </w:numPr>
        <w:spacing w:after="80"/>
      </w:pPr>
      <w:r>
        <w:rPr>
          <w:rFonts w:ascii="Arial" w:cs="Arial" w:eastAsia="Arial" w:hAnsi="Arial"/>
        </w:rPr>
        <w:t xml:space="preserve">Autorinnen und Autoren, die auf Basis des Frameworks eigene Inhaltsmodule erstellen wollen.</w:t>
      </w:r>
    </w:p>
    <w:p>
      <w:pPr>
        <w:pStyle w:val="Heading2"/>
        <w:spacing w:after="120" w:before="240"/>
      </w:pPr>
      <w:r>
        <w:rPr>
          <w:rFonts w:ascii="Arial" w:cs="Arial" w:eastAsia="Arial" w:hAnsi="Arial"/>
          <w:b/>
          <w:bCs/>
          <w:sz w:val="26"/>
          <w:szCs w:val="26"/>
        </w:rPr>
        <w:t xml:space="preserve">1.2 Rolle als Framework</w:t>
      </w:r>
    </w:p>
    <w:p>
      <w:pPr>
        <w:spacing w:after="120" w:line="300"/>
        <w:jc w:val="both"/>
      </w:pPr>
      <w:r>
        <w:rPr>
          <w:rFonts w:ascii="Arial" w:cs="Arial" w:eastAsia="Arial" w:hAnsi="Arial"/>
        </w:rPr>
        <w:t xml:space="preserve">Chronotop ist ausdrücklich ein Framework, kein fertiges Einzelprodukt. Die Software stellt ein generisches Datenmodell, ein Beziehungsmodell, gekoppelte Ansichten und Autorenwerkzeuge bereit. Einzelne thematische Inhaltsmodule (z. B. zu einer Epoche, einem Ereignisraum oder einer Fragestellung) werden als eigenständige, austauschbare Inhalts-Pakete aufgesetzt. Ein oder mehrere solcher Pakete werden parallel zur Frameworkentwicklung als Referenz erstellt.</w:t>
      </w:r>
    </w:p>
    <w:p>
      <w:pPr>
        <w:pStyle w:val="Heading1"/>
        <w:spacing w:after="180" w:before="360"/>
      </w:pPr>
      <w:r>
        <w:rPr>
          <w:rFonts w:ascii="Arial" w:cs="Arial" w:eastAsia="Arial" w:hAnsi="Arial"/>
          <w:b/>
          <w:bCs/>
          <w:sz w:val="32"/>
          <w:szCs w:val="32"/>
        </w:rPr>
        <w:t xml:space="preserve">2. Grundsatz der Architektur</w:t>
      </w:r>
    </w:p>
    <w:p>
      <w:pPr>
        <w:spacing w:after="120" w:line="300"/>
        <w:jc w:val="both"/>
      </w:pPr>
      <w:r>
        <w:rPr>
          <w:rFonts w:ascii="Arial" w:cs="Arial" w:eastAsia="Arial" w:hAnsi="Arial"/>
        </w:rPr>
        <w:t xml:space="preserve">Das System besteht aus fachlich klar getrennten Ebenen, die unabhängig voneinander weiterentwickelt werden können:</w:t>
      </w:r>
    </w:p>
    <w:p>
      <w:pPr>
        <w:pStyle w:val="ListParagraph"/>
        <w:numPr>
          <w:ilvl w:val="0"/>
          <w:numId w:val="2"/>
        </w:numPr>
        <w:spacing w:after="80"/>
      </w:pPr>
      <w:r>
        <w:rPr>
          <w:rFonts w:ascii="Arial" w:cs="Arial" w:eastAsia="Arial" w:hAnsi="Arial"/>
        </w:rPr>
        <w:t xml:space="preserve">Inhaltsebene – historische Objekte (Orte, Zeitobjekte, Ereignisse, Akteure, Begriffe, Quellen).</w:t>
      </w:r>
    </w:p>
    <w:p>
      <w:pPr>
        <w:pStyle w:val="ListParagraph"/>
        <w:numPr>
          <w:ilvl w:val="0"/>
          <w:numId w:val="2"/>
        </w:numPr>
        <w:spacing w:after="80"/>
      </w:pPr>
      <w:r>
        <w:rPr>
          <w:rFonts w:ascii="Arial" w:cs="Arial" w:eastAsia="Arial" w:hAnsi="Arial"/>
        </w:rPr>
        <w:t xml:space="preserve">Beziehungsebene – semantische Verknüpfungen zwischen Objekten. Faktische Relationen und interpretative Annotationen werden strukturell getrennt (siehe Abschnitt 4).</w:t>
      </w:r>
    </w:p>
    <w:p>
      <w:pPr>
        <w:pStyle w:val="ListParagraph"/>
        <w:numPr>
          <w:ilvl w:val="0"/>
          <w:numId w:val="2"/>
        </w:numPr>
        <w:spacing w:after="80"/>
      </w:pPr>
      <w:r>
        <w:rPr>
          <w:rFonts w:ascii="Arial" w:cs="Arial" w:eastAsia="Arial" w:hAnsi="Arial"/>
        </w:rPr>
        <w:t xml:space="preserve">Darstellungsebene – gekoppelte Visualisierungen (räumlich, zeitlich, begrifflich, quellenbezogen, kontextuell).</w:t>
      </w:r>
    </w:p>
    <w:p>
      <w:pPr>
        <w:pStyle w:val="ListParagraph"/>
        <w:numPr>
          <w:ilvl w:val="0"/>
          <w:numId w:val="2"/>
        </w:numPr>
        <w:spacing w:after="80"/>
      </w:pPr>
      <w:r>
        <w:rPr>
          <w:rFonts w:ascii="Arial" w:cs="Arial" w:eastAsia="Arial" w:hAnsi="Arial"/>
        </w:rPr>
        <w:t xml:space="preserve">Quellenebene – Verweise auf oder Einbindungen von externen Materialien, bevorzugt über offene Standards (IIIF).</w:t>
      </w:r>
    </w:p>
    <w:p>
      <w:pPr>
        <w:pStyle w:val="ListParagraph"/>
        <w:numPr>
          <w:ilvl w:val="0"/>
          <w:numId w:val="2"/>
        </w:numPr>
        <w:spacing w:after="80"/>
      </w:pPr>
      <w:r>
        <w:rPr>
          <w:rFonts w:ascii="Arial" w:cs="Arial" w:eastAsia="Arial" w:hAnsi="Arial"/>
        </w:rPr>
        <w:t xml:space="preserve">Autoren- und Rechteebene – Rollen, Versionierung, Kuratierungsstatus von Inhalten (siehe Abschnitt 8).</w:t>
      </w:r>
    </w:p>
    <w:p>
      <w:pPr>
        <w:spacing w:after="120" w:line="300"/>
        <w:jc w:val="both"/>
      </w:pPr>
      <w:r>
        <w:rPr>
          <w:rFonts w:ascii="Arial" w:cs="Arial" w:eastAsia="Arial" w:hAnsi="Arial"/>
        </w:rPr>
        <w:t xml:space="preserve">Entscheidend ist: Die Software wird nicht um eine einzelne Kartenansicht herum gebaut, sondern um das historische Daten- und Beziehungsmodell. Die Karte ist eine zentrale, aber nicht die einzige Visualisierungsform.</w:t>
      </w:r>
    </w:p>
    <w:p>
      <w:pPr>
        <w:pStyle w:val="Heading1"/>
        <w:spacing w:after="180" w:before="360"/>
      </w:pPr>
      <w:r>
        <w:rPr>
          <w:rFonts w:ascii="Arial" w:cs="Arial" w:eastAsia="Arial" w:hAnsi="Arial"/>
          <w:b/>
          <w:bCs/>
          <w:sz w:val="32"/>
          <w:szCs w:val="32"/>
        </w:rPr>
        <w:t xml:space="preserve">3. Historische Grundobjekte</w:t>
      </w:r>
    </w:p>
    <w:p>
      <w:pPr>
        <w:spacing w:after="120" w:line="300"/>
        <w:jc w:val="both"/>
      </w:pPr>
      <w:r>
        <w:rPr>
          <w:rFonts w:ascii="Arial" w:cs="Arial" w:eastAsia="Arial" w:hAnsi="Arial"/>
        </w:rPr>
        <w:t xml:space="preserve">Das Zielmodell sieht mindestens folgende Entitätstypen vor. Alle Entitäten besitzen stabile interne Identifier sowie – wo immer möglich – Pflicht-Felder für externe Identifikatoren (Wikidata-QID, GND-ID, GeoNames-ID, ggf. weitere). Damit ist Chronotop vom ersten Tag an an das Linked-Data-Ökosystem anschlussfähig.</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40"/>
        <w:gridCol w:w="7020"/>
      </w:tblGrid>
      <w:tr>
        <w:trPr>
          <w:tblHeader/>
        </w:trPr>
        <w:tc>
          <w:tcPr>
            <w:tcW w:type="dxa" w:w="2340"/>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Entitätstyp</w:t>
            </w:r>
          </w:p>
        </w:tc>
        <w:tc>
          <w:tcPr>
            <w:tcW w:type="dxa" w:w="7020"/>
            <w:shd w:fill="D9E2F3" w:val="clear"/>
            <w:tcMar>
              <w:top w:type="dxa" w:w="80"/>
              <w:left w:type="dxa" w:w="120"/>
              <w:bottom w:type="dxa" w:w="80"/>
              <w:right w:type="dxa" w:w="120"/>
            </w:tcMar>
          </w:tcPr>
          <w:p>
            <w:pPr>
              <w:spacing w:after="0"/>
            </w:pPr>
            <w:r>
              <w:rPr>
                <w:rFonts w:ascii="Arial" w:cs="Arial" w:eastAsia="Arial" w:hAnsi="Arial"/>
                <w:b/>
                <w:bCs/>
                <w:sz w:val="20"/>
                <w:szCs w:val="20"/>
              </w:rPr>
              <w:t xml:space="preserve">Umfang und typische Ausprägungen</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Ort</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historischer oder aktueller Ort, Gebiet, Raum, Schauplatz, Region, Staat, Route; unterstützt Punkt-, Linien- und Flächengeometrien sowie hierarchische Zugehörigkeiten.</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Zeitobjekt</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Zeitpunkt, Zeitraum, Dauer, Sequenz, Phase; erlaubt unscharfe, relative und konkurrierende Datierungen.</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Ereignis / Prozess</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einzelnes Ereignis (Schlacht, Vertragsschluss, Rede) oder längerfristiger Vorgang (Industrialisierung, Dekolonisation); unterstützt Teil-Ganzes-Beziehungen.</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Akteur / Gruppe / Institution</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Einzelpersonen, soziale Gruppen, Organisationen, Staaten, Parteien, Bewegungen.</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Begriff / Konzept</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analytische oder narrative Kategorien (Revolution, Herrschaft, Nation, Propaganda, Modernisierung) mit Unterscheidung zwischen Analyse-, Quellen- und narrativem Begriff (siehe 3.2).</w:t>
            </w:r>
          </w:p>
        </w:tc>
      </w:tr>
      <w:tr>
        <w:tc>
          <w:tcPr>
            <w:tcW w:type="dxa" w:w="2340"/>
            <w:tcMar>
              <w:top w:type="dxa" w:w="80"/>
              <w:left w:type="dxa" w:w="120"/>
              <w:bottom w:type="dxa" w:w="80"/>
              <w:right w:type="dxa" w:w="120"/>
            </w:tcMar>
          </w:tcPr>
          <w:p>
            <w:pPr>
              <w:spacing w:after="0"/>
            </w:pPr>
            <w:r>
              <w:rPr>
                <w:rFonts w:ascii="Arial" w:cs="Arial" w:eastAsia="Arial" w:hAnsi="Arial"/>
                <w:b w:val="false"/>
                <w:bCs w:val="false"/>
                <w:sz w:val="20"/>
                <w:szCs w:val="20"/>
              </w:rPr>
              <w:t xml:space="preserve">Quelle</w:t>
            </w:r>
          </w:p>
        </w:tc>
        <w:tc>
          <w:tcPr>
            <w:tcW w:type="dxa" w:w="7020"/>
            <w:tcMar>
              <w:top w:type="dxa" w:w="80"/>
              <w:left w:type="dxa" w:w="120"/>
              <w:bottom w:type="dxa" w:w="80"/>
              <w:right w:type="dxa" w:w="120"/>
            </w:tcMar>
          </w:tcPr>
          <w:p>
            <w:pPr>
              <w:spacing w:after="0"/>
            </w:pPr>
            <w:r>
              <w:rPr>
                <w:rFonts w:ascii="Arial" w:cs="Arial" w:eastAsia="Arial" w:hAnsi="Arial"/>
                <w:b w:val="false"/>
                <w:bCs w:val="false"/>
                <w:sz w:val="20"/>
                <w:szCs w:val="20"/>
              </w:rPr>
              <w:t xml:space="preserve">Text, Bild, Karte, Statistik, Rede, Gesetz, Objekt, Audio, Video; Einbindung bevorzugt über IIIF, Metadaten strukturiert nach Dublin Core / IIIF Presentation API.</w:t>
            </w:r>
          </w:p>
        </w:tc>
      </w:tr>
    </w:tbl>
    <w:p>
      <w:pPr>
        <w:spacing w:after="120" w:line="300"/>
        <w:jc w:val="both"/>
      </w:pPr>
      <w:r>
        <w:rPr>
          <w:rFonts w:ascii="Arial" w:cs="Arial" w:eastAsia="Arial" w:hAnsi="Arial"/>
        </w:rPr>
        <w:t xml:space="preserve"/>
      </w:r>
    </w:p>
    <w:p>
      <w:pPr>
        <w:pStyle w:val="Heading2"/>
        <w:spacing w:after="120" w:before="240"/>
      </w:pPr>
      <w:r>
        <w:rPr>
          <w:rFonts w:ascii="Arial" w:cs="Arial" w:eastAsia="Arial" w:hAnsi="Arial"/>
          <w:b/>
          <w:bCs/>
          <w:sz w:val="26"/>
          <w:szCs w:val="26"/>
        </w:rPr>
        <w:t xml:space="preserve">3.1 Unsicherheit und Perspektivität</w:t>
      </w:r>
    </w:p>
    <w:p>
      <w:pPr>
        <w:spacing w:after="120" w:line="300"/>
        <w:jc w:val="both"/>
      </w:pPr>
      <w:r>
        <w:rPr>
          <w:rFonts w:ascii="Arial" w:cs="Arial" w:eastAsia="Arial" w:hAnsi="Arial"/>
        </w:rPr>
        <w:t xml:space="preserve">Historische Daten sind selten punktgenau. Datierungen sind „um 1523“, Orte verschieben sich, Zuschreibungen sind umstritten, Quellen widersprechen sich. Chronotop modelliert Unsicherheit als integralen Bestandteil jeder Aussage, nicht als nachträgliche Anmerkung. Jede gespeicherte Aussage (Entität wie Relation) trägt mindestens folgende Felder:</w:t>
      </w:r>
    </w:p>
    <w:p>
      <w:pPr>
        <w:pStyle w:val="ListParagraph"/>
        <w:numPr>
          <w:ilvl w:val="0"/>
          <w:numId w:val="2"/>
        </w:numPr>
        <w:spacing w:after="80"/>
      </w:pPr>
      <w:r>
        <w:rPr>
          <w:rFonts w:ascii="Arial" w:cs="Arial" w:eastAsia="Arial" w:hAnsi="Arial"/>
        </w:rPr>
        <w:t xml:space="preserve">certainty – Sicherheitsgrad der Aussage (z. B. sicher / wahrscheinlich / umstritten / rekonstruiert).</w:t>
      </w:r>
    </w:p>
    <w:p>
      <w:pPr>
        <w:pStyle w:val="ListParagraph"/>
        <w:numPr>
          <w:ilvl w:val="0"/>
          <w:numId w:val="2"/>
        </w:numPr>
        <w:spacing w:after="80"/>
      </w:pPr>
      <w:r>
        <w:rPr>
          <w:rFonts w:ascii="Arial" w:cs="Arial" w:eastAsia="Arial" w:hAnsi="Arial"/>
        </w:rPr>
        <w:t xml:space="preserve">source_of_claim – Referenz auf die Quelle oder die Sekundärliteratur, auf der die Aussage beruht.</w:t>
      </w:r>
    </w:p>
    <w:p>
      <w:pPr>
        <w:pStyle w:val="ListParagraph"/>
        <w:numPr>
          <w:ilvl w:val="0"/>
          <w:numId w:val="2"/>
        </w:numPr>
        <w:spacing w:after="80"/>
      </w:pPr>
      <w:r>
        <w:rPr>
          <w:rFonts w:ascii="Arial" w:cs="Arial" w:eastAsia="Arial" w:hAnsi="Arial"/>
        </w:rPr>
        <w:t xml:space="preserve">valid_from / valid_to – Gültigkeit der Aussage selbst (nicht des Objekts!). Dadurch kann abgebildet werden, dass eine Zuschreibung in der älteren Forschung galt und heute revidiert ist.</w:t>
      </w:r>
    </w:p>
    <w:p>
      <w:pPr>
        <w:pStyle w:val="ListParagraph"/>
        <w:numPr>
          <w:ilvl w:val="0"/>
          <w:numId w:val="2"/>
        </w:numPr>
        <w:spacing w:after="80"/>
      </w:pPr>
      <w:r>
        <w:rPr>
          <w:rFonts w:ascii="Arial" w:cs="Arial" w:eastAsia="Arial" w:hAnsi="Arial"/>
        </w:rPr>
        <w:t xml:space="preserve">contested_by – Verweis auf konkurrierende Aussagen oder Interpretationen.</w:t>
      </w:r>
    </w:p>
    <w:p>
      <w:pPr>
        <w:spacing w:after="120" w:line="300"/>
        <w:jc w:val="both"/>
      </w:pPr>
      <w:r>
        <w:rPr>
          <w:rFonts w:ascii="Arial" w:cs="Arial" w:eastAsia="Arial" w:hAnsi="Arial"/>
        </w:rPr>
        <w:t xml:space="preserve">Diese Felder sind fachdidaktisch zentral: Sie machen sichtbar, dass Geschichtswissenschaft keine Sammlung fester Fakten ist, sondern ein argumentatives Feld.</w:t>
      </w:r>
    </w:p>
    <w:p>
      <w:pPr>
        <w:pStyle w:val="Heading2"/>
        <w:spacing w:after="120" w:before="240"/>
      </w:pPr>
      <w:r>
        <w:rPr>
          <w:rFonts w:ascii="Arial" w:cs="Arial" w:eastAsia="Arial" w:hAnsi="Arial"/>
          <w:b/>
          <w:bCs/>
          <w:sz w:val="26"/>
          <w:szCs w:val="26"/>
        </w:rPr>
        <w:t xml:space="preserve">3.2 Begriffstypologie</w:t>
      </w:r>
    </w:p>
    <w:p>
      <w:pPr>
        <w:spacing w:after="120" w:line="300"/>
        <w:jc w:val="both"/>
      </w:pPr>
      <w:r>
        <w:rPr>
          <w:rFonts w:ascii="Arial" w:cs="Arial" w:eastAsia="Arial" w:hAnsi="Arial"/>
        </w:rPr>
        <w:t xml:space="preserve">Begriffe werden nicht einheitlich behandelt, sondern in drei Unterarten differenziert, weil sie didaktisch sehr unterschiedliche Funktionen haben:</w:t>
      </w:r>
    </w:p>
    <w:p>
      <w:pPr>
        <w:pStyle w:val="ListParagraph"/>
        <w:numPr>
          <w:ilvl w:val="0"/>
          <w:numId w:val="2"/>
        </w:numPr>
        <w:spacing w:after="80"/>
      </w:pPr>
      <w:r>
        <w:rPr>
          <w:rFonts w:ascii="Arial" w:cs="Arial" w:eastAsia="Arial" w:hAnsi="Arial"/>
        </w:rPr>
        <w:t xml:space="preserve">Analysebegriff – moderne, historiografische Kategorie (z. B. „soziale Mobilität“, „Nationenbildung“).</w:t>
      </w:r>
    </w:p>
    <w:p>
      <w:pPr>
        <w:pStyle w:val="ListParagraph"/>
        <w:numPr>
          <w:ilvl w:val="0"/>
          <w:numId w:val="2"/>
        </w:numPr>
        <w:spacing w:after="80"/>
      </w:pPr>
      <w:r>
        <w:rPr>
          <w:rFonts w:ascii="Arial" w:cs="Arial" w:eastAsia="Arial" w:hAnsi="Arial"/>
        </w:rPr>
        <w:t xml:space="preserve">Quellenbegriff – zeitgenössisch in den Quellen verwendeter Begriff (z. B. „Untertan“, „Volksgemeinschaft“).</w:t>
      </w:r>
    </w:p>
    <w:p>
      <w:pPr>
        <w:pStyle w:val="ListParagraph"/>
        <w:numPr>
          <w:ilvl w:val="0"/>
          <w:numId w:val="2"/>
        </w:numPr>
        <w:spacing w:after="80"/>
      </w:pPr>
      <w:r>
        <w:rPr>
          <w:rFonts w:ascii="Arial" w:cs="Arial" w:eastAsia="Arial" w:hAnsi="Arial"/>
        </w:rPr>
        <w:t xml:space="preserve">Narrativer Begriff – Kategorie einer späteren Deutung oder Erinnerungskultur (z. B. „Stunde Null“, „Finsteres Mittelalter“).</w:t>
      </w:r>
    </w:p>
    <w:p>
      <w:pPr>
        <w:spacing w:after="120" w:line="300"/>
        <w:jc w:val="both"/>
      </w:pPr>
      <w:r>
        <w:rPr>
          <w:rFonts w:ascii="Arial" w:cs="Arial" w:eastAsia="Arial" w:hAnsi="Arial"/>
        </w:rPr>
        <w:t xml:space="preserve">Die Unterscheidung ermöglicht Quellenkritik als Grundoperation des Systems und nicht nur als didaktische Zusatzaufgabe.</w:t>
      </w:r>
    </w:p>
    <w:p>
      <w:pPr>
        <w:pStyle w:val="Heading2"/>
        <w:spacing w:after="120" w:before="240"/>
      </w:pPr>
      <w:r>
        <w:rPr>
          <w:rFonts w:ascii="Arial" w:cs="Arial" w:eastAsia="Arial" w:hAnsi="Arial"/>
          <w:b/>
          <w:bCs/>
          <w:sz w:val="26"/>
          <w:szCs w:val="26"/>
        </w:rPr>
        <w:t xml:space="preserve">3.3 Externe Identifikatoren</w:t>
      </w:r>
    </w:p>
    <w:p>
      <w:pPr>
        <w:spacing w:after="120" w:line="300"/>
        <w:jc w:val="both"/>
      </w:pPr>
      <w:r>
        <w:rPr>
          <w:rFonts w:ascii="Arial" w:cs="Arial" w:eastAsia="Arial" w:hAnsi="Arial"/>
        </w:rPr>
        <w:t xml:space="preserve">Jede Entität soll, wo möglich, mit externen, stabilen Identifikatoren verknüpft sein. Diese sind keine optionale Zusatzinformation, sondern Bestandteil des Kernmodells:</w:t>
      </w:r>
    </w:p>
    <w:p>
      <w:pPr>
        <w:pStyle w:val="ListParagraph"/>
        <w:numPr>
          <w:ilvl w:val="0"/>
          <w:numId w:val="2"/>
        </w:numPr>
        <w:spacing w:after="80"/>
      </w:pPr>
      <w:r>
        <w:rPr>
          <w:rFonts w:ascii="Arial" w:cs="Arial" w:eastAsia="Arial" w:hAnsi="Arial"/>
        </w:rPr>
        <w:t xml:space="preserve">Wikidata-QID (Pflicht, wenn vorhanden) – für Orte, Akteure, Begriffe, Ereignisse.</w:t>
      </w:r>
    </w:p>
    <w:p>
      <w:pPr>
        <w:pStyle w:val="ListParagraph"/>
        <w:numPr>
          <w:ilvl w:val="0"/>
          <w:numId w:val="2"/>
        </w:numPr>
        <w:spacing w:after="80"/>
      </w:pPr>
      <w:r>
        <w:rPr>
          <w:rFonts w:ascii="Arial" w:cs="Arial" w:eastAsia="Arial" w:hAnsi="Arial"/>
        </w:rPr>
        <w:t xml:space="preserve">GND-ID (Gemeinsame Normdatei der DNB) – für Personen, Körperschaften, Begriffe.</w:t>
      </w:r>
    </w:p>
    <w:p>
      <w:pPr>
        <w:pStyle w:val="ListParagraph"/>
        <w:numPr>
          <w:ilvl w:val="0"/>
          <w:numId w:val="2"/>
        </w:numPr>
        <w:spacing w:after="80"/>
      </w:pPr>
      <w:r>
        <w:rPr>
          <w:rFonts w:ascii="Arial" w:cs="Arial" w:eastAsia="Arial" w:hAnsi="Arial"/>
        </w:rPr>
        <w:t xml:space="preserve">GeoNames-ID – für Orte.</w:t>
      </w:r>
    </w:p>
    <w:p>
      <w:pPr>
        <w:pStyle w:val="ListParagraph"/>
        <w:numPr>
          <w:ilvl w:val="0"/>
          <w:numId w:val="2"/>
        </w:numPr>
        <w:spacing w:after="80"/>
      </w:pPr>
      <w:r>
        <w:rPr>
          <w:rFonts w:ascii="Arial" w:cs="Arial" w:eastAsia="Arial" w:hAnsi="Arial"/>
        </w:rPr>
        <w:t xml:space="preserve">weitere kontextspezifische IDs – VIAF, Getty AAT, Pleiades, HistoGIS, je nach Inhalt.</w:t>
      </w:r>
    </w:p>
    <w:p>
      <w:pPr>
        <w:spacing w:after="120" w:line="300"/>
        <w:jc w:val="both"/>
      </w:pPr>
      <w:r>
        <w:rPr>
          <w:rFonts w:ascii="Arial" w:cs="Arial" w:eastAsia="Arial" w:hAnsi="Arial"/>
        </w:rPr>
        <w:t xml:space="preserve">Damit ist Chronotop keine Insellösung. Inhalte bleiben über Identifier mit dem breiteren digitalen Kulturerbe-Ökosystem verbunden und können später mit minimalem Aufwand als Linked Open Data exportiert werden.</w:t>
      </w:r>
    </w:p>
    <w:p>
      <w:pPr>
        <w:pStyle w:val="Heading1"/>
        <w:spacing w:after="180" w:before="360"/>
      </w:pPr>
      <w:r>
        <w:rPr>
          <w:rFonts w:ascii="Arial" w:cs="Arial" w:eastAsia="Arial" w:hAnsi="Arial"/>
          <w:b/>
          <w:bCs/>
          <w:sz w:val="32"/>
          <w:szCs w:val="32"/>
        </w:rPr>
        <w:t xml:space="preserve">4. Beziehungsmodell</w:t>
      </w:r>
    </w:p>
    <w:p>
      <w:pPr>
        <w:spacing w:after="120" w:line="300"/>
        <w:jc w:val="both"/>
      </w:pPr>
      <w:r>
        <w:rPr>
          <w:rFonts w:ascii="Arial" w:cs="Arial" w:eastAsia="Arial" w:hAnsi="Arial"/>
        </w:rPr>
        <w:t xml:space="preserve">Beziehungen sind in Chronotop eigenständige Objekte mit eigener Identität, eigenen Attributen und eigener Unsicherheitsmarkierung. Ein zentraler strukturbildender Grundsatz ist die Trennung zwischen faktischen Relationen und interpretativen Annotationen.</w:t>
      </w:r>
    </w:p>
    <w:p>
      <w:pPr>
        <w:pStyle w:val="Heading2"/>
        <w:spacing w:after="120" w:before="240"/>
      </w:pPr>
      <w:r>
        <w:rPr>
          <w:rFonts w:ascii="Arial" w:cs="Arial" w:eastAsia="Arial" w:hAnsi="Arial"/>
          <w:b/>
          <w:bCs/>
          <w:sz w:val="26"/>
          <w:szCs w:val="26"/>
        </w:rPr>
        <w:t xml:space="preserve">4.1 Faktische Relationen</w:t>
      </w:r>
    </w:p>
    <w:p>
      <w:pPr>
        <w:spacing w:after="120" w:line="300"/>
        <w:jc w:val="both"/>
      </w:pPr>
      <w:r>
        <w:rPr>
          <w:rFonts w:ascii="Arial" w:cs="Arial" w:eastAsia="Arial" w:hAnsi="Arial"/>
        </w:rPr>
        <w:t xml:space="preserve">Faktische Relationen beschreiben Zusammenhänge, die grundsätzlich intersubjektiv überprüfbar sind. Sie sind Kanten zwischen Entitäten im eigentlichen Sinn. Beispiele:</w:t>
      </w:r>
    </w:p>
    <w:p>
      <w:pPr>
        <w:pStyle w:val="ListParagraph"/>
        <w:numPr>
          <w:ilvl w:val="0"/>
          <w:numId w:val="2"/>
        </w:numPr>
        <w:spacing w:after="80"/>
      </w:pPr>
      <w:r>
        <w:rPr>
          <w:rFonts w:ascii="Arial" w:cs="Arial" w:eastAsia="Arial" w:hAnsi="Arial"/>
        </w:rPr>
        <w:t xml:space="preserve">findet statt in (Ereignis → Ort)</w:t>
      </w:r>
    </w:p>
    <w:p>
      <w:pPr>
        <w:pStyle w:val="ListParagraph"/>
        <w:numPr>
          <w:ilvl w:val="0"/>
          <w:numId w:val="2"/>
        </w:numPr>
        <w:spacing w:after="80"/>
      </w:pPr>
      <w:r>
        <w:rPr>
          <w:rFonts w:ascii="Arial" w:cs="Arial" w:eastAsia="Arial" w:hAnsi="Arial"/>
        </w:rPr>
        <w:t xml:space="preserve">findet statt zu (Ereignis → Zeitobjekt)</w:t>
      </w:r>
    </w:p>
    <w:p>
      <w:pPr>
        <w:pStyle w:val="ListParagraph"/>
        <w:numPr>
          <w:ilvl w:val="0"/>
          <w:numId w:val="2"/>
        </w:numPr>
        <w:spacing w:after="80"/>
      </w:pPr>
      <w:r>
        <w:rPr>
          <w:rFonts w:ascii="Arial" w:cs="Arial" w:eastAsia="Arial" w:hAnsi="Arial"/>
        </w:rPr>
        <w:t xml:space="preserve">folgt auf (Ereignis → Ereignis)</w:t>
      </w:r>
    </w:p>
    <w:p>
      <w:pPr>
        <w:pStyle w:val="ListParagraph"/>
        <w:numPr>
          <w:ilvl w:val="0"/>
          <w:numId w:val="2"/>
        </w:numPr>
        <w:spacing w:after="80"/>
      </w:pPr>
      <w:r>
        <w:rPr>
          <w:rFonts w:ascii="Arial" w:cs="Arial" w:eastAsia="Arial" w:hAnsi="Arial"/>
        </w:rPr>
        <w:t xml:space="preserve">ist Teil von (Ereignis → Prozess, Ort → Region, Akteur → Gruppe)</w:t>
      </w:r>
    </w:p>
    <w:p>
      <w:pPr>
        <w:pStyle w:val="ListParagraph"/>
        <w:numPr>
          <w:ilvl w:val="0"/>
          <w:numId w:val="2"/>
        </w:numPr>
        <w:spacing w:after="80"/>
      </w:pPr>
      <w:r>
        <w:rPr>
          <w:rFonts w:ascii="Arial" w:cs="Arial" w:eastAsia="Arial" w:hAnsi="Arial"/>
        </w:rPr>
        <w:t xml:space="preserve">beteiligt ist (Akteur → Ereignis)</w:t>
      </w:r>
    </w:p>
    <w:p>
      <w:pPr>
        <w:pStyle w:val="ListParagraph"/>
        <w:numPr>
          <w:ilvl w:val="0"/>
          <w:numId w:val="2"/>
        </w:numPr>
        <w:spacing w:after="80"/>
      </w:pPr>
      <w:r>
        <w:rPr>
          <w:rFonts w:ascii="Arial" w:cs="Arial" w:eastAsia="Arial" w:hAnsi="Arial"/>
        </w:rPr>
        <w:t xml:space="preserve">gilt für / betrifft (Gesetz, Vertrag → Akteur, Ort)</w:t>
      </w:r>
    </w:p>
    <w:p>
      <w:pPr>
        <w:pStyle w:val="ListParagraph"/>
        <w:numPr>
          <w:ilvl w:val="0"/>
          <w:numId w:val="2"/>
        </w:numPr>
        <w:spacing w:after="80"/>
      </w:pPr>
      <w:r>
        <w:rPr>
          <w:rFonts w:ascii="Arial" w:cs="Arial" w:eastAsia="Arial" w:hAnsi="Arial"/>
        </w:rPr>
        <w:t xml:space="preserve">wird belegt durch (Aussage → Quelle)</w:t>
      </w:r>
    </w:p>
    <w:p>
      <w:pPr>
        <w:pStyle w:val="Heading2"/>
        <w:spacing w:after="120" w:before="240"/>
      </w:pPr>
      <w:r>
        <w:rPr>
          <w:rFonts w:ascii="Arial" w:cs="Arial" w:eastAsia="Arial" w:hAnsi="Arial"/>
          <w:b/>
          <w:bCs/>
          <w:sz w:val="26"/>
          <w:szCs w:val="26"/>
        </w:rPr>
        <w:t xml:space="preserve">4.2 Interpretative Annotationen</w:t>
      </w:r>
    </w:p>
    <w:p>
      <w:pPr>
        <w:spacing w:after="120" w:line="300"/>
        <w:jc w:val="both"/>
      </w:pPr>
      <w:r>
        <w:rPr>
          <w:rFonts w:ascii="Arial" w:cs="Arial" w:eastAsia="Arial" w:hAnsi="Arial"/>
        </w:rPr>
        <w:t xml:space="preserve">Deutungen, Kontraste, Fortwirkungen, Analyseperspektiven sind keine Fakten im selben Sinn. Sie sind Aussagen über Aussagen. Chronotop modelliert sie als Annotationen gemäß dem W3C Web Annotation Data Model: Ein Annotationsobjekt verweist auf eine oder mehrere Entitäten oder Relationen und trägt selbst Autor, Zeitpunkt, Belegquelle und Sichtbarkeit. Beispiele:</w:t>
      </w:r>
    </w:p>
    <w:p>
      <w:pPr>
        <w:pStyle w:val="ListParagraph"/>
        <w:numPr>
          <w:ilvl w:val="0"/>
          <w:numId w:val="2"/>
        </w:numPr>
        <w:spacing w:after="80"/>
      </w:pPr>
      <w:r>
        <w:rPr>
          <w:rFonts w:ascii="Arial" w:cs="Arial" w:eastAsia="Arial" w:hAnsi="Arial"/>
        </w:rPr>
        <w:t xml:space="preserve">wird interpretiert durch (Ereignis → Konzept, mit Autor und Beleg)</w:t>
      </w:r>
    </w:p>
    <w:p>
      <w:pPr>
        <w:pStyle w:val="ListParagraph"/>
        <w:numPr>
          <w:ilvl w:val="0"/>
          <w:numId w:val="2"/>
        </w:numPr>
        <w:spacing w:after="80"/>
      </w:pPr>
      <w:r>
        <w:rPr>
          <w:rFonts w:ascii="Arial" w:cs="Arial" w:eastAsia="Arial" w:hAnsi="Arial"/>
        </w:rPr>
        <w:t xml:space="preserve">kontrastiert mit (Ereignis ↔ Ereignis, mit Begründung)</w:t>
      </w:r>
    </w:p>
    <w:p>
      <w:pPr>
        <w:pStyle w:val="ListParagraph"/>
        <w:numPr>
          <w:ilvl w:val="0"/>
          <w:numId w:val="2"/>
        </w:numPr>
        <w:spacing w:after="80"/>
      </w:pPr>
      <w:r>
        <w:rPr>
          <w:rFonts w:ascii="Arial" w:cs="Arial" w:eastAsia="Arial" w:hAnsi="Arial"/>
        </w:rPr>
        <w:t xml:space="preserve">wirkt auf anderer Ebene fort (Ereignis → Erinnerungskultur)</w:t>
      </w:r>
    </w:p>
    <w:p>
      <w:pPr>
        <w:pStyle w:val="ListParagraph"/>
        <w:numPr>
          <w:ilvl w:val="0"/>
          <w:numId w:val="2"/>
        </w:numPr>
        <w:spacing w:after="80"/>
      </w:pPr>
      <w:r>
        <w:rPr>
          <w:rFonts w:ascii="Arial" w:cs="Arial" w:eastAsia="Arial" w:hAnsi="Arial"/>
        </w:rPr>
        <w:t xml:space="preserve">ist umstritten zwischen (Akteuren, Positionen, Historikern)</w:t>
      </w:r>
    </w:p>
    <w:p>
      <w:pPr>
        <w:spacing w:after="120" w:line="300"/>
        <w:jc w:val="both"/>
      </w:pPr>
      <w:r>
        <w:rPr>
          <w:rFonts w:ascii="Arial" w:cs="Arial" w:eastAsia="Arial" w:hAnsi="Arial"/>
        </w:rPr>
        <w:t xml:space="preserve">Die Trennung hat zwei große Vorteile. Erstens kann in der Lernumgebung zwischen gesichertem historischem Wissen und Deutung unterschieden werden – eine Grundoperation historischer Bildung. Zweitens bleibt die faktische Basis stabil, wenn unterschiedliche interpretative Schichten (z. B. von Lehrkraft und Lernenden) parallel existieren.</w:t>
      </w:r>
    </w:p>
    <w:p>
      <w:pPr>
        <w:pStyle w:val="Heading1"/>
        <w:spacing w:after="180" w:before="360"/>
      </w:pPr>
      <w:r>
        <w:rPr>
          <w:rFonts w:ascii="Arial" w:cs="Arial" w:eastAsia="Arial" w:hAnsi="Arial"/>
          <w:b/>
          <w:bCs/>
          <w:sz w:val="32"/>
          <w:szCs w:val="32"/>
        </w:rPr>
        <w:t xml:space="preserve">5. Darstellungsmodell</w:t>
      </w:r>
    </w:p>
    <w:p>
      <w:pPr>
        <w:spacing w:after="120" w:line="300"/>
        <w:jc w:val="both"/>
      </w:pPr>
      <w:r>
        <w:rPr>
          <w:rFonts w:ascii="Arial" w:cs="Arial" w:eastAsia="Arial" w:hAnsi="Arial"/>
        </w:rPr>
        <w:t xml:space="preserve">Chronotop stellt mehrere gekoppelte Ansichten bereit. Koppelung bedeutet: Eine Auswahl in einer Ansicht filtert und markiert Inhalte in allen anderen Ansichten. Kein Arbeitsbereich ist ein Endpunkt, alle sind Ausgangspunkte.</w:t>
      </w:r>
    </w:p>
    <w:p>
      <w:pPr>
        <w:pStyle w:val="ListParagraph"/>
        <w:numPr>
          <w:ilvl w:val="0"/>
          <w:numId w:val="2"/>
        </w:numPr>
        <w:spacing w:after="80"/>
      </w:pPr>
      <w:r>
        <w:rPr>
          <w:rFonts w:ascii="Arial" w:cs="Arial" w:eastAsia="Arial" w:hAnsi="Arial"/>
        </w:rPr>
        <w:t xml:space="preserve">Räumliche Ansicht – Karte mit Orten, Räumen, Grenzen, Bewegungen, Quellenverortungen; Layer-basiert, zeitlich filterbar.</w:t>
      </w:r>
    </w:p>
    <w:p>
      <w:pPr>
        <w:pStyle w:val="ListParagraph"/>
        <w:numPr>
          <w:ilvl w:val="0"/>
          <w:numId w:val="2"/>
        </w:numPr>
        <w:spacing w:after="80"/>
      </w:pPr>
      <w:r>
        <w:rPr>
          <w:rFonts w:ascii="Arial" w:cs="Arial" w:eastAsia="Arial" w:hAnsi="Arial"/>
        </w:rPr>
        <w:t xml:space="preserve">Zeitliche Ansicht – Zeitleiste mit Zeitpunkten, Zeiträumen, Phasen, Sequenzen; Verdichtungs- und Filterfunktionen.</w:t>
      </w:r>
    </w:p>
    <w:p>
      <w:pPr>
        <w:pStyle w:val="ListParagraph"/>
        <w:numPr>
          <w:ilvl w:val="0"/>
          <w:numId w:val="2"/>
        </w:numPr>
        <w:spacing w:after="80"/>
      </w:pPr>
      <w:r>
        <w:rPr>
          <w:rFonts w:ascii="Arial" w:cs="Arial" w:eastAsia="Arial" w:hAnsi="Arial"/>
        </w:rPr>
        <w:t xml:space="preserve">Begriffliche Ansicht – thematische Cluster, Analyseebenen, Schlagwort- und Konzeptbezüge, ggf. als Netzwerkdiagramm.</w:t>
      </w:r>
    </w:p>
    <w:p>
      <w:pPr>
        <w:pStyle w:val="ListParagraph"/>
        <w:numPr>
          <w:ilvl w:val="0"/>
          <w:numId w:val="2"/>
        </w:numPr>
        <w:spacing w:after="80"/>
      </w:pPr>
      <w:r>
        <w:rPr>
          <w:rFonts w:ascii="Arial" w:cs="Arial" w:eastAsia="Arial" w:hAnsi="Arial"/>
        </w:rPr>
        <w:t xml:space="preserve">Quellenbezogene Ansicht – Zugriff auf Dokumente, Bilder, Karten, Metadaten und externe Portale; IIIF-Viewer für hochaufgelöste Bilder.</w:t>
      </w:r>
    </w:p>
    <w:p>
      <w:pPr>
        <w:pStyle w:val="ListParagraph"/>
        <w:numPr>
          <w:ilvl w:val="0"/>
          <w:numId w:val="2"/>
        </w:numPr>
        <w:spacing w:after="80"/>
      </w:pPr>
      <w:r>
        <w:rPr>
          <w:rFonts w:ascii="Arial" w:cs="Arial" w:eastAsia="Arial" w:hAnsi="Arial"/>
        </w:rPr>
        <w:t xml:space="preserve">Kontextuelle Detailansicht – Panel für Erläuterungen, Aufgaben, Relationen, didaktische Hinweise, Annotationen.</w:t>
      </w:r>
    </w:p>
    <w:p>
      <w:pPr>
        <w:spacing w:after="120" w:line="300"/>
        <w:jc w:val="both"/>
      </w:pPr>
      <w:r>
        <w:rPr>
          <w:rFonts w:ascii="Arial" w:cs="Arial" w:eastAsia="Arial" w:hAnsi="Arial"/>
        </w:rPr>
        <w:t xml:space="preserve">Die Ansichten werden nicht als geschlossener „historischer 3D-Raum“ konzipiert, sondern als orthogonale Zugänge zum selben Datenbestand. Jeder Zugang ist fachlich sinnvoll allein nutzbar, gewinnt aber an Tiefe in der Kopplung.</w:t>
      </w:r>
    </w:p>
    <w:p>
      <w:pPr>
        <w:pStyle w:val="Heading1"/>
        <w:spacing w:after="180" w:before="360"/>
      </w:pPr>
      <w:r>
        <w:rPr>
          <w:rFonts w:ascii="Arial" w:cs="Arial" w:eastAsia="Arial" w:hAnsi="Arial"/>
          <w:b/>
          <w:bCs/>
          <w:sz w:val="32"/>
          <w:szCs w:val="32"/>
        </w:rPr>
        <w:t xml:space="preserve">6. Technische Basis</w:t>
      </w:r>
    </w:p>
    <w:p>
      <w:pPr>
        <w:spacing w:after="120" w:line="300"/>
        <w:jc w:val="both"/>
      </w:pPr>
      <w:r>
        <w:rPr>
          <w:rFonts w:ascii="Arial" w:cs="Arial" w:eastAsia="Arial" w:hAnsi="Arial"/>
        </w:rPr>
        <w:t xml:space="preserve">Für die empfohlene Software- und Codebasis gelten zwei Leitprinzipien: Offenheit und Austauschbarkeit. Das bedeutet konkret: offene Standards, offener Quellcode, dokumentierte Schnittstellen, klar getrennte Module.</w:t>
      </w:r>
    </w:p>
    <w:p>
      <w:pPr>
        <w:pStyle w:val="Heading2"/>
        <w:spacing w:after="120" w:before="240"/>
      </w:pPr>
      <w:r>
        <w:rPr>
          <w:rFonts w:ascii="Arial" w:cs="Arial" w:eastAsia="Arial" w:hAnsi="Arial"/>
          <w:b/>
          <w:bCs/>
          <w:sz w:val="26"/>
          <w:szCs w:val="26"/>
        </w:rPr>
        <w:t xml:space="preserve">6.1 Backend und Datenmodell</w:t>
      </w:r>
    </w:p>
    <w:p>
      <w:pPr>
        <w:spacing w:after="120" w:line="300"/>
        <w:jc w:val="both"/>
      </w:pPr>
      <w:r>
        <w:rPr>
          <w:rFonts w:ascii="Arial" w:cs="Arial" w:eastAsia="Arial" w:hAnsi="Arial"/>
        </w:rPr>
        <w:t xml:space="preserve">Empfohlen wird PostgreSQL mit der Erweiterung PostGIS als operatives Backend. PostgreSQL ist ausgereift, offen, breit unterstützt und schulbetrieblich unaufwendig. PostGIS deckt alle räumlichen Anforderungen (Punkte, Linien, Flächen, Distanz, Topologie) professionell ab.</w:t>
      </w:r>
    </w:p>
    <w:p>
      <w:pPr>
        <w:spacing w:after="120" w:line="300"/>
        <w:jc w:val="both"/>
      </w:pPr>
      <w:r>
        <w:rPr>
          <w:rFonts w:ascii="Arial" w:cs="Arial" w:eastAsia="Arial" w:hAnsi="Arial"/>
        </w:rPr>
        <w:t xml:space="preserve">Das interne Schema wird jedoch von Anfang an so entworfen, dass es verlustfrei nach CIDOC CRM bzw. dessen JSON-LD-Profil Linked Art exportierbar ist. CIDOC CRM (ISO 21127) ist das internationale Referenzmodell für Kulturerbe und historische Zusammenhänge und bietet ausgearbeitete Konzepte für Ereignisse, Akteure, Zeitspannen und Quellen. Linked Art operationalisiert CIDOC CRM in einer pragmatisch einsetzbaren Form.</w:t>
      </w:r>
    </w:p>
    <w:p>
      <w:pPr>
        <w:spacing w:after="120" w:line="300"/>
        <w:jc w:val="both"/>
      </w:pPr>
      <w:r>
        <w:rPr>
          <w:rFonts w:ascii="Arial" w:cs="Arial" w:eastAsia="Arial" w:hAnsi="Arial"/>
        </w:rPr>
        <w:t xml:space="preserve">Diese Strategie – internes Schema mit dokumentiertem CRM-Mapping und JSON-LD-Export – liefert die Anschlussfähigkeit an das Semantic Web ohne den Betriebsaufwand eines nativen Triple-Stores. Ein natives RDF-Backend (Apache Jena Fuseki o. Ä.) bleibt als Fernziel dokumentiert und kann später als zusätzliche Read-Layer ergänzt werden, sobald Bedarf und Ressourcen es rechtfertigen.</w:t>
      </w:r>
    </w:p>
    <w:p>
      <w:pPr>
        <w:spacing w:after="120" w:line="300"/>
        <w:jc w:val="both"/>
      </w:pPr>
      <w:r>
        <w:rPr>
          <w:rFonts w:ascii="Arial" w:cs="Arial" w:eastAsia="Arial" w:hAnsi="Arial"/>
        </w:rPr>
        <w:t xml:space="preserve">Für unscharfe und konkurrierende Datierungen wird auf die Konstrukte von CIDOC CRM (insbesondere E52 Time-Span mit Begin/End of the Begin und Begin/End of the End) zurückgegriffen; OWL-Time wird im Exportprofil unterstützt.</w:t>
      </w:r>
    </w:p>
    <w:p>
      <w:pPr>
        <w:pStyle w:val="Heading2"/>
        <w:spacing w:after="120" w:before="240"/>
      </w:pPr>
      <w:r>
        <w:rPr>
          <w:rFonts w:ascii="Arial" w:cs="Arial" w:eastAsia="Arial" w:hAnsi="Arial"/>
          <w:b/>
          <w:bCs/>
          <w:sz w:val="26"/>
          <w:szCs w:val="26"/>
        </w:rPr>
        <w:t xml:space="preserve">6.2 Frontend und Kartenengine</w:t>
      </w:r>
    </w:p>
    <w:p>
      <w:pPr>
        <w:spacing w:after="120" w:line="300"/>
        <w:jc w:val="both"/>
      </w:pPr>
      <w:r>
        <w:rPr>
          <w:rFonts w:ascii="Arial" w:cs="Arial" w:eastAsia="Arial" w:hAnsi="Arial"/>
        </w:rPr>
        <w:t xml:space="preserve">Für die Kartendarstellung wird MapLibre GL JS als Standard empfohlen. MapLibre ist eine offene TypeScript-Bibliothek, die Karten im Browser GPU-beschleunigt über WebGL rendert, gut mit Vektordaten und dynamischen Layern umgeht und für ein langfristig wachsendes historisches System die tragfähigste Basis darstellt. Leaflet und OpenLayers bleiben als alternative Kartenbibliotheken zugelassen, wenn fachliche, organisatorische oder didaktische Gründe dafür sprechen.</w:t>
      </w:r>
    </w:p>
    <w:p>
      <w:pPr>
        <w:spacing w:after="120" w:line="300"/>
        <w:jc w:val="both"/>
      </w:pPr>
      <w:r>
        <w:rPr>
          <w:rFonts w:ascii="Arial" w:cs="Arial" w:eastAsia="Arial" w:hAnsi="Arial"/>
        </w:rPr>
        <w:t xml:space="preserve">Das Frontend-Framework wird als austauschbar behandelt; für die erste Entwicklungsstufe wird ein einfacher, wartbarer Stack (TypeScript, eine verbreitete Komponentenbibliothek, keine exotischen Abhängigkeiten) bevorzugt. Keine Komponente wird so tief in die Anwendung verflochten, dass ein späterer Austausch unmöglich wird.</w:t>
      </w:r>
    </w:p>
    <w:p>
      <w:pPr>
        <w:pStyle w:val="Heading2"/>
        <w:spacing w:after="120" w:before="240"/>
      </w:pPr>
      <w:r>
        <w:rPr>
          <w:rFonts w:ascii="Arial" w:cs="Arial" w:eastAsia="Arial" w:hAnsi="Arial"/>
          <w:b/>
          <w:bCs/>
          <w:sz w:val="26"/>
          <w:szCs w:val="26"/>
        </w:rPr>
        <w:t xml:space="preserve">6.3 Quellen und Bildauslieferung</w:t>
      </w:r>
    </w:p>
    <w:p>
      <w:pPr>
        <w:spacing w:after="120" w:line="300"/>
        <w:jc w:val="both"/>
      </w:pPr>
      <w:r>
        <w:rPr>
          <w:rFonts w:ascii="Arial" w:cs="Arial" w:eastAsia="Arial" w:hAnsi="Arial"/>
        </w:rPr>
        <w:t xml:space="preserve">Für die Einbindung hochaufgelöster historischer Karten, Bildquellen und digitalisierter Objekte wird konsequent auf IIIF gesetzt. Die IIIF Image API erlaubt standardisierte Bildauslieferung mit Ausschnitts-, Größen- und Qualitätssteuerung. Die IIIF Presentation API stellt strukturierte Metadaten und Objektzusammenhänge bereit. Damit wird Chronotop anschlussfähig an Bibliotheks-, Archiv- und Museumssammlungen weltweit, die IIIF zunehmend als Standard verwenden.</w:t>
      </w:r>
    </w:p>
    <w:p>
      <w:pPr>
        <w:spacing w:after="120" w:line="300"/>
        <w:jc w:val="both"/>
      </w:pPr>
      <w:r>
        <w:rPr>
          <w:rFonts w:ascii="Arial" w:cs="Arial" w:eastAsia="Arial" w:hAnsi="Arial"/>
        </w:rPr>
        <w:t xml:space="preserve">Für die Anzeige von IIIF-Ressourcen wird ein etablierter Viewer (Mirador oder Universal Viewer) eingebunden; lokale Entwicklung dieser Komponente wird bewusst vermieden.</w:t>
      </w:r>
    </w:p>
    <w:p>
      <w:pPr>
        <w:pStyle w:val="Heading2"/>
        <w:spacing w:after="120" w:before="240"/>
      </w:pPr>
      <w:r>
        <w:rPr>
          <w:rFonts w:ascii="Arial" w:cs="Arial" w:eastAsia="Arial" w:hAnsi="Arial"/>
          <w:b/>
          <w:bCs/>
          <w:sz w:val="26"/>
          <w:szCs w:val="26"/>
        </w:rPr>
        <w:t xml:space="preserve">6.4 Such- und Filterschicht</w:t>
      </w:r>
    </w:p>
    <w:p>
      <w:pPr>
        <w:spacing w:after="120" w:line="300"/>
        <w:jc w:val="both"/>
      </w:pPr>
      <w:r>
        <w:rPr>
          <w:rFonts w:ascii="Arial" w:cs="Arial" w:eastAsia="Arial" w:hAnsi="Arial"/>
        </w:rPr>
        <w:t xml:space="preserve">Volltext- und Facettensuche werden zunächst mit PostgreSQL-Bordmitteln (tsvector, pg_trgm) umgesetzt. Ein externer Index (z. B. Meilisearch, Typesense, Elasticsearch) wird als optionales Modul offengehalten und greift über klar definierte Schnittstellen, ohne das Kernmodell zu kennen.</w:t>
      </w:r>
    </w:p>
    <w:p>
      <w:pPr>
        <w:pStyle w:val="Heading1"/>
        <w:spacing w:after="180" w:before="360"/>
      </w:pPr>
      <w:r>
        <w:rPr>
          <w:rFonts w:ascii="Arial" w:cs="Arial" w:eastAsia="Arial" w:hAnsi="Arial"/>
          <w:b/>
          <w:bCs/>
          <w:sz w:val="32"/>
          <w:szCs w:val="32"/>
        </w:rPr>
        <w:t xml:space="preserve">7. Grundsatz der Austauschbarkeit</w:t>
      </w:r>
    </w:p>
    <w:p>
      <w:pPr>
        <w:spacing w:after="120" w:line="300"/>
        <w:jc w:val="both"/>
      </w:pPr>
      <w:r>
        <w:rPr>
          <w:rFonts w:ascii="Arial" w:cs="Arial" w:eastAsia="Arial" w:hAnsi="Arial"/>
        </w:rPr>
        <w:t xml:space="preserve">Die Architektur ist nicht an ein einzelnes Produkt gebunden. Folgende Komponenten bleiben über dokumentierte Schnittstellen austauschbar:</w:t>
      </w:r>
    </w:p>
    <w:p>
      <w:pPr>
        <w:pStyle w:val="ListParagraph"/>
        <w:numPr>
          <w:ilvl w:val="0"/>
          <w:numId w:val="2"/>
        </w:numPr>
        <w:spacing w:after="80"/>
      </w:pPr>
      <w:r>
        <w:rPr>
          <w:rFonts w:ascii="Arial" w:cs="Arial" w:eastAsia="Arial" w:hAnsi="Arial"/>
        </w:rPr>
        <w:t xml:space="preserve">Kartenengine (MapLibre, Leaflet, OpenLayers).</w:t>
      </w:r>
    </w:p>
    <w:p>
      <w:pPr>
        <w:pStyle w:val="ListParagraph"/>
        <w:numPr>
          <w:ilvl w:val="0"/>
          <w:numId w:val="2"/>
        </w:numPr>
        <w:spacing w:after="80"/>
      </w:pPr>
      <w:r>
        <w:rPr>
          <w:rFonts w:ascii="Arial" w:cs="Arial" w:eastAsia="Arial" w:hAnsi="Arial"/>
        </w:rPr>
        <w:t xml:space="preserve">Datenquellen (Datenbank, externe APIs, statische Datensätze).</w:t>
      </w:r>
    </w:p>
    <w:p>
      <w:pPr>
        <w:pStyle w:val="ListParagraph"/>
        <w:numPr>
          <w:ilvl w:val="0"/>
          <w:numId w:val="2"/>
        </w:numPr>
        <w:spacing w:after="80"/>
      </w:pPr>
      <w:r>
        <w:rPr>
          <w:rFonts w:ascii="Arial" w:cs="Arial" w:eastAsia="Arial" w:hAnsi="Arial"/>
        </w:rPr>
        <w:t xml:space="preserve">Viewer für Bilder und Quellen (Mirador, Universal Viewer, eigene Komponenten).</w:t>
      </w:r>
    </w:p>
    <w:p>
      <w:pPr>
        <w:pStyle w:val="ListParagraph"/>
        <w:numPr>
          <w:ilvl w:val="0"/>
          <w:numId w:val="2"/>
        </w:numPr>
        <w:spacing w:after="80"/>
      </w:pPr>
      <w:r>
        <w:rPr>
          <w:rFonts w:ascii="Arial" w:cs="Arial" w:eastAsia="Arial" w:hAnsi="Arial"/>
        </w:rPr>
        <w:t xml:space="preserve">Such- und Filtermechanismen (PostgreSQL-intern vs. externer Index).</w:t>
      </w:r>
    </w:p>
    <w:p>
      <w:pPr>
        <w:pStyle w:val="ListParagraph"/>
        <w:numPr>
          <w:ilvl w:val="0"/>
          <w:numId w:val="2"/>
        </w:numPr>
        <w:spacing w:after="80"/>
      </w:pPr>
      <w:r>
        <w:rPr>
          <w:rFonts w:ascii="Arial" w:cs="Arial" w:eastAsia="Arial" w:hAnsi="Arial"/>
        </w:rPr>
        <w:t xml:space="preserve">Backend und Datenbankschichten (PostgreSQL als Standard, alternative Stores möglich).</w:t>
      </w:r>
    </w:p>
    <w:p>
      <w:pPr>
        <w:pStyle w:val="ListParagraph"/>
        <w:numPr>
          <w:ilvl w:val="0"/>
          <w:numId w:val="2"/>
        </w:numPr>
        <w:spacing w:after="80"/>
      </w:pPr>
      <w:r>
        <w:rPr>
          <w:rFonts w:ascii="Arial" w:cs="Arial" w:eastAsia="Arial" w:hAnsi="Arial"/>
        </w:rPr>
        <w:t xml:space="preserve">Frontend-Framework und Komponentenbibliothek.</w:t>
      </w:r>
    </w:p>
    <w:p>
      <w:pPr>
        <w:spacing w:after="120" w:line="300"/>
        <w:jc w:val="both"/>
      </w:pPr>
      <w:r>
        <w:rPr>
          <w:rFonts w:ascii="Arial" w:cs="Arial" w:eastAsia="Arial" w:hAnsi="Arial"/>
        </w:rPr>
        <w:t xml:space="preserve">Jede Austauschentscheidung muss dieselben Kernanforderungen erfüllen: offene oder zumindest klar dokumentierte Standards, gute Verarbeitung räumlicher und zeitlicher Daten, Unterstützung komplexer Layer- und Filterlogiken, Integration externer Quellen und Metadaten, nachhaltige Wart- und Erweiterbarkeit.</w:t>
      </w:r>
    </w:p>
    <w:p>
      <w:pPr>
        <w:pStyle w:val="Heading1"/>
        <w:spacing w:after="180" w:before="360"/>
      </w:pPr>
      <w:r>
        <w:rPr>
          <w:rFonts w:ascii="Arial" w:cs="Arial" w:eastAsia="Arial" w:hAnsi="Arial"/>
          <w:b/>
          <w:bCs/>
          <w:sz w:val="32"/>
          <w:szCs w:val="32"/>
        </w:rPr>
        <w:t xml:space="preserve">8. Rollen, Autorenschaft und Versionierung</w:t>
      </w:r>
    </w:p>
    <w:p>
      <w:pPr>
        <w:spacing w:after="120" w:line="300"/>
        <w:jc w:val="both"/>
      </w:pPr>
      <w:r>
        <w:rPr>
          <w:rFonts w:ascii="Arial" w:cs="Arial" w:eastAsia="Arial" w:hAnsi="Arial"/>
        </w:rPr>
        <w:t xml:space="preserve">Chronotop unterscheidet mindestens folgende Rollen:</w:t>
      </w:r>
    </w:p>
    <w:p>
      <w:pPr>
        <w:pStyle w:val="ListParagraph"/>
        <w:numPr>
          <w:ilvl w:val="0"/>
          <w:numId w:val="2"/>
        </w:numPr>
        <w:spacing w:after="80"/>
      </w:pPr>
      <w:r>
        <w:rPr>
          <w:rFonts w:ascii="Arial" w:cs="Arial" w:eastAsia="Arial" w:hAnsi="Arial"/>
        </w:rPr>
        <w:t xml:space="preserve">Framework-Entwicklung – Kernteam, verantwortlich für Code, Datenmodell, Schnittstellen.</w:t>
      </w:r>
    </w:p>
    <w:p>
      <w:pPr>
        <w:pStyle w:val="ListParagraph"/>
        <w:numPr>
          <w:ilvl w:val="0"/>
          <w:numId w:val="2"/>
        </w:numPr>
        <w:spacing w:after="80"/>
      </w:pPr>
      <w:r>
        <w:rPr>
          <w:rFonts w:ascii="Arial" w:cs="Arial" w:eastAsia="Arial" w:hAnsi="Arial"/>
        </w:rPr>
        <w:t xml:space="preserve">Inhalts-Autorinnen und -Autoren – Lehrkräfte, Fachwissenschaftlerinnen, Bildungsinstitutionen; erstellen kuratierte Inhaltsmodule.</w:t>
      </w:r>
    </w:p>
    <w:p>
      <w:pPr>
        <w:pStyle w:val="ListParagraph"/>
        <w:numPr>
          <w:ilvl w:val="0"/>
          <w:numId w:val="2"/>
        </w:numPr>
        <w:spacing w:after="80"/>
      </w:pPr>
      <w:r>
        <w:rPr>
          <w:rFonts w:ascii="Arial" w:cs="Arial" w:eastAsia="Arial" w:hAnsi="Arial"/>
        </w:rPr>
        <w:t xml:space="preserve">Lernende – arbeiten mit Inhaltsmodulen, können in dafür vorgesehenen Bereichen eigene Annotationen, Hypothesen und Zuordnungen anlegen.</w:t>
      </w:r>
    </w:p>
    <w:p>
      <w:pPr>
        <w:pStyle w:val="ListParagraph"/>
        <w:numPr>
          <w:ilvl w:val="0"/>
          <w:numId w:val="2"/>
        </w:numPr>
        <w:spacing w:after="80"/>
      </w:pPr>
      <w:r>
        <w:rPr>
          <w:rFonts w:ascii="Arial" w:cs="Arial" w:eastAsia="Arial" w:hAnsi="Arial"/>
        </w:rPr>
        <w:t xml:space="preserve">Betrachtende – konsumieren Inhalte ohne Bearbeitungsrechte.</w:t>
      </w:r>
    </w:p>
    <w:p>
      <w:pPr>
        <w:spacing w:after="120" w:line="300"/>
        <w:jc w:val="both"/>
      </w:pPr>
      <w:r>
        <w:rPr>
          <w:rFonts w:ascii="Arial" w:cs="Arial" w:eastAsia="Arial" w:hAnsi="Arial"/>
        </w:rPr>
        <w:t xml:space="preserve">Nutzergenerierte Inhalte (Annotationen von Lernenden) laufen strukturell in einer eigenen Schicht parallel zu kuratierten Inhalten und werden niemals mit diesen vermischt. Sie sind für Lehrkräfte sichtbar, können diskutiert, freigegeben oder als Diskussionsbeispiel markiert werden.</w:t>
      </w:r>
    </w:p>
    <w:p>
      <w:pPr>
        <w:spacing w:after="120" w:line="300"/>
        <w:jc w:val="both"/>
      </w:pPr>
      <w:r>
        <w:rPr>
          <w:rFonts w:ascii="Arial" w:cs="Arial" w:eastAsia="Arial" w:hAnsi="Arial"/>
        </w:rPr>
        <w:t xml:space="preserve">Versionierung betrifft nicht nur die Codebasis (Git), sondern auch Inhaltsmodule: Jede substanzielle Änderung eines kuratierten Inhalts erzeugt eine neue, zitierfähige Version. Frühere Versionen bleiben referenzierbar. Das ist Voraussetzung dafür, dass Chronotop-Inhalte in Unterrichtsmaterialien und wissenschaftlichen Arbeiten zitiert werden können.</w:t>
      </w:r>
    </w:p>
    <w:p>
      <w:pPr>
        <w:pStyle w:val="Heading1"/>
        <w:spacing w:after="180" w:before="360"/>
      </w:pPr>
      <w:r>
        <w:rPr>
          <w:rFonts w:ascii="Arial" w:cs="Arial" w:eastAsia="Arial" w:hAnsi="Arial"/>
          <w:b/>
          <w:bCs/>
          <w:sz w:val="32"/>
          <w:szCs w:val="32"/>
        </w:rPr>
        <w:t xml:space="preserve">9. Didaktisches Nutzungsmodell</w:t>
      </w:r>
    </w:p>
    <w:p>
      <w:pPr>
        <w:spacing w:after="120" w:line="300"/>
        <w:jc w:val="both"/>
      </w:pPr>
      <w:r>
        <w:rPr>
          <w:rFonts w:ascii="Arial" w:cs="Arial" w:eastAsia="Arial" w:hAnsi="Arial"/>
        </w:rPr>
        <w:t xml:space="preserve">Ein technisches Zielmodell für ein Lernwerkzeug muss an didaktischen Szenarien messbar sein. Chronotop wird an den folgenden drei Referenzszenarien entwickelt und getestet. Jedes Szenario benennt eine historische Operation, die das System unterstützen soll.</w:t>
      </w:r>
    </w:p>
    <w:p>
      <w:pPr>
        <w:pStyle w:val="Heading2"/>
        <w:spacing w:after="120" w:before="240"/>
      </w:pPr>
      <w:r>
        <w:rPr>
          <w:rFonts w:ascii="Arial" w:cs="Arial" w:eastAsia="Arial" w:hAnsi="Arial"/>
          <w:b/>
          <w:bCs/>
          <w:sz w:val="26"/>
          <w:szCs w:val="26"/>
        </w:rPr>
        <w:t xml:space="preserve">9.1 Szenario Quellenvergleich</w:t>
      </w:r>
    </w:p>
    <w:p>
      <w:pPr>
        <w:spacing w:after="120" w:line="300"/>
        <w:jc w:val="both"/>
      </w:pPr>
      <w:r>
        <w:rPr>
          <w:rFonts w:ascii="Arial" w:cs="Arial" w:eastAsia="Arial" w:hAnsi="Arial"/>
        </w:rPr>
        <w:t xml:space="preserve">Lernende bearbeiten ein Ereignis (z. B. die Ereignisse vom 9. November in der deutschen Geschichte) auf Basis mehrerer Quellen unterschiedlicher Perspektive. Chronotop muss ermöglichen, Quellen räumlich und zeitlich zu verorten, einander gegenüberzustellen, Widersprüche sichtbar zu machen und Lernende zu eigenen interpretativen Annotationen zu führen. Prüfstein: Kann eine Doppelstunde so gestaltet werden, dass am Ende jede Gruppe eine eigene, belegte Interpretation vorweisen kann?</w:t>
      </w:r>
    </w:p>
    <w:p>
      <w:pPr>
        <w:pStyle w:val="Heading2"/>
        <w:spacing w:after="120" w:before="240"/>
      </w:pPr>
      <w:r>
        <w:rPr>
          <w:rFonts w:ascii="Arial" w:cs="Arial" w:eastAsia="Arial" w:hAnsi="Arial"/>
          <w:b/>
          <w:bCs/>
          <w:sz w:val="26"/>
          <w:szCs w:val="26"/>
        </w:rPr>
        <w:t xml:space="preserve">9.2 Szenario räumliche Argumentation</w:t>
      </w:r>
    </w:p>
    <w:p>
      <w:pPr>
        <w:spacing w:after="120" w:line="300"/>
        <w:jc w:val="both"/>
      </w:pPr>
      <w:r>
        <w:rPr>
          <w:rFonts w:ascii="Arial" w:cs="Arial" w:eastAsia="Arial" w:hAnsi="Arial"/>
        </w:rPr>
        <w:t xml:space="preserve">Lernende analysieren einen historischen Prozess mit starkem räumlichen Anteil (z. B. Entwicklung des europäischen Eisenbahnnetzes, Ausbreitung der Reformation, Kolonialhandelsrouten). Chronotop muss erlauben, Bewegungen, Netze, Einflusszonen zeitlich gestaffelt darzustellen und den Zusammenhang mit Akteuren und Ereignissen sichtbar zu machen. Prüfstein: Lässt sich aus der Kartenansicht eine historische Frage ableiten, die sich nicht aus einer Zeitleiste allein ergibt?</w:t>
      </w:r>
    </w:p>
    <w:p>
      <w:pPr>
        <w:pStyle w:val="Heading2"/>
        <w:spacing w:after="120" w:before="240"/>
      </w:pPr>
      <w:r>
        <w:rPr>
          <w:rFonts w:ascii="Arial" w:cs="Arial" w:eastAsia="Arial" w:hAnsi="Arial"/>
          <w:b/>
          <w:bCs/>
          <w:sz w:val="26"/>
          <w:szCs w:val="26"/>
        </w:rPr>
        <w:t xml:space="preserve">9.3 Szenario Begriffsarbeit</w:t>
      </w:r>
    </w:p>
    <w:p>
      <w:pPr>
        <w:spacing w:after="120" w:line="300"/>
        <w:jc w:val="both"/>
      </w:pPr>
      <w:r>
        <w:rPr>
          <w:rFonts w:ascii="Arial" w:cs="Arial" w:eastAsia="Arial" w:hAnsi="Arial"/>
        </w:rPr>
        <w:t xml:space="preserve">Lernende arbeiten einen analytischen Begriff (z. B. „Revolution“) an mehreren historischen Fällen durch und schärfen ihn im Kontrast. Chronotop muss erlauben, denselben Begriff auf unterschiedliche Ereignisse anzuwenden, die Entsprechungen und Differenzen als Annotationen zu erfassen und die Unterscheidung zwischen Analyse- und Quellenbegriff sichtbar zu halten. Prüfstein: Kann am Ende die Frage beantwortet werden, was „Revolution“ im jeweiligen Fall genau bedeutet und wo der Begriff problematisch wird?</w:t>
      </w:r>
    </w:p>
    <w:p>
      <w:pPr>
        <w:spacing w:after="120" w:line="300"/>
        <w:jc w:val="both"/>
      </w:pPr>
      <w:r>
        <w:rPr>
          <w:rFonts w:ascii="Arial" w:cs="Arial" w:eastAsia="Arial" w:hAnsi="Arial"/>
        </w:rPr>
        <w:t xml:space="preserve">Diese drei Szenarien dienen als laufende Messlatte. Features, die zu keinem der Szenarien beitragen, werden aus dem Kernbereich in Erweiterungsmodule verschoben oder zurückgestellt.</w:t>
      </w:r>
    </w:p>
    <w:p>
      <w:pPr>
        <w:pStyle w:val="Heading1"/>
        <w:spacing w:after="180" w:before="360"/>
      </w:pPr>
      <w:r>
        <w:rPr>
          <w:rFonts w:ascii="Arial" w:cs="Arial" w:eastAsia="Arial" w:hAnsi="Arial"/>
          <w:b/>
          <w:bCs/>
          <w:sz w:val="32"/>
          <w:szCs w:val="32"/>
        </w:rPr>
        <w:t xml:space="preserve">10. Querschnittsanforderungen</w:t>
      </w:r>
    </w:p>
    <w:p>
      <w:pPr>
        <w:pStyle w:val="Heading2"/>
        <w:spacing w:after="120" w:before="240"/>
      </w:pPr>
      <w:r>
        <w:rPr>
          <w:rFonts w:ascii="Arial" w:cs="Arial" w:eastAsia="Arial" w:hAnsi="Arial"/>
          <w:b/>
          <w:bCs/>
          <w:sz w:val="26"/>
          <w:szCs w:val="26"/>
        </w:rPr>
        <w:t xml:space="preserve">10.1 Barrierefreiheit</w:t>
      </w:r>
    </w:p>
    <w:p>
      <w:pPr>
        <w:spacing w:after="120" w:line="300"/>
        <w:jc w:val="both"/>
      </w:pPr>
      <w:r>
        <w:rPr>
          <w:rFonts w:ascii="Arial" w:cs="Arial" w:eastAsia="Arial" w:hAnsi="Arial"/>
        </w:rPr>
        <w:t xml:space="preserve">Chronotop orientiert sich an WCAG 2.1 Level AA. Für ein Schulsystem ist das nicht verhandelbar – rechtlich, weil öffentliche Bildungseinrichtungen barrierefreie Angebote bereitstellen müssen, und didaktisch, weil jede Form von Ausschluss dem Bildungsauftrag widerspricht. Barrierefreiheit wird als Querschnittsanforderung von Anfang an mitentworfen, nicht am Ende nachgerüstet. Das betrifft Tastaturbedienbarkeit, Kontraste, Screenreader-Kompatibilität und alternative Darstellungen für Kartenansichten (z. B. strukturierte Listenansicht derselben Daten).</w:t>
      </w:r>
    </w:p>
    <w:p>
      <w:pPr>
        <w:pStyle w:val="Heading2"/>
        <w:spacing w:after="120" w:before="240"/>
      </w:pPr>
      <w:r>
        <w:rPr>
          <w:rFonts w:ascii="Arial" w:cs="Arial" w:eastAsia="Arial" w:hAnsi="Arial"/>
          <w:b/>
          <w:bCs/>
          <w:sz w:val="26"/>
          <w:szCs w:val="26"/>
        </w:rPr>
        <w:t xml:space="preserve">10.2 Mehrsprachigkeit</w:t>
      </w:r>
    </w:p>
    <w:p>
      <w:pPr>
        <w:spacing w:after="120" w:line="300"/>
        <w:jc w:val="both"/>
      </w:pPr>
      <w:r>
        <w:rPr>
          <w:rFonts w:ascii="Arial" w:cs="Arial" w:eastAsia="Arial" w:hAnsi="Arial"/>
        </w:rPr>
        <w:t xml:space="preserve">Das Framework selbst ist mehrsprachig aufgebaut (i18n in Frontend und Datenmodell). Primärsprache ist Deutsch. Inhalte können pro Feld mehrsprachig geführt werden. Begriffe, Titel, Beschreibungen und Annotationen sind übersetzbar, ohne das Objekt zu duplizieren. Das ist insbesondere für Quellenzitate wichtig, die oft in der Originalsprache und in Übersetzung parallel geführt werden müssen.</w:t>
      </w:r>
    </w:p>
    <w:p>
      <w:pPr>
        <w:pStyle w:val="Heading2"/>
        <w:spacing w:after="120" w:before="240"/>
      </w:pPr>
      <w:r>
        <w:rPr>
          <w:rFonts w:ascii="Arial" w:cs="Arial" w:eastAsia="Arial" w:hAnsi="Arial"/>
          <w:b/>
          <w:bCs/>
          <w:sz w:val="26"/>
          <w:szCs w:val="26"/>
        </w:rPr>
        <w:t xml:space="preserve">10.3 Datenschutz</w:t>
      </w:r>
    </w:p>
    <w:p>
      <w:pPr>
        <w:spacing w:after="120" w:line="300"/>
        <w:jc w:val="both"/>
      </w:pPr>
      <w:r>
        <w:rPr>
          <w:rFonts w:ascii="Arial" w:cs="Arial" w:eastAsia="Arial" w:hAnsi="Arial"/>
        </w:rPr>
        <w:t xml:space="preserve">Chronotop erhebt so wenig personenbezogene Daten wie möglich. Lernende arbeiten soweit möglich ohne Kontoanlage; wo Konten nötig sind (z. B. für nutzergenerierte Annotationen in der Schule), werden sie durch die Schule verwaltet und nicht mit personenbezogenen Profildaten angereichert. DSGVO-Konformität ist Grundvoraussetzung.</w:t>
      </w:r>
    </w:p>
    <w:p>
      <w:pPr>
        <w:pStyle w:val="Heading2"/>
        <w:spacing w:after="120" w:before="240"/>
      </w:pPr>
      <w:r>
        <w:rPr>
          <w:rFonts w:ascii="Arial" w:cs="Arial" w:eastAsia="Arial" w:hAnsi="Arial"/>
          <w:b/>
          <w:bCs/>
          <w:sz w:val="26"/>
          <w:szCs w:val="26"/>
        </w:rPr>
        <w:t xml:space="preserve">10.4 Lizenzen</w:t>
      </w:r>
    </w:p>
    <w:p>
      <w:pPr>
        <w:spacing w:after="120" w:line="300"/>
        <w:jc w:val="both"/>
      </w:pPr>
      <w:r>
        <w:rPr>
          <w:rFonts w:ascii="Arial" w:cs="Arial" w:eastAsia="Arial" w:hAnsi="Arial"/>
        </w:rPr>
        <w:t xml:space="preserve">Code und Inhalte liegen unter offenen Lizenzen. Vorgeschlagen werden:</w:t>
      </w:r>
    </w:p>
    <w:p>
      <w:pPr>
        <w:pStyle w:val="ListParagraph"/>
        <w:numPr>
          <w:ilvl w:val="0"/>
          <w:numId w:val="2"/>
        </w:numPr>
        <w:spacing w:after="80"/>
      </w:pPr>
      <w:r>
        <w:rPr>
          <w:rFonts w:ascii="Arial" w:cs="Arial" w:eastAsia="Arial" w:hAnsi="Arial"/>
        </w:rPr>
        <w:t xml:space="preserve">Code: AGPL-3.0. Die AGPL sichert, dass auch gehostete Forks die Offenheit des Projekts erhalten, und passt zum Bildungsauftrag.</w:t>
      </w:r>
    </w:p>
    <w:p>
      <w:pPr>
        <w:pStyle w:val="ListParagraph"/>
        <w:numPr>
          <w:ilvl w:val="0"/>
          <w:numId w:val="2"/>
        </w:numPr>
        <w:spacing w:after="80"/>
      </w:pPr>
      <w:r>
        <w:rPr>
          <w:rFonts w:ascii="Arial" w:cs="Arial" w:eastAsia="Arial" w:hAnsi="Arial"/>
        </w:rPr>
        <w:t xml:space="preserve">Inhalte der Referenzmodule: CC-BY-SA 4.0. Nachnutzung und Weiterbearbeitung sind erwünscht, müssen aber namentlich zitieren und unter gleicher Lizenz geteilt werden.</w:t>
      </w:r>
    </w:p>
    <w:p>
      <w:pPr>
        <w:pStyle w:val="ListParagraph"/>
        <w:numPr>
          <w:ilvl w:val="0"/>
          <w:numId w:val="2"/>
        </w:numPr>
        <w:spacing w:after="80"/>
      </w:pPr>
      <w:r>
        <w:rPr>
          <w:rFonts w:ascii="Arial" w:cs="Arial" w:eastAsia="Arial" w:hAnsi="Arial"/>
        </w:rPr>
        <w:t xml:space="preserve">Metadaten: CC0, um maximale Interoperabilität mit bibliothekarischen und wissenschaftlichen Systemen zu gewährleisten.</w:t>
      </w:r>
    </w:p>
    <w:p>
      <w:pPr>
        <w:spacing w:after="120" w:line="300"/>
        <w:jc w:val="both"/>
      </w:pPr>
      <w:r>
        <w:rPr>
          <w:rFonts w:ascii="Arial" w:cs="Arial" w:eastAsia="Arial" w:hAnsi="Arial"/>
        </w:rPr>
        <w:t xml:space="preserve">Abweichende Lizenzmodelle für einzelne Inhaltsmodule sind möglich, müssen aber explizit gekennzeichnet werden.</w:t>
      </w:r>
    </w:p>
    <w:p>
      <w:pPr>
        <w:pStyle w:val="Heading1"/>
        <w:spacing w:after="180" w:before="360"/>
      </w:pPr>
      <w:r>
        <w:rPr>
          <w:rFonts w:ascii="Arial" w:cs="Arial" w:eastAsia="Arial" w:hAnsi="Arial"/>
          <w:b/>
          <w:bCs/>
          <w:sz w:val="32"/>
          <w:szCs w:val="32"/>
        </w:rPr>
        <w:t xml:space="preserve">11. MVP-Schneise (Version 0.1)</w:t>
      </w:r>
    </w:p>
    <w:p>
      <w:pPr>
        <w:spacing w:after="120" w:line="300"/>
        <w:jc w:val="both"/>
      </w:pPr>
      <w:r>
        <w:rPr>
          <w:rFonts w:ascii="Arial" w:cs="Arial" w:eastAsia="Arial" w:hAnsi="Arial"/>
        </w:rPr>
        <w:t xml:space="preserve">Das in diesem Dokument beschriebene Zielsystem ist bewusst groß gedacht. In Vollausbau ist es ein mehrjähriges Vorhaben. Um handlungsfähig zu bleiben, definiert Version 1.1 eine konkrete MVP-Schneise: eine minimale, in sich funktionsfähige Teilmenge, mit der in einer Doppelstunde Unterricht gehalten werden kann.</w:t>
      </w:r>
    </w:p>
    <w:p>
      <w:pPr>
        <w:pStyle w:val="Heading2"/>
        <w:spacing w:after="120" w:before="240"/>
      </w:pPr>
      <w:r>
        <w:rPr>
          <w:rFonts w:ascii="Arial" w:cs="Arial" w:eastAsia="Arial" w:hAnsi="Arial"/>
          <w:b/>
          <w:bCs/>
          <w:sz w:val="26"/>
          <w:szCs w:val="26"/>
        </w:rPr>
        <w:t xml:space="preserve">11.1 Entitäten im MVP</w:t>
      </w:r>
    </w:p>
    <w:p>
      <w:pPr>
        <w:pStyle w:val="ListParagraph"/>
        <w:numPr>
          <w:ilvl w:val="0"/>
          <w:numId w:val="2"/>
        </w:numPr>
        <w:spacing w:after="80"/>
      </w:pPr>
      <w:r>
        <w:rPr>
          <w:rFonts w:ascii="Arial" w:cs="Arial" w:eastAsia="Arial" w:hAnsi="Arial"/>
        </w:rPr>
        <w:t xml:space="preserve">Ort (mit Wikidata-ID, Punktgeometrie, Name, Beschreibung).</w:t>
      </w:r>
    </w:p>
    <w:p>
      <w:pPr>
        <w:pStyle w:val="ListParagraph"/>
        <w:numPr>
          <w:ilvl w:val="0"/>
          <w:numId w:val="2"/>
        </w:numPr>
        <w:spacing w:after="80"/>
      </w:pPr>
      <w:r>
        <w:rPr>
          <w:rFonts w:ascii="Arial" w:cs="Arial" w:eastAsia="Arial" w:hAnsi="Arial"/>
        </w:rPr>
        <w:t xml:space="preserve">Zeitobjekt (Zeitpunkt oder Zeitraum, mit Unsicherheit).</w:t>
      </w:r>
    </w:p>
    <w:p>
      <w:pPr>
        <w:pStyle w:val="ListParagraph"/>
        <w:numPr>
          <w:ilvl w:val="0"/>
          <w:numId w:val="2"/>
        </w:numPr>
        <w:spacing w:after="80"/>
      </w:pPr>
      <w:r>
        <w:rPr>
          <w:rFonts w:ascii="Arial" w:cs="Arial" w:eastAsia="Arial" w:hAnsi="Arial"/>
        </w:rPr>
        <w:t xml:space="preserve">Ereignis (mit Titel, Beschreibung, Quellverweisen).</w:t>
      </w:r>
    </w:p>
    <w:p>
      <w:pPr>
        <w:pStyle w:val="ListParagraph"/>
        <w:numPr>
          <w:ilvl w:val="0"/>
          <w:numId w:val="2"/>
        </w:numPr>
        <w:spacing w:after="80"/>
      </w:pPr>
      <w:r>
        <w:rPr>
          <w:rFonts w:ascii="Arial" w:cs="Arial" w:eastAsia="Arial" w:hAnsi="Arial"/>
        </w:rPr>
        <w:t xml:space="preserve">Quelle (mit Typ, Titel, IIIF-Link oder URL, Lizenz).</w:t>
      </w:r>
    </w:p>
    <w:p>
      <w:pPr>
        <w:pStyle w:val="Heading2"/>
        <w:spacing w:after="120" w:before="240"/>
      </w:pPr>
      <w:r>
        <w:rPr>
          <w:rFonts w:ascii="Arial" w:cs="Arial" w:eastAsia="Arial" w:hAnsi="Arial"/>
          <w:b/>
          <w:bCs/>
          <w:sz w:val="26"/>
          <w:szCs w:val="26"/>
        </w:rPr>
        <w:t xml:space="preserve">11.2 Relationen im MVP</w:t>
      </w:r>
    </w:p>
    <w:p>
      <w:pPr>
        <w:pStyle w:val="ListParagraph"/>
        <w:numPr>
          <w:ilvl w:val="0"/>
          <w:numId w:val="2"/>
        </w:numPr>
        <w:spacing w:after="80"/>
      </w:pPr>
      <w:r>
        <w:rPr>
          <w:rFonts w:ascii="Arial" w:cs="Arial" w:eastAsia="Arial" w:hAnsi="Arial"/>
        </w:rPr>
        <w:t xml:space="preserve">findet statt in (Ereignis → Ort)</w:t>
      </w:r>
    </w:p>
    <w:p>
      <w:pPr>
        <w:pStyle w:val="ListParagraph"/>
        <w:numPr>
          <w:ilvl w:val="0"/>
          <w:numId w:val="2"/>
        </w:numPr>
        <w:spacing w:after="80"/>
      </w:pPr>
      <w:r>
        <w:rPr>
          <w:rFonts w:ascii="Arial" w:cs="Arial" w:eastAsia="Arial" w:hAnsi="Arial"/>
        </w:rPr>
        <w:t xml:space="preserve">findet statt zu (Ereignis → Zeitobjekt)</w:t>
      </w:r>
    </w:p>
    <w:p>
      <w:pPr>
        <w:pStyle w:val="ListParagraph"/>
        <w:numPr>
          <w:ilvl w:val="0"/>
          <w:numId w:val="2"/>
        </w:numPr>
        <w:spacing w:after="80"/>
      </w:pPr>
      <w:r>
        <w:rPr>
          <w:rFonts w:ascii="Arial" w:cs="Arial" w:eastAsia="Arial" w:hAnsi="Arial"/>
        </w:rPr>
        <w:t xml:space="preserve">wird belegt durch (Ereignis → Quelle)</w:t>
      </w:r>
    </w:p>
    <w:p>
      <w:pPr>
        <w:pStyle w:val="ListParagraph"/>
        <w:numPr>
          <w:ilvl w:val="0"/>
          <w:numId w:val="2"/>
        </w:numPr>
        <w:spacing w:after="80"/>
      </w:pPr>
      <w:r>
        <w:rPr>
          <w:rFonts w:ascii="Arial" w:cs="Arial" w:eastAsia="Arial" w:hAnsi="Arial"/>
        </w:rPr>
        <w:t xml:space="preserve">folgt auf (Ereignis → Ereignis)</w:t>
      </w:r>
    </w:p>
    <w:p>
      <w:pPr>
        <w:pStyle w:val="ListParagraph"/>
        <w:numPr>
          <w:ilvl w:val="0"/>
          <w:numId w:val="2"/>
        </w:numPr>
        <w:spacing w:after="80"/>
      </w:pPr>
      <w:r>
        <w:rPr>
          <w:rFonts w:ascii="Arial" w:cs="Arial" w:eastAsia="Arial" w:hAnsi="Arial"/>
        </w:rPr>
        <w:t xml:space="preserve">ist Teil von (Ereignis → Ereignis/Prozess)</w:t>
      </w:r>
    </w:p>
    <w:p>
      <w:pPr>
        <w:pStyle w:val="Heading2"/>
        <w:spacing w:after="120" w:before="240"/>
      </w:pPr>
      <w:r>
        <w:rPr>
          <w:rFonts w:ascii="Arial" w:cs="Arial" w:eastAsia="Arial" w:hAnsi="Arial"/>
          <w:b/>
          <w:bCs/>
          <w:sz w:val="26"/>
          <w:szCs w:val="26"/>
        </w:rPr>
        <w:t xml:space="preserve">11.3 Ansichten im MVP</w:t>
      </w:r>
    </w:p>
    <w:p>
      <w:pPr>
        <w:pStyle w:val="ListParagraph"/>
        <w:numPr>
          <w:ilvl w:val="0"/>
          <w:numId w:val="2"/>
        </w:numPr>
        <w:spacing w:after="80"/>
      </w:pPr>
      <w:r>
        <w:rPr>
          <w:rFonts w:ascii="Arial" w:cs="Arial" w:eastAsia="Arial" w:hAnsi="Arial"/>
        </w:rPr>
        <w:t xml:space="preserve">Räumliche Ansicht (MapLibre, ein Kartenstil, ein Layer für Ereignisse).</w:t>
      </w:r>
    </w:p>
    <w:p>
      <w:pPr>
        <w:pStyle w:val="ListParagraph"/>
        <w:numPr>
          <w:ilvl w:val="0"/>
          <w:numId w:val="2"/>
        </w:numPr>
        <w:spacing w:after="80"/>
      </w:pPr>
      <w:r>
        <w:rPr>
          <w:rFonts w:ascii="Arial" w:cs="Arial" w:eastAsia="Arial" w:hAnsi="Arial"/>
        </w:rPr>
        <w:t xml:space="preserve">Zeitliche Ansicht (einfache Zeitleiste mit Filter).</w:t>
      </w:r>
    </w:p>
    <w:p>
      <w:pPr>
        <w:pStyle w:val="ListParagraph"/>
        <w:numPr>
          <w:ilvl w:val="0"/>
          <w:numId w:val="2"/>
        </w:numPr>
        <w:spacing w:after="80"/>
      </w:pPr>
      <w:r>
        <w:rPr>
          <w:rFonts w:ascii="Arial" w:cs="Arial" w:eastAsia="Arial" w:hAnsi="Arial"/>
        </w:rPr>
        <w:t xml:space="preserve">Detailansicht (Ereignis-Panel mit Quellen, Karte verortet, Timeline hebt hervor).</w:t>
      </w:r>
    </w:p>
    <w:p>
      <w:pPr>
        <w:pStyle w:val="Heading2"/>
        <w:spacing w:after="120" w:before="240"/>
      </w:pPr>
      <w:r>
        <w:rPr>
          <w:rFonts w:ascii="Arial" w:cs="Arial" w:eastAsia="Arial" w:hAnsi="Arial"/>
          <w:b/>
          <w:bCs/>
          <w:sz w:val="26"/>
          <w:szCs w:val="26"/>
        </w:rPr>
        <w:t xml:space="preserve">11.4 Funktionen im MVP</w:t>
      </w:r>
    </w:p>
    <w:p>
      <w:pPr>
        <w:pStyle w:val="ListParagraph"/>
        <w:numPr>
          <w:ilvl w:val="0"/>
          <w:numId w:val="2"/>
        </w:numPr>
        <w:spacing w:after="80"/>
      </w:pPr>
      <w:r>
        <w:rPr>
          <w:rFonts w:ascii="Arial" w:cs="Arial" w:eastAsia="Arial" w:hAnsi="Arial"/>
        </w:rPr>
        <w:t xml:space="preserve">Autorenwerkzeug für Lehrkräfte: Ereignisse anlegen, Ort wählen, Zeit angeben, Quelle anhängen.</w:t>
      </w:r>
    </w:p>
    <w:p>
      <w:pPr>
        <w:pStyle w:val="ListParagraph"/>
        <w:numPr>
          <w:ilvl w:val="0"/>
          <w:numId w:val="2"/>
        </w:numPr>
        <w:spacing w:after="80"/>
      </w:pPr>
      <w:r>
        <w:rPr>
          <w:rFonts w:ascii="Arial" w:cs="Arial" w:eastAsia="Arial" w:hAnsi="Arial"/>
        </w:rPr>
        <w:t xml:space="preserve">Lernsicht: Ein Ereignis auf der Karte oder auf der Zeitleiste auswählen blendet die zugehörigen Quellen und Beschreibungen ein.</w:t>
      </w:r>
    </w:p>
    <w:p>
      <w:pPr>
        <w:pStyle w:val="ListParagraph"/>
        <w:numPr>
          <w:ilvl w:val="0"/>
          <w:numId w:val="2"/>
        </w:numPr>
        <w:spacing w:after="80"/>
      </w:pPr>
      <w:r>
        <w:rPr>
          <w:rFonts w:ascii="Arial" w:cs="Arial" w:eastAsia="Arial" w:hAnsi="Arial"/>
        </w:rPr>
        <w:t xml:space="preserve">Export: Inhalte als JSON-LD exportierbar (auch wenn nicht vollständig CIDOC-CRM-konform).</w:t>
      </w:r>
    </w:p>
    <w:p>
      <w:pPr>
        <w:pStyle w:val="Heading2"/>
        <w:spacing w:after="120" w:before="240"/>
      </w:pPr>
      <w:r>
        <w:rPr>
          <w:rFonts w:ascii="Arial" w:cs="Arial" w:eastAsia="Arial" w:hAnsi="Arial"/>
          <w:b/>
          <w:bCs/>
          <w:sz w:val="26"/>
          <w:szCs w:val="26"/>
        </w:rPr>
        <w:t xml:space="preserve">11.5 Akzeptanzkriterium MVP</w:t>
      </w:r>
    </w:p>
    <w:p>
      <w:pPr>
        <w:spacing w:after="120" w:line="300"/>
        <w:jc w:val="both"/>
      </w:pPr>
      <w:r>
        <w:rPr>
          <w:rFonts w:ascii="Arial" w:cs="Arial" w:eastAsia="Arial" w:hAnsi="Arial"/>
        </w:rPr>
        <w:t xml:space="preserve">Eine Lehrkraft kann in unter einer Stunde Vorbereitungszeit ein thematisches Inhaltsmodul mit mindestens zehn Ereignissen, Zeitangaben, Orten und zwei bis drei Quellen pro Ereignis anlegen. Eine Lerngruppe der Sekundarstufe kann das Modul in einer Doppelstunde ohne Anleitung bedienen. Die Inhalte sind zitierfähig und exportierbar.</w:t>
      </w:r>
    </w:p>
    <w:p>
      <w:pPr>
        <w:spacing w:after="120" w:line="300"/>
        <w:jc w:val="both"/>
      </w:pPr>
      <w:r>
        <w:rPr>
          <w:rFonts w:ascii="Arial" w:cs="Arial" w:eastAsia="Arial" w:hAnsi="Arial"/>
        </w:rPr>
        <w:t xml:space="preserve">Alles, was über diese Liste hinausgeht (begriffliche Netzwerkansicht, interpretative Annotationen, nutzergenerierte Inhalte, Mehrsprachigkeit auf Feldebene, natives RDF-Backend), ist Gegenstand späterer Versionen.</w:t>
      </w:r>
    </w:p>
    <w:p>
      <w:pPr>
        <w:pStyle w:val="Heading1"/>
        <w:spacing w:after="180" w:before="360"/>
      </w:pPr>
      <w:r>
        <w:rPr>
          <w:rFonts w:ascii="Arial" w:cs="Arial" w:eastAsia="Arial" w:hAnsi="Arial"/>
          <w:b/>
          <w:bCs/>
          <w:sz w:val="32"/>
          <w:szCs w:val="32"/>
        </w:rPr>
        <w:t xml:space="preserve">12. Leitentscheidung</w:t>
      </w:r>
    </w:p>
    <w:p>
      <w:pPr>
        <w:spacing w:after="120" w:line="300"/>
        <w:jc w:val="both"/>
      </w:pPr>
      <w:r>
        <w:rPr>
          <w:rFonts w:ascii="Arial" w:cs="Arial" w:eastAsia="Arial" w:hAnsi="Arial"/>
        </w:rPr>
        <w:t xml:space="preserve">Chronotop definiert sein Zieldesign früh auf Ebene von Datenmodell, Relationen, Standards und Navigationslogik. Die konkrete technische Umsetzung erfolgt auf dieser Grundlage mit einer empfohlenen, aber nicht exklusiven Software- und Codebasis: PostgreSQL/PostGIS im Backend mit dokumentiertem CIDOC-CRM-Mapping und JSON-LD-Export, MapLibre GL JS im Frontend, IIIF für Quelleneinbindung, offene Lizenzen. Abweichungen sind möglich, wenn sie funktional, didaktisch oder organisatorisch überzeugend begründet werden.</w:t>
      </w:r>
    </w:p>
    <w:p>
      <w:pPr>
        <w:spacing w:after="120" w:line="300"/>
        <w:jc w:val="both"/>
      </w:pPr>
      <w:r>
        <w:rPr>
          <w:rFonts w:ascii="Arial" w:cs="Arial" w:eastAsia="Arial" w:hAnsi="Arial"/>
        </w:rPr>
        <w:t xml:space="preserve">Der entscheidende Satz bleibt: Die Software wird nicht um eine Karte herum gebaut, sondern um ein historisches Daten- und Beziehungsmodell. Die Karte ist eine zentrale, aber nicht die einzige Visualisierungsform.</w:t>
      </w:r>
    </w:p>
    <w:p>
      <w:pPr>
        <w:pStyle w:val="Heading1"/>
        <w:spacing w:after="180" w:before="360"/>
      </w:pPr>
      <w:r>
        <w:rPr>
          <w:rFonts w:ascii="Arial" w:cs="Arial" w:eastAsia="Arial" w:hAnsi="Arial"/>
          <w:b/>
          <w:bCs/>
          <w:sz w:val="32"/>
          <w:szCs w:val="32"/>
        </w:rPr>
        <w:t xml:space="preserve">13. Offene Fragen und nächste Schritte</w:t>
      </w:r>
    </w:p>
    <w:p>
      <w:pPr>
        <w:spacing w:after="120" w:line="300"/>
        <w:jc w:val="both"/>
      </w:pPr>
      <w:r>
        <w:rPr>
          <w:rFonts w:ascii="Arial" w:cs="Arial" w:eastAsia="Arial" w:hAnsi="Arial"/>
        </w:rPr>
        <w:t xml:space="preserve">Für den Übergang von Version 1.1 zu einem ersten lauffähigen Prototyp sind folgende Punkte zu klären:</w:t>
      </w:r>
    </w:p>
    <w:p>
      <w:pPr>
        <w:pStyle w:val="ListParagraph"/>
        <w:numPr>
          <w:ilvl w:val="0"/>
          <w:numId w:val="3"/>
        </w:numPr>
        <w:spacing w:after="80"/>
      </w:pPr>
      <w:r>
        <w:rPr>
          <w:rFonts w:ascii="Arial" w:cs="Arial" w:eastAsia="Arial" w:hAnsi="Arial"/>
        </w:rPr>
        <w:t xml:space="preserve">Auswahl eines konkreten Referenzthemas für das erste Inhaltsmodul (z. B. ein lokal verankertes Thema mit starkem Raum- und Quellenbezug).</w:t>
      </w:r>
    </w:p>
    <w:p>
      <w:pPr>
        <w:pStyle w:val="ListParagraph"/>
        <w:numPr>
          <w:ilvl w:val="0"/>
          <w:numId w:val="3"/>
        </w:numPr>
        <w:spacing w:after="80"/>
      </w:pPr>
      <w:r>
        <w:rPr>
          <w:rFonts w:ascii="Arial" w:cs="Arial" w:eastAsia="Arial" w:hAnsi="Arial"/>
        </w:rPr>
        <w:t xml:space="preserve">Entwurf eines ersten JSON-LD-Schemas für die MVP-Entitäten mit expliziter Kennzeichnung der Pflichtfelder für externe Identifikatoren.</w:t>
      </w:r>
    </w:p>
    <w:p>
      <w:pPr>
        <w:pStyle w:val="ListParagraph"/>
        <w:numPr>
          <w:ilvl w:val="0"/>
          <w:numId w:val="3"/>
        </w:numPr>
        <w:spacing w:after="80"/>
      </w:pPr>
      <w:r>
        <w:rPr>
          <w:rFonts w:ascii="Arial" w:cs="Arial" w:eastAsia="Arial" w:hAnsi="Arial"/>
        </w:rPr>
        <w:t xml:space="preserve">Entscheidung über den konkreten Frontend-Stack (Framework, Komponentenbibliothek) unter dem Prinzip „einfach, wartbar, verbreitet“.</w:t>
      </w:r>
    </w:p>
    <w:p>
      <w:pPr>
        <w:pStyle w:val="ListParagraph"/>
        <w:numPr>
          <w:ilvl w:val="0"/>
          <w:numId w:val="3"/>
        </w:numPr>
        <w:spacing w:after="80"/>
      </w:pPr>
      <w:r>
        <w:rPr>
          <w:rFonts w:ascii="Arial" w:cs="Arial" w:eastAsia="Arial" w:hAnsi="Arial"/>
        </w:rPr>
        <w:t xml:space="preserve">Auswahl eines IIIF-Viewers (Mirador oder Universal Viewer) anhand eines realen Testdatensatzes.</w:t>
      </w:r>
    </w:p>
    <w:p>
      <w:pPr>
        <w:pStyle w:val="ListParagraph"/>
        <w:numPr>
          <w:ilvl w:val="0"/>
          <w:numId w:val="3"/>
        </w:numPr>
        <w:spacing w:after="80"/>
      </w:pPr>
      <w:r>
        <w:rPr>
          <w:rFonts w:ascii="Arial" w:cs="Arial" w:eastAsia="Arial" w:hAnsi="Arial"/>
        </w:rPr>
        <w:t xml:space="preserve">Definition eines Autoren-Testfalls, an dem das MVP-Akzeptanzkriterium (Abschnitt 11.5) konkret gemessen werden kann.</w:t>
      </w:r>
    </w:p>
    <w:p>
      <w:pPr>
        <w:pStyle w:val="ListParagraph"/>
        <w:numPr>
          <w:ilvl w:val="0"/>
          <w:numId w:val="3"/>
        </w:numPr>
        <w:spacing w:after="80"/>
      </w:pPr>
      <w:r>
        <w:rPr>
          <w:rFonts w:ascii="Arial" w:cs="Arial" w:eastAsia="Arial" w:hAnsi="Arial"/>
        </w:rPr>
        <w:t xml:space="preserve">Klärung der Hosting- und Betriebsfrage für die erste Testphase (schulisch, privat, universitär).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4B5"/>
      <w:sz w:val="26"/>
      <w:szCs w:val="26"/>
    </w:rPr>
  </w:style>
  <w:style w:type="paragraph" w:styleId="Heading3">
    <w:name w:val="Heading 3"/>
    <w:basedOn w:val="Normal"/>
    <w:next w:val="Normal"/>
    <w:qFormat/>
    <w:pPr>
      <w:spacing w:after="100" w:before="180"/>
      <w:outlineLvl w:val="2"/>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2026-04-15T22:14:26.974Z</dcterms:created>
  <dcterms:modified xsi:type="dcterms:W3CDTF">2026-04-15T22:14:26.975Z</dcterms:modified>
</cp:coreProperties>
</file>

<file path=docProps/custom.xml><?xml version="1.0" encoding="utf-8"?>
<Properties xmlns="http://schemas.openxmlformats.org/officeDocument/2006/custom-properties" xmlns:vt="http://schemas.openxmlformats.org/officeDocument/2006/docPropsVTypes"/>
</file>