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5: Static Analysis Issues and Fixes</w:t>
      </w:r>
    </w:p>
    <w:p>
      <w:r>
        <w:t>Target file: school_transport.py</w:t>
        <w:br/>
        <w:t>Tools used: Pylint, Bandit, and Flake8</w:t>
      </w:r>
    </w:p>
    <w:p>
      <w:pPr>
        <w:pStyle w:val="Heading1"/>
      </w:pPr>
      <w:r>
        <w:t>1. Initial Findings</w:t>
      </w:r>
    </w:p>
    <w:p>
      <w:r>
        <w:t>The original program was checked with three static analysis tools. The table summarizes the reported security, maintainability, and style issues.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Line(s)</w:t>
            </w:r>
          </w:p>
        </w:tc>
        <w:tc>
          <w:tcPr>
            <w:tcW w:type="dxa" w:w="207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Fix Approach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Shell execution</w:t>
            </w:r>
          </w:p>
        </w:tc>
        <w:tc>
          <w:tcPr>
            <w:tcW w:type="dxa" w:w="2074"/>
            <w:vAlign w:val="top"/>
          </w:tcPr>
          <w:p>
            <w:r>
              <w:t>Security - High</w:t>
            </w:r>
          </w:p>
        </w:tc>
        <w:tc>
          <w:tcPr>
            <w:tcW w:type="dxa" w:w="2074"/>
            <w:vAlign w:val="top"/>
          </w:tcPr>
          <w:p>
            <w:r>
              <w:t>24</w:t>
            </w:r>
          </w:p>
        </w:tc>
        <w:tc>
          <w:tcPr>
            <w:tcW w:type="dxa" w:w="2074"/>
            <w:vAlign w:val="top"/>
          </w:tcPr>
          <w:p>
            <w:r>
              <w:t>subprocess.run() used shell=True to execute a constructed command.</w:t>
            </w:r>
          </w:p>
        </w:tc>
        <w:tc>
          <w:tcPr>
            <w:tcW w:type="dxa" w:w="2074"/>
            <w:vAlign w:val="top"/>
          </w:tcPr>
          <w:p>
            <w:r>
              <w:t>Removed shell-based subprocess execution and used a direct dispatch message.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SQL injection risk</w:t>
            </w:r>
          </w:p>
        </w:tc>
        <w:tc>
          <w:tcPr>
            <w:tcW w:type="dxa" w:w="2074"/>
            <w:vAlign w:val="top"/>
          </w:tcPr>
          <w:p>
            <w:r>
              <w:t>Security - Medium</w:t>
            </w:r>
          </w:p>
        </w:tc>
        <w:tc>
          <w:tcPr>
            <w:tcW w:type="dxa" w:w="2074"/>
            <w:vAlign w:val="top"/>
          </w:tcPr>
          <w:p>
            <w:r>
              <w:t>9</w:t>
            </w:r>
          </w:p>
        </w:tc>
        <w:tc>
          <w:tcPr>
            <w:tcW w:type="dxa" w:w="2074"/>
            <w:vAlign w:val="top"/>
          </w:tcPr>
          <w:p>
            <w:r>
              <w:t>The INSERT query was constructed using an f-string containing values.</w:t>
            </w:r>
          </w:p>
        </w:tc>
        <w:tc>
          <w:tcPr>
            <w:tcW w:type="dxa" w:w="2074"/>
            <w:vAlign w:val="top"/>
          </w:tcPr>
          <w:p>
            <w:r>
              <w:t>Used SQL placeholders with parameterized values.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Bare exception</w:t>
            </w:r>
          </w:p>
        </w:tc>
        <w:tc>
          <w:tcPr>
            <w:tcW w:type="dxa" w:w="2074"/>
            <w:vAlign w:val="top"/>
          </w:tcPr>
          <w:p>
            <w:r>
              <w:t>Quality</w:t>
            </w:r>
          </w:p>
        </w:tc>
        <w:tc>
          <w:tcPr>
            <w:tcW w:type="dxa" w:w="2074"/>
            <w:vAlign w:val="top"/>
          </w:tcPr>
          <w:p>
            <w:r>
              <w:t>30</w:t>
            </w:r>
          </w:p>
        </w:tc>
        <w:tc>
          <w:tcPr>
            <w:tcW w:type="dxa" w:w="2074"/>
            <w:vAlign w:val="top"/>
          </w:tcPr>
          <w:p>
            <w:r>
              <w:t>A bare except could hide unexpected errors.</w:t>
            </w:r>
          </w:p>
        </w:tc>
        <w:tc>
          <w:tcPr>
            <w:tcW w:type="dxa" w:w="2074"/>
            <w:vAlign w:val="top"/>
          </w:tcPr>
          <w:p>
            <w:r>
              <w:t>Removed the broad exception handler and used explicit fee calculation.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Missing docstrings</w:t>
            </w:r>
          </w:p>
        </w:tc>
        <w:tc>
          <w:tcPr>
            <w:tcW w:type="dxa" w:w="2074"/>
            <w:vAlign w:val="top"/>
          </w:tcPr>
          <w:p>
            <w:r>
              <w:t>Maintainability</w:t>
            </w:r>
          </w:p>
        </w:tc>
        <w:tc>
          <w:tcPr>
            <w:tcW w:type="dxa" w:w="2074"/>
            <w:vAlign w:val="top"/>
          </w:tcPr>
          <w:p>
            <w:r>
              <w:t>1, 8, 13, 17, 23, 27, 34</w:t>
            </w:r>
          </w:p>
        </w:tc>
        <w:tc>
          <w:tcPr>
            <w:tcW w:type="dxa" w:w="2074"/>
            <w:vAlign w:val="top"/>
          </w:tcPr>
          <w:p>
            <w:r>
              <w:t>The module and several functions lacked docstrings.</w:t>
            </w:r>
          </w:p>
        </w:tc>
        <w:tc>
          <w:tcPr>
            <w:tcW w:type="dxa" w:w="2074"/>
            <w:vAlign w:val="top"/>
          </w:tcPr>
          <w:p>
            <w:r>
              <w:t>Added module and function docstrings.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Non-standard function names</w:t>
            </w:r>
          </w:p>
        </w:tc>
        <w:tc>
          <w:tcPr>
            <w:tcW w:type="dxa" w:w="2074"/>
            <w:vAlign w:val="top"/>
          </w:tcPr>
          <w:p>
            <w:r>
              <w:t>Style</w:t>
            </w:r>
          </w:p>
        </w:tc>
        <w:tc>
          <w:tcPr>
            <w:tcW w:type="dxa" w:w="2074"/>
            <w:vAlign w:val="top"/>
          </w:tcPr>
          <w:p>
            <w:r>
              <w:t>8, 13, 17, 23, 27</w:t>
            </w:r>
          </w:p>
        </w:tc>
        <w:tc>
          <w:tcPr>
            <w:tcW w:type="dxa" w:w="2074"/>
            <w:vAlign w:val="top"/>
          </w:tcPr>
          <w:p>
            <w:r>
              <w:t>Function names did not follow snake_case.</w:t>
            </w:r>
          </w:p>
        </w:tc>
        <w:tc>
          <w:tcPr>
            <w:tcW w:type="dxa" w:w="2074"/>
            <w:vAlign w:val="top"/>
          </w:tcPr>
          <w:p>
            <w:r>
              <w:t>Renamed functions using snake_case.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Long lines</w:t>
            </w:r>
          </w:p>
        </w:tc>
        <w:tc>
          <w:tcPr>
            <w:tcW w:type="dxa" w:w="2074"/>
            <w:vAlign w:val="top"/>
          </w:tcPr>
          <w:p>
            <w:r>
              <w:t>Style</w:t>
            </w:r>
          </w:p>
        </w:tc>
        <w:tc>
          <w:tcPr>
            <w:tcW w:type="dxa" w:w="2074"/>
            <w:vAlign w:val="top"/>
          </w:tcPr>
          <w:p>
            <w:r>
              <w:t>5, 9, 14, 29</w:t>
            </w:r>
          </w:p>
        </w:tc>
        <w:tc>
          <w:tcPr>
            <w:tcW w:type="dxa" w:w="2074"/>
            <w:vAlign w:val="top"/>
          </w:tcPr>
          <w:p>
            <w:r>
              <w:t>Several lines exceeded the configured line-length limit.</w:t>
            </w:r>
          </w:p>
        </w:tc>
        <w:tc>
          <w:tcPr>
            <w:tcW w:type="dxa" w:w="2074"/>
            <w:vAlign w:val="top"/>
          </w:tcPr>
          <w:p>
            <w:r>
              <w:t>Wrapped long statements and strings across lines.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Missing whitespace</w:t>
            </w:r>
          </w:p>
        </w:tc>
        <w:tc>
          <w:tcPr>
            <w:tcW w:type="dxa" w:w="2074"/>
            <w:vAlign w:val="top"/>
          </w:tcPr>
          <w:p>
            <w:r>
              <w:t>Style</w:t>
            </w:r>
          </w:p>
        </w:tc>
        <w:tc>
          <w:tcPr>
            <w:tcW w:type="dxa" w:w="2074"/>
            <w:vAlign w:val="top"/>
          </w:tcPr>
          <w:p>
            <w:r>
              <w:t>8</w:t>
            </w:r>
          </w:p>
        </w:tc>
        <w:tc>
          <w:tcPr>
            <w:tcW w:type="dxa" w:w="2074"/>
            <w:vAlign w:val="top"/>
          </w:tcPr>
          <w:p>
            <w:r>
              <w:t>Some commas were not followed by whitespace.</w:t>
            </w:r>
          </w:p>
        </w:tc>
        <w:tc>
          <w:tcPr>
            <w:tcW w:type="dxa" w:w="2074"/>
            <w:vAlign w:val="top"/>
          </w:tcPr>
          <w:p>
            <w:r>
              <w:t>Corrected spacing to follow Python style conventions.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Unused argument</w:t>
            </w:r>
          </w:p>
        </w:tc>
        <w:tc>
          <w:tcPr>
            <w:tcW w:type="dxa" w:w="2074"/>
            <w:vAlign w:val="top"/>
          </w:tcPr>
          <w:p>
            <w:r>
              <w:t>Quality</w:t>
            </w:r>
          </w:p>
        </w:tc>
        <w:tc>
          <w:tcPr>
            <w:tcW w:type="dxa" w:w="2074"/>
            <w:vAlign w:val="top"/>
          </w:tcPr>
          <w:p>
            <w:r>
              <w:t>13</w:t>
            </w:r>
          </w:p>
        </w:tc>
        <w:tc>
          <w:tcPr>
            <w:tcW w:type="dxa" w:w="2074"/>
            <w:vAlign w:val="top"/>
          </w:tcPr>
          <w:p>
            <w:r>
              <w:t>The driver argument was accepted but not used.</w:t>
            </w:r>
          </w:p>
        </w:tc>
        <w:tc>
          <w:tcPr>
            <w:tcW w:type="dxa" w:w="2074"/>
            <w:vAlign w:val="top"/>
          </w:tcPr>
          <w:p>
            <w:r>
              <w:t>Removed the unused argument from the function interface.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Bare assertion</w:t>
            </w:r>
          </w:p>
        </w:tc>
        <w:tc>
          <w:tcPr>
            <w:tcW w:type="dxa" w:w="2074"/>
            <w:vAlign w:val="top"/>
          </w:tcPr>
          <w:p>
            <w:r>
              <w:t>Quality</w:t>
            </w:r>
          </w:p>
        </w:tc>
        <w:tc>
          <w:tcPr>
            <w:tcW w:type="dxa" w:w="2074"/>
            <w:vAlign w:val="top"/>
          </w:tcPr>
          <w:p>
            <w:r>
              <w:t>38</w:t>
            </w:r>
          </w:p>
        </w:tc>
        <w:tc>
          <w:tcPr>
            <w:tcW w:type="dxa" w:w="2074"/>
            <w:vAlign w:val="top"/>
          </w:tcPr>
          <w:p>
            <w:r>
              <w:t>An assert statement was used for a runtime check.</w:t>
            </w:r>
          </w:p>
        </w:tc>
        <w:tc>
          <w:tcPr>
            <w:tcW w:type="dxa" w:w="2074"/>
            <w:vAlign w:val="top"/>
          </w:tcPr>
          <w:p>
            <w:r>
              <w:t>Replaced it with explicit error handling.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r>
              <w:t>Resource handling</w:t>
            </w:r>
          </w:p>
        </w:tc>
        <w:tc>
          <w:tcPr>
            <w:tcW w:type="dxa" w:w="2074"/>
            <w:vAlign w:val="top"/>
          </w:tcPr>
          <w:p>
            <w:r>
              <w:t>Quality</w:t>
            </w:r>
          </w:p>
        </w:tc>
        <w:tc>
          <w:tcPr>
            <w:tcW w:type="dxa" w:w="2074"/>
            <w:vAlign w:val="top"/>
          </w:tcPr>
          <w:p>
            <w:r>
              <w:t>18</w:t>
            </w:r>
          </w:p>
        </w:tc>
        <w:tc>
          <w:tcPr>
            <w:tcW w:type="dxa" w:w="2074"/>
            <w:vAlign w:val="top"/>
          </w:tcPr>
          <w:p>
            <w:r>
              <w:t>A file was opened without an explicit encoding or context manager.</w:t>
            </w:r>
          </w:p>
        </w:tc>
        <w:tc>
          <w:tcPr>
            <w:tcW w:type="dxa" w:w="2074"/>
            <w:vAlign w:val="top"/>
          </w:tcPr>
          <w:p>
            <w:r>
              <w:t>Used a with statement and specified UTF-8 encoding.</w:t>
            </w:r>
          </w:p>
        </w:tc>
      </w:tr>
    </w:tbl>
    <w:p>
      <w:pPr>
        <w:pStyle w:val="Heading1"/>
      </w:pPr>
      <w:r>
        <w:t>2. Final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r>
              <w:rPr>
                <w:b/>
              </w:rPr>
              <w:t>Tool</w:t>
            </w:r>
          </w:p>
        </w:tc>
        <w:tc>
          <w:tcPr>
            <w:tcW w:type="dxa" w:w="5184"/>
          </w:tcPr>
          <w:p>
            <w:r>
              <w:rPr>
                <w:b/>
              </w:rPr>
              <w:t>Final result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Pylint</w:t>
            </w:r>
          </w:p>
        </w:tc>
        <w:tc>
          <w:tcPr>
            <w:tcW w:type="dxa" w:w="5184"/>
          </w:tcPr>
          <w:p>
            <w:r>
              <w:t>10.00/10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Bandit</w:t>
            </w:r>
          </w:p>
        </w:tc>
        <w:tc>
          <w:tcPr>
            <w:tcW w:type="dxa" w:w="5184"/>
          </w:tcPr>
          <w:p>
            <w:r>
              <w:t>No issues identified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Flake8</w:t>
            </w:r>
          </w:p>
        </w:tc>
        <w:tc>
          <w:tcPr>
            <w:tcW w:type="dxa" w:w="5184"/>
          </w:tcPr>
          <w:p>
            <w:r>
              <w:t>No violations reported; flake8_after.txt was empty</w:t>
            </w:r>
          </w:p>
        </w:tc>
      </w:tr>
    </w:tbl>
    <w:p>
      <w:pPr>
        <w:pStyle w:val="Heading1"/>
      </w:pPr>
      <w:r>
        <w:t>3. Changes Implemented</w:t>
      </w:r>
    </w:p>
    <w:p>
      <w:pPr>
        <w:pStyle w:val="ListBullet"/>
      </w:pPr>
      <w:r>
        <w:t>Used parameterized SQL queries.</w:t>
      </w:r>
    </w:p>
    <w:p>
      <w:pPr>
        <w:pStyle w:val="ListBullet"/>
      </w:pPr>
      <w:r>
        <w:t>Removed shell-based subprocess execution.</w:t>
      </w:r>
    </w:p>
    <w:p>
      <w:pPr>
        <w:pStyle w:val="ListBullet"/>
      </w:pPr>
      <w:r>
        <w:t>Removed bare exception handling and the runtime assertion.</w:t>
      </w:r>
    </w:p>
    <w:p>
      <w:pPr>
        <w:pStyle w:val="ListBullet"/>
      </w:pPr>
      <w:r>
        <w:t>Applied snake_case naming and added docstrings.</w:t>
      </w:r>
    </w:p>
    <w:p>
      <w:pPr>
        <w:pStyle w:val="ListBullet"/>
      </w:pPr>
      <w:r>
        <w:t>Used context managers for database connections and file handling.</w:t>
      </w:r>
    </w:p>
    <w:p>
      <w:pPr>
        <w:pStyle w:val="ListBullet"/>
      </w:pPr>
      <w:r>
        <w:t>Specified UTF-8 encoding for text-file output.</w:t>
      </w:r>
    </w:p>
    <w:p>
      <w:pPr>
        <w:pStyle w:val="ListBullet"/>
      </w:pPr>
      <w:r>
        <w:t>Corrected line lengths, whitespace, and blank-line formatting.</w:t>
      </w:r>
    </w:p>
    <w:p>
      <w:pPr>
        <w:pStyle w:val="ListBullet"/>
      </w:pPr>
      <w:r>
        <w:t>Preserved rider registration, roster export, dispatch, and fee calculation functionality.</w:t>
      </w:r>
    </w:p>
    <w:p>
      <w:pPr>
        <w:pStyle w:val="Heading1"/>
      </w:pPr>
      <w:r>
        <w:t>4. Conclusion</w:t>
      </w:r>
    </w:p>
    <w:p>
      <w:r>
        <w:t>The revised program addresses the issues identified by the initial static analysis. The final checks report a Pylint score of 10.00/10, no Bandit issues, and no Flake8 violations.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