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0"/>
        </w:rPr>
      </w:pPr>
    </w:p>
    <w:p>
      <w:pPr>
        <w:jc w:val="center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分类分层实验答辩规则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答辩</w:t>
      </w:r>
      <w:r>
        <w:rPr>
          <w:rFonts w:hint="eastAsia" w:ascii="宋体" w:hAnsi="宋体" w:eastAsia="宋体"/>
          <w:color w:val="000000"/>
          <w:szCs w:val="21"/>
          <w:lang w:eastAsia="zh-CN"/>
        </w:rPr>
        <w:t>总</w:t>
      </w:r>
      <w:r>
        <w:rPr>
          <w:rFonts w:hint="eastAsia" w:ascii="宋体" w:hAnsi="宋体" w:eastAsia="宋体"/>
          <w:color w:val="000000"/>
          <w:szCs w:val="21"/>
        </w:rPr>
        <w:t>时间控制在3学时左右（135分钟），每组答辩时间大致为（135分钟/组数）。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 xml:space="preserve">每组答辩 </w:t>
      </w:r>
      <w:r>
        <w:rPr>
          <w:rFonts w:hint="eastAsia" w:ascii="宋体" w:hAnsi="宋体" w:eastAsia="宋体"/>
          <w:color w:val="000000"/>
          <w:szCs w:val="21"/>
        </w:rPr>
        <w:t>以22</w:t>
      </w:r>
      <w:r>
        <w:rPr>
          <w:rFonts w:ascii="宋体" w:hAnsi="宋体" w:eastAsia="宋体"/>
          <w:color w:val="000000"/>
          <w:szCs w:val="21"/>
        </w:rPr>
        <w:t xml:space="preserve"> 分钟</w:t>
      </w:r>
      <w:r>
        <w:rPr>
          <w:rFonts w:hint="eastAsia" w:ascii="宋体" w:hAnsi="宋体" w:eastAsia="宋体"/>
          <w:color w:val="000000"/>
          <w:szCs w:val="21"/>
        </w:rPr>
        <w:t>为例</w:t>
      </w:r>
      <w:r>
        <w:rPr>
          <w:rFonts w:ascii="宋体" w:hAnsi="宋体" w:eastAsia="宋体"/>
          <w:color w:val="000000"/>
          <w:szCs w:val="21"/>
        </w:rPr>
        <w:t xml:space="preserve">。正方陈述实验工作 </w:t>
      </w:r>
      <w:r>
        <w:rPr>
          <w:rFonts w:hint="eastAsia" w:ascii="宋体" w:hAnsi="宋体" w:eastAsia="宋体"/>
          <w:color w:val="000000"/>
          <w:szCs w:val="21"/>
        </w:rPr>
        <w:t>10</w:t>
      </w:r>
      <w:r>
        <w:rPr>
          <w:rFonts w:ascii="宋体" w:hAnsi="宋体" w:eastAsia="宋体"/>
          <w:color w:val="000000"/>
          <w:szCs w:val="21"/>
        </w:rPr>
        <w:t xml:space="preserve"> 分钟，反方提问讨论 10 分钟，评论</w:t>
      </w:r>
      <w:r>
        <w:rPr>
          <w:rFonts w:hint="eastAsia" w:ascii="宋体" w:hAnsi="宋体" w:eastAsia="宋体"/>
          <w:color w:val="000000"/>
          <w:szCs w:val="21"/>
        </w:rPr>
        <w:t>及轮换2</w:t>
      </w:r>
      <w:r>
        <w:rPr>
          <w:rFonts w:ascii="宋体" w:hAnsi="宋体" w:eastAsia="宋体"/>
          <w:color w:val="000000"/>
          <w:szCs w:val="21"/>
        </w:rPr>
        <w:t>分钟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/>
          <w:sz w:val="22"/>
        </w:rPr>
      </w:pPr>
      <w:r>
        <w:rPr>
          <w:rFonts w:ascii="宋体" w:hAnsi="宋体" w:eastAsia="宋体"/>
          <w:color w:val="000000"/>
          <w:szCs w:val="21"/>
        </w:rPr>
        <w:t>老师给</w:t>
      </w:r>
      <w:r>
        <w:rPr>
          <w:rFonts w:hint="eastAsia" w:ascii="宋体" w:hAnsi="宋体" w:eastAsia="宋体"/>
          <w:color w:val="000000"/>
          <w:szCs w:val="21"/>
        </w:rPr>
        <w:t>正反方</w:t>
      </w:r>
      <w:r>
        <w:rPr>
          <w:rFonts w:ascii="宋体" w:hAnsi="宋体" w:eastAsia="宋体"/>
          <w:color w:val="000000"/>
          <w:szCs w:val="21"/>
        </w:rPr>
        <w:t>打分</w:t>
      </w:r>
      <w:r>
        <w:rPr>
          <w:rFonts w:hint="eastAsia" w:ascii="宋体" w:hAnsi="宋体" w:eastAsia="宋体"/>
          <w:color w:val="000000"/>
          <w:szCs w:val="21"/>
        </w:rPr>
        <w:t>，但总评时是否计入评分各班可自行决定</w:t>
      </w:r>
      <w:r>
        <w:rPr>
          <w:rFonts w:ascii="宋体" w:hAnsi="宋体" w:eastAsia="宋体"/>
          <w:color w:val="000000"/>
          <w:szCs w:val="21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/>
          <w:sz w:val="22"/>
        </w:rPr>
      </w:pPr>
      <w:r>
        <w:rPr>
          <w:rFonts w:hint="eastAsia" w:ascii="宋体" w:hAnsi="宋体" w:eastAsia="宋体"/>
          <w:color w:val="000000"/>
          <w:sz w:val="22"/>
        </w:rPr>
        <w:t>答辩成绩评定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每个成员对每轮答辩双方队伍评分（百分制）；评分点参考</w:t>
      </w:r>
    </w:p>
    <w:tbl>
      <w:tblPr>
        <w:tblStyle w:val="7"/>
        <w:tblW w:w="7905" w:type="dxa"/>
        <w:tblInd w:w="9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正方</w:t>
            </w:r>
          </w:p>
        </w:tc>
        <w:tc>
          <w:tcPr>
            <w:tcW w:w="354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反方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具有创新意识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具有创新意识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实验研究有深度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对正方实验理解透彻，提问有深度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PPT结构层次清楚，图文安排合理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准备充分，提问切题且有广度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原理清楚，公式正确，实验方案清楚</w:t>
            </w:r>
          </w:p>
        </w:tc>
        <w:tc>
          <w:tcPr>
            <w:tcW w:w="3544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物理概念清楚，问题简洁，清楚易懂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数据记录规范，数据处理正确，结果分析合理</w:t>
            </w:r>
          </w:p>
        </w:tc>
        <w:tc>
          <w:tcPr>
            <w:tcW w:w="3544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提问切中正方关键点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结果和理论相一致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客观对待正方的优缺点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讲解PPT时思路清楚，表达简洁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答辩态度认真，全队配合默契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答辩时，对关键问题和基本概念理解正确</w:t>
            </w:r>
          </w:p>
        </w:tc>
        <w:tc>
          <w:tcPr>
            <w:tcW w:w="3544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答辩态度认真，全队配合默契</w:t>
            </w:r>
          </w:p>
        </w:tc>
        <w:tc>
          <w:tcPr>
            <w:tcW w:w="3544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hint="eastAsia"/>
              </w:rPr>
              <w:t>能言简意赅回答反方提问</w:t>
            </w:r>
          </w:p>
        </w:tc>
        <w:tc>
          <w:tcPr>
            <w:tcW w:w="3544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8"/>
        <w:ind w:left="885" w:firstLine="0" w:firstLineChars="0"/>
        <w:rPr>
          <w:rFonts w:hint="eastAsia"/>
          <w:szCs w:val="21"/>
        </w:rPr>
      </w:pP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若自己所在小组该轮为正方或反方，也需评分，但数据需填写到表格“自评表”中。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各组成绩(含正反方</w:t>
      </w:r>
      <w:r>
        <w:rPr>
          <w:szCs w:val="21"/>
        </w:rPr>
        <w:t>)</w:t>
      </w:r>
      <w:r>
        <w:rPr>
          <w:rFonts w:hint="eastAsia"/>
          <w:szCs w:val="21"/>
        </w:rPr>
        <w:t>——所有成员（除自评外）评分平均后即为各组成绩。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作为评委的成绩——成员对各组评分（含自评）的相对分布与各组平均相对分布比较，偏差越小，作为评论方的成绩越高。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总评成绩</w:t>
      </w:r>
      <w:r>
        <w:rPr>
          <w:szCs w:val="21"/>
        </w:rPr>
        <w:t>=</w:t>
      </w:r>
      <w:r>
        <w:rPr>
          <w:rFonts w:hint="eastAsia"/>
          <w:szCs w:val="21"/>
        </w:rPr>
        <w:t>（正方成绩</w:t>
      </w:r>
      <w:r>
        <w:rPr>
          <w:szCs w:val="21"/>
        </w:rPr>
        <w:t>+</w:t>
      </w:r>
      <w:r>
        <w:rPr>
          <w:rFonts w:hint="eastAsia"/>
          <w:szCs w:val="21"/>
        </w:rPr>
        <w:t>反方成绩</w:t>
      </w:r>
      <w:r>
        <w:rPr>
          <w:szCs w:val="21"/>
        </w:rPr>
        <w:t>+</w:t>
      </w:r>
      <w:r>
        <w:rPr>
          <w:rFonts w:hint="eastAsia"/>
          <w:szCs w:val="21"/>
        </w:rPr>
        <w:t>评委成绩）*组内系数；</w:t>
      </w:r>
    </w:p>
    <w:p>
      <w:pPr>
        <w:pStyle w:val="8"/>
        <w:ind w:left="885" w:firstLine="0" w:firstLineChars="0"/>
        <w:rPr>
          <w:szCs w:val="21"/>
        </w:rPr>
      </w:pPr>
      <w:r>
        <w:rPr>
          <w:rFonts w:hint="eastAsia"/>
          <w:szCs w:val="21"/>
        </w:rPr>
        <w:t>组长负责组织评定组内系数，同一组系数相乘等于</w:t>
      </w:r>
      <w:r>
        <w:rPr>
          <w:szCs w:val="21"/>
        </w:rPr>
        <w:t>1</w:t>
      </w:r>
      <w:r>
        <w:rPr>
          <w:rFonts w:hint="eastAsia"/>
          <w:szCs w:val="21"/>
        </w:rPr>
        <w:t>，如</w:t>
      </w:r>
      <w:r>
        <w:rPr>
          <w:szCs w:val="21"/>
        </w:rPr>
        <w:t>1.1*0.9*1.08*0.94=1</w:t>
      </w:r>
      <w:r>
        <w:rPr>
          <w:rFonts w:hint="eastAsia"/>
          <w:szCs w:val="21"/>
        </w:rPr>
        <w:t>。</w:t>
      </w:r>
    </w:p>
    <w:p>
      <w:pPr>
        <w:pStyle w:val="8"/>
        <w:ind w:left="885" w:firstLine="0" w:firstLineChars="0"/>
        <w:rPr>
          <w:rFonts w:hint="eastAsia"/>
          <w:szCs w:val="21"/>
        </w:rPr>
      </w:pPr>
    </w:p>
    <w:p>
      <w:pPr>
        <w:pStyle w:val="8"/>
        <w:ind w:left="360" w:firstLine="0" w:firstLineChars="0"/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jc w:val="center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教改A类期末成绩评定</w:t>
      </w:r>
    </w:p>
    <w:p>
      <w:pPr>
        <w:jc w:val="center"/>
        <w:rPr>
          <w:rFonts w:hint="eastAsia"/>
          <w:szCs w:val="21"/>
        </w:rPr>
      </w:pPr>
    </w:p>
    <w:p>
      <w:pPr>
        <w:pStyle w:val="8"/>
        <w:numPr>
          <w:ilvl w:val="1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总评成绩=报告40%+操作10%+预习考勤10%+笔试40%</w:t>
      </w:r>
    </w:p>
    <w:p>
      <w:pPr>
        <w:pStyle w:val="8"/>
        <w:numPr>
          <w:ilvl w:val="1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实验报告：</w:t>
      </w:r>
    </w:p>
    <w:p>
      <w:pPr>
        <w:pStyle w:val="8"/>
        <w:numPr>
          <w:ilvl w:val="0"/>
          <w:numId w:val="4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2个研究性实验:，从公布之日后的实验中产生</w:t>
      </w:r>
    </w:p>
    <w:p>
      <w:pPr>
        <w:pStyle w:val="8"/>
        <w:numPr>
          <w:ilvl w:val="0"/>
          <w:numId w:val="4"/>
        </w:numPr>
        <w:ind w:firstLineChars="0"/>
        <w:rPr>
          <w:bCs/>
          <w:szCs w:val="21"/>
        </w:rPr>
      </w:pPr>
      <w:r>
        <w:rPr>
          <w:rFonts w:hint="eastAsia"/>
          <w:bCs/>
          <w:color w:val="FF0000"/>
          <w:szCs w:val="21"/>
        </w:rPr>
        <w:t>研究性实验不写实验报告</w:t>
      </w:r>
      <w:r>
        <w:rPr>
          <w:rFonts w:hint="eastAsia"/>
          <w:bCs/>
          <w:szCs w:val="21"/>
        </w:rPr>
        <w:t>，满分160分.其中</w:t>
      </w:r>
    </w:p>
    <w:p>
      <w:pPr>
        <w:pStyle w:val="8"/>
        <w:numPr>
          <w:ilvl w:val="3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研究报告100分：每组交A实验和B实验两个研究报告，每个报告50分。研究报告的评分细则见《分层实验研究报告的要求》</w:t>
      </w:r>
    </w:p>
    <w:p>
      <w:pPr>
        <w:pStyle w:val="8"/>
        <w:numPr>
          <w:ilvl w:val="3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答辩60分</w:t>
      </w:r>
    </w:p>
    <w:p>
      <w:pPr>
        <w:pStyle w:val="8"/>
        <w:ind w:left="1620" w:firstLine="60" w:firstLineChars="0"/>
        <w:rPr>
          <w:bCs/>
          <w:szCs w:val="21"/>
        </w:rPr>
      </w:pPr>
      <w:r>
        <w:rPr>
          <w:rFonts w:hint="eastAsia"/>
          <w:bCs/>
          <w:szCs w:val="21"/>
        </w:rPr>
        <w:t>答辩细则见《分类分层实验答辩规则》</w:t>
      </w:r>
    </w:p>
    <w:p>
      <w:pPr>
        <w:pStyle w:val="8"/>
        <w:numPr>
          <w:ilvl w:val="1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操作考试和预习考勤：同普通班</w:t>
      </w:r>
    </w:p>
    <w:p>
      <w:pPr>
        <w:pStyle w:val="8"/>
        <w:numPr>
          <w:ilvl w:val="1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笔试：同普通班。</w:t>
      </w:r>
    </w:p>
    <w:p/>
    <w:p/>
    <w:p>
      <w:pPr>
        <w:ind w:firstLine="630" w:firstLineChars="300"/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jc w:val="center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教改A类分类分层实验研究报告要求</w:t>
      </w:r>
    </w:p>
    <w:p>
      <w:pPr>
        <w:jc w:val="center"/>
        <w:rPr>
          <w:sz w:val="24"/>
        </w:rPr>
      </w:pP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每组交正方实验和反方实验两个研究报告。</w:t>
      </w:r>
    </w:p>
    <w:p>
      <w:pPr>
        <w:numPr>
          <w:ilvl w:val="0"/>
          <w:numId w:val="5"/>
        </w:numPr>
      </w:pPr>
      <w:r>
        <w:rPr>
          <w:rFonts w:hint="eastAsia"/>
        </w:rPr>
        <w:t>研究报告的格式和内容：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引言 ：研究内容的意义、不同的方法及优缺点等。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原理和方案：</w:t>
      </w:r>
      <w:r>
        <w:rPr>
          <w:rFonts w:hint="eastAsia"/>
        </w:rPr>
        <w:t>给出实验的原理和系统方案，体现灵活运用所学知识设计实验方案的能力</w:t>
      </w:r>
    </w:p>
    <w:p>
      <w:r>
        <w:t xml:space="preserve">     3</w:t>
      </w:r>
      <w:r>
        <w:rPr>
          <w:rFonts w:hint="eastAsia"/>
        </w:rPr>
        <w:t>）</w:t>
      </w:r>
      <w:r>
        <w:rPr>
          <w:rFonts w:hint="eastAsia"/>
          <w:b/>
          <w:bCs/>
        </w:rPr>
        <w:t>数据分析及结论</w:t>
      </w:r>
      <w:r>
        <w:rPr>
          <w:rFonts w:hint="eastAsia"/>
        </w:rPr>
        <w:t>：分析数据，得出结论。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参考文献：</w:t>
      </w:r>
    </w:p>
    <w:p>
      <w:pPr>
        <w:pStyle w:val="8"/>
        <w:ind w:left="885" w:firstLine="0" w:firstLineChars="0"/>
      </w:pPr>
      <w:r>
        <w:rPr>
          <w:rFonts w:hint="eastAsia"/>
        </w:rPr>
        <w:t xml:space="preserve">不少于5篇参考文献，参考文献格式： </w:t>
      </w:r>
    </w:p>
    <w:p>
      <w:pPr>
        <w:pStyle w:val="8"/>
        <w:ind w:left="1305" w:firstLine="375" w:firstLineChars="0"/>
      </w:pPr>
      <w:r>
        <w:rPr>
          <w:rFonts w:hint="eastAsia"/>
        </w:rPr>
        <w:t>姓名，篇名，期刊，年、月、页码</w:t>
      </w:r>
    </w:p>
    <w:p>
      <w:pPr>
        <w:numPr>
          <w:ilvl w:val="0"/>
          <w:numId w:val="6"/>
        </w:numPr>
      </w:pPr>
      <w:r>
        <w:rPr>
          <w:rFonts w:hint="eastAsia"/>
        </w:rPr>
        <w:t>评分</w:t>
      </w:r>
    </w:p>
    <w:p>
      <w:pPr>
        <w:pStyle w:val="8"/>
        <w:numPr>
          <w:ilvl w:val="1"/>
          <w:numId w:val="7"/>
        </w:numPr>
        <w:ind w:firstLineChars="0"/>
      </w:pPr>
      <w:r>
        <w:rPr>
          <w:rFonts w:hint="eastAsia"/>
        </w:rPr>
        <w:t>每个报告50分，共100分</w:t>
      </w:r>
    </w:p>
    <w:p>
      <w:pPr>
        <w:pStyle w:val="8"/>
        <w:numPr>
          <w:ilvl w:val="1"/>
          <w:numId w:val="7"/>
        </w:numPr>
        <w:ind w:firstLineChars="0"/>
      </w:pPr>
      <w:r>
        <w:rPr>
          <w:rFonts w:hint="eastAsia"/>
        </w:rPr>
        <w:t>50分的分配</w:t>
      </w:r>
    </w:p>
    <w:p>
      <w:pPr>
        <w:ind w:left="630" w:firstLine="630" w:firstLineChars="300"/>
      </w:pPr>
      <w:r>
        <w:rPr>
          <w:rFonts w:hint="eastAsia"/>
        </w:rPr>
        <w:t>引言10分</w:t>
      </w:r>
    </w:p>
    <w:p>
      <w:pPr>
        <w:ind w:left="630" w:firstLine="630" w:firstLineChars="300"/>
      </w:pPr>
      <w:r>
        <w:rPr>
          <w:rFonts w:hint="eastAsia"/>
        </w:rPr>
        <w:t>原理和方案20分</w:t>
      </w:r>
    </w:p>
    <w:p>
      <w:pPr>
        <w:ind w:left="630" w:firstLine="630" w:firstLineChars="300"/>
      </w:pPr>
      <w:r>
        <w:rPr>
          <w:rFonts w:hint="eastAsia"/>
        </w:rPr>
        <w:t>数据分析及结论15分</w:t>
      </w:r>
    </w:p>
    <w:p>
      <w:pPr>
        <w:ind w:left="630" w:firstLine="630" w:firstLineChars="300"/>
      </w:pPr>
      <w:r>
        <w:rPr>
          <w:rFonts w:hint="eastAsia"/>
        </w:rPr>
        <w:t>参考文献5分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各成员报告成绩=小组报告成绩*组内系数</w:t>
      </w:r>
    </w:p>
    <w:p>
      <w:pPr>
        <w:jc w:val="center"/>
        <w:rPr>
          <w:szCs w:val="21"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D16"/>
    <w:multiLevelType w:val="multilevel"/>
    <w:tmpl w:val="06132D16"/>
    <w:lvl w:ilvl="0" w:tentative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22442"/>
    <w:multiLevelType w:val="multilevel"/>
    <w:tmpl w:val="08722442"/>
    <w:lvl w:ilvl="0" w:tentative="0">
      <w:start w:val="1"/>
      <w:numFmt w:val="decimal"/>
      <w:lvlText w:val="(%1)"/>
      <w:lvlJc w:val="left"/>
      <w:pPr>
        <w:ind w:left="8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BFF6AB0"/>
    <w:multiLevelType w:val="multilevel"/>
    <w:tmpl w:val="0BFF6A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28B9791B"/>
    <w:multiLevelType w:val="multilevel"/>
    <w:tmpl w:val="28B9791B"/>
    <w:lvl w:ilvl="0" w:tentative="0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4">
    <w:nsid w:val="3F486D14"/>
    <w:multiLevelType w:val="multilevel"/>
    <w:tmpl w:val="3F486D14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A846A5"/>
    <w:multiLevelType w:val="multilevel"/>
    <w:tmpl w:val="73A846A5"/>
    <w:lvl w:ilvl="0" w:tentative="0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7E7400A4"/>
    <w:multiLevelType w:val="multilevel"/>
    <w:tmpl w:val="7E7400A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E"/>
    <w:rsid w:val="000356C8"/>
    <w:rsid w:val="00037B5B"/>
    <w:rsid w:val="00046E2D"/>
    <w:rsid w:val="000F067C"/>
    <w:rsid w:val="000F6E2F"/>
    <w:rsid w:val="00167B21"/>
    <w:rsid w:val="001B08F4"/>
    <w:rsid w:val="001B3496"/>
    <w:rsid w:val="001E3503"/>
    <w:rsid w:val="0023629E"/>
    <w:rsid w:val="00236BB2"/>
    <w:rsid w:val="00241FB2"/>
    <w:rsid w:val="0026467C"/>
    <w:rsid w:val="002700DB"/>
    <w:rsid w:val="002C1264"/>
    <w:rsid w:val="002C455D"/>
    <w:rsid w:val="002E2271"/>
    <w:rsid w:val="002F38C9"/>
    <w:rsid w:val="003E2095"/>
    <w:rsid w:val="00413CC1"/>
    <w:rsid w:val="00425175"/>
    <w:rsid w:val="00443156"/>
    <w:rsid w:val="00451D98"/>
    <w:rsid w:val="00487796"/>
    <w:rsid w:val="004E58E8"/>
    <w:rsid w:val="0051785C"/>
    <w:rsid w:val="005229D4"/>
    <w:rsid w:val="00532E04"/>
    <w:rsid w:val="005345EA"/>
    <w:rsid w:val="005C307B"/>
    <w:rsid w:val="00602619"/>
    <w:rsid w:val="00610CFB"/>
    <w:rsid w:val="0063413F"/>
    <w:rsid w:val="006A6779"/>
    <w:rsid w:val="006B0237"/>
    <w:rsid w:val="006C1814"/>
    <w:rsid w:val="00721FB2"/>
    <w:rsid w:val="007936DD"/>
    <w:rsid w:val="008038D9"/>
    <w:rsid w:val="008136E8"/>
    <w:rsid w:val="0083782D"/>
    <w:rsid w:val="00935E84"/>
    <w:rsid w:val="00954D9A"/>
    <w:rsid w:val="009763CD"/>
    <w:rsid w:val="009B3458"/>
    <w:rsid w:val="00A861A2"/>
    <w:rsid w:val="00A935DA"/>
    <w:rsid w:val="00AC672B"/>
    <w:rsid w:val="00AF118B"/>
    <w:rsid w:val="00AF7C7D"/>
    <w:rsid w:val="00B16CB6"/>
    <w:rsid w:val="00B46530"/>
    <w:rsid w:val="00B606C0"/>
    <w:rsid w:val="00B62B64"/>
    <w:rsid w:val="00B85015"/>
    <w:rsid w:val="00BB643C"/>
    <w:rsid w:val="00BD4716"/>
    <w:rsid w:val="00BF07BE"/>
    <w:rsid w:val="00C148ED"/>
    <w:rsid w:val="00C679D7"/>
    <w:rsid w:val="00C92E26"/>
    <w:rsid w:val="00CA5A55"/>
    <w:rsid w:val="00CE2B98"/>
    <w:rsid w:val="00D039B4"/>
    <w:rsid w:val="00D2102C"/>
    <w:rsid w:val="00D46CB6"/>
    <w:rsid w:val="00D47258"/>
    <w:rsid w:val="00D47EEF"/>
    <w:rsid w:val="00D848BD"/>
    <w:rsid w:val="00DF218A"/>
    <w:rsid w:val="00E5681A"/>
    <w:rsid w:val="00EB66AC"/>
    <w:rsid w:val="00EC3961"/>
    <w:rsid w:val="00EE6787"/>
    <w:rsid w:val="00F20453"/>
    <w:rsid w:val="00F22D3E"/>
    <w:rsid w:val="00F323BD"/>
    <w:rsid w:val="55AB7830"/>
    <w:rsid w:val="6EA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2">
    <w:name w:val="fontstyle01"/>
    <w:basedOn w:val="5"/>
    <w:uiPriority w:val="0"/>
    <w:rPr>
      <w:rFonts w:hint="default" w:ascii="Calibri" w:hAnsi="Calibri"/>
      <w:color w:val="000000"/>
      <w:sz w:val="22"/>
      <w:szCs w:val="22"/>
    </w:rPr>
  </w:style>
  <w:style w:type="character" w:customStyle="1" w:styleId="13">
    <w:name w:val="fontstyle21"/>
    <w:basedOn w:val="5"/>
    <w:uiPriority w:val="0"/>
    <w:rPr>
      <w:rFonts w:hint="eastAsia" w:ascii="宋体" w:hAnsi="宋体" w:eastAsia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1322</Characters>
  <Lines>11</Lines>
  <Paragraphs>3</Paragraphs>
  <TotalTime>1889</TotalTime>
  <ScaleCrop>false</ScaleCrop>
  <LinksUpToDate>false</LinksUpToDate>
  <CharactersWithSpaces>1550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2017-11-28T12:34:00Z</dcterms:created>
  <dc:creator>Jarodan</dc:creator>
  <cp:lastModifiedBy>Administrator</cp:lastModifiedBy>
  <cp:lastPrinted>2017-12-14T01:12:00Z</cp:lastPrinted>
  <dcterms:modified xsi:type="dcterms:W3CDTF">2008-02-05T18:15:07Z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