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Calibri" w:cs="Calibri" w:eastAsia="Calibri" w:hAnsi="Calibri"/>
          <w:b/>
          <w:bCs/>
          <w:color w:val="1B3A5C"/>
          <w:sz w:val="56"/>
          <w:szCs w:val="56"/>
        </w:rPr>
        <w:t xml:space="preserve">CYBER THREAT HUNTING</w:t>
      </w:r>
    </w:p>
    <w:p>
      <w:pPr>
        <w:spacing w:before="300"/>
        <w:jc w:val="center"/>
      </w:pPr>
      <w:r>
        <w:rPr>
          <w:rFonts w:ascii="Calibri" w:cs="Calibri" w:eastAsia="Calibri" w:hAnsi="Calibri"/>
          <w:color w:val="2E75B6"/>
          <w:sz w:val="32"/>
          <w:szCs w:val="32"/>
        </w:rPr>
        <w:t xml:space="preserve">Détecter proactivement les compromissions invisibles</w:t>
      </w:r>
    </w:p>
    <w:p>
      <w:pPr>
        <w:spacing w:before="600"/>
        <w:jc w:val="center"/>
      </w:pPr>
      <w:r>
        <w:rPr>
          <w:rFonts w:ascii="Calibri" w:cs="Calibri" w:eastAsia="Calibri" w:hAnsi="Calibri"/>
          <w:color w:val="444444"/>
          <w:sz w:val="28"/>
          <w:szCs w:val="28"/>
        </w:rPr>
        <w:t xml:space="preserve">Cours complet — 37 chapitres + 6 annexes</w:t>
      </w:r>
    </w:p>
    <w:p>
      <w:pPr>
        <w:spacing w:before="200"/>
        <w:jc w:val="center"/>
      </w:pPr>
      <w:r>
        <w:rPr>
          <w:rFonts w:ascii="Calibri" w:cs="Calibri" w:eastAsia="Calibri" w:hAnsi="Calibri"/>
          <w:color w:val="666666"/>
          <w:sz w:val="24"/>
          <w:szCs w:val="24"/>
        </w:rPr>
        <w:t xml:space="preserve">Hypothèses • Télémétrie • ATT&amp;CK • Hunting queries • Pivots • Détections</w:t>
      </w:r>
    </w:p>
    <w:p>
      <w:pPr>
        <w:spacing w:before="800"/>
        <w:jc w:val="center"/>
      </w:pPr>
      <w:r>
        <w:rPr>
          <w:rFonts w:ascii="Calibri" w:cs="Calibri" w:eastAsia="Calibri" w:hAnsi="Calibri"/>
          <w:b/>
          <w:bCs/>
          <w:color w:val="8E44AD"/>
          <w:sz w:val="28"/>
          <w:szCs w:val="28"/>
        </w:rPr>
        <w:t xml:space="preserve">Fil rouge : Opération SILENT CURRENT</w:t>
      </w:r>
    </w:p>
    <w:p>
      <w:pPr>
        <w:spacing w:before="200"/>
        <w:jc w:val="center"/>
      </w:pPr>
      <w:r>
        <w:rPr>
          <w:rFonts w:ascii="Calibri" w:cs="Calibri" w:eastAsia="Calibri" w:hAnsi="Calibri"/>
          <w:color w:val="888888"/>
          <w:sz w:val="24"/>
          <w:szCs w:val="24"/>
        </w:rPr>
        <w:t xml:space="preserve">APT dormant dans une entreprise industrielle — chasse proactive de bout en bout</w:t>
      </w:r>
    </w:p>
    <w:p>
      <w:pPr>
        <w:spacing w:before="600"/>
        <w:jc w:val="center"/>
      </w:pPr>
      <w:r>
        <w:rPr>
          <w:rFonts w:ascii="Calibri" w:cs="Calibri" w:eastAsia="Calibri" w:hAnsi="Calibri"/>
          <w:color w:val="888888"/>
          <w:sz w:val="24"/>
          <w:szCs w:val="24"/>
        </w:rPr>
        <w:t xml:space="preserve">2025-2026</w:t>
      </w:r>
    </w:p>
    <w:p>
      <w:r>
        <w:br w:type="page"/>
      </w:r>
    </w:p>
    <w:p>
      <w:pPr>
        <w:spacing w:before="400" w:after="400"/>
      </w:pPr>
      <w:r>
        <w:rPr>
          <w:rFonts w:ascii="Calibri" w:cs="Calibri" w:eastAsia="Calibri" w:hAnsi="Calibri"/>
          <w:b/>
          <w:bCs/>
          <w:color w:val="1B3A5C"/>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Partie I — Fondations du Threat Hunting</w:t>
      </w:r>
    </w:p>
    <w:p>
      <w:pPr>
        <w:spacing w:after="120"/>
      </w:pPr>
      <w:r>
        <w:t xml:space="preserve">Avant de lancer la moindre requête, il faut comprendre ce qu’est le threat hunting, ce qu’il n’est pas, pourquoi il existe, et comment il s’articule avec les autres fonctions défensives. Un hunter qui ne comprend pas la différence entre une alerte SOC et une hypothèse de hunt ne produira jamais de résultat utile. Un hunter qui ne connaît pas la hiérarchie IOC/IOA/TTP cherchera au mauvais niveau. Cette partie pose le cadre.</w:t>
      </w:r>
    </w:p>
    <w:p>
      <w:r>
        <w:br w:type="page"/>
      </w:r>
    </w:p>
    <w:p>
      <w:pPr>
        <w:pStyle w:val="Heading1"/>
      </w:pPr>
      <w:r>
        <w:t xml:space="preserve">Chapitre 1 — Qu’est-ce que le threat hunting ?</w:t>
      </w:r>
    </w:p>
    <w:p>
      <w:pPr>
        <w:pStyle w:val="Heading2"/>
      </w:pPr>
      <w:r>
        <w:t xml:space="preserve">1.1 Définition</w:t>
      </w:r>
    </w:p>
    <w:p>
      <w:pPr>
        <w:spacing w:after="120"/>
      </w:pPr>
      <w:r>
        <w:t xml:space="preserve">Le threat hunting est la recherche proactive et itérative de menaces dans un système d’information, guidée par une hypothèse et non par une alerte. C’est cette définition précise qui distingue le hunting de toutes les autres disciplines défensives. Le mot clé est « proactif » : le hunter ne réagit pas à une alerte (c’est le SOC), il ne répond pas à un incident confirmé (c’est le DFIR), et il ne produit pas du renseignement sur les acteurs (c’est la CTI). Il part d’une hypothèse (« un attaquant pourrait avoir établi une persistance par tâche planifiée créée depuis PowerShell ») et cherche dans la télémétrie si cette hypothèse est confirmée ou infirmée.</w:t>
      </w:r>
    </w:p>
    <w:p>
      <w:pPr>
        <w:spacing w:after="120"/>
      </w:pPr>
      <w:r>
        <w:t xml:space="preserve">Le hunting est une discipline de recherche. Comme un chercheur scientifique, le hunter formule une hypothèse, conçoit une expérience (la requête de hunting), collecte des données (les résultats), analyse les résultats, et conclut (compromission confirmée, faux positif, ou conclusion négative utile). Et comme un chercheur, un résultat négatif est un résultat : si le hunt ne trouve rien, ce n’est pas un échec — c’est une confirmation que la menace spécifique cherchée n’est pas présente dans le SI à cet instant, avec la visibilité disponible. Cette conclusion négative alimente le modèle de sécurité.</w:t>
      </w:r>
    </w:p>
    <w:p>
      <w:pPr>
        <w:pStyle w:val="Heading2"/>
      </w:pPr>
      <w:r>
        <w:t xml:space="preserve">1.2 Ce que le hunting n’est pas</w:t>
      </w:r>
    </w:p>
    <w:p>
      <w:pPr>
        <w:spacing w:after="120"/>
      </w:pPr>
      <w:r>
        <w:t xml:space="preserve">La confusion entre le hunting et d’autres disciplines est fréquente et nuit à la pratique. Le hunting n’est pas du triage SOC : le SOC réagit à des alertes générées par des règles (SIEM, EDR). Le hunter cherche précisément ce qui échappe à ces règles. Le hunting n’est pas du DFIR : le DFIR intervient après confirmation d’un incident pour investiguer, contenir et éradiquer. Le hunter intervient avant l’incident, ou pendant l’incident pour le scoping (déterminer si l’attaquant est ailleurs dans le SI). Le hunting n’est pas de la CTI : la CTI produit du renseignement sur les acteurs, les menaces et les TTP. Le hunting consomme cette CTI pour formuler ses hypothèses. Le hunting n’est pas du detection engineering : le detection engineer crée et maintient des règles automatisées (Sigma, YARA, KQL). Le hunter produit les insights qui alimentent ces règles — un hunt réussi se transforme en règle de détection.</w:t>
      </w:r>
    </w:p>
    <w:p>
      <w:pPr>
        <w:pStyle w:val="Heading2"/>
      </w:pPr>
      <w:r>
        <w:t xml:space="preserve">1.3 La boucle hunting → détection → hunting</w:t>
      </w:r>
    </w:p>
    <w:p>
      <w:pPr>
        <w:spacing w:after="120"/>
      </w:pPr>
      <w:r>
        <w:t xml:space="preserve">Le hunting et le detection engineering fonctionnent en boucle. Le hunter identifie un pattern suspect qui n’était pas détecté par les règles existantes. Ce pattern est formalisé en règle de détection (Sigma/KQL) et intégré au SIEM/EDR. La nouvelle règle génère des alertes que le SOC traite. Mais les attaquants s’adaptent, contournent la règle, et le hunter doit de nouveau chercher les variantes non détectées. C’est un cycle perpétuel où le hunting pousse la détection vers le haut, et les gaps de détection alimentent les hypothèses de hunting.</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Opération SILENT CURRENT. Une entreprise industrielle française du secteur énergie (EnergiFrance, 3 000 employés, SI hybride Windows/Azure AD, réseau OT segmenté) reçoit un bulletin CTI de l’ANSSI signalant qu’un acteur lié à un État cible le secteur énergétique européen via : vol de credentials, abus d’identités hybrides AD/Entra ID, PowerShell discret, tâches planifiées pour la persistance, C2 via HTTPS légitime (services cloud détournés), et exfiltration progressive. Le SOC n’a aucune alerte critique. Le RSSI demande au threat hunter de vérifier : l’adversaire est-il déjà présent, latent, ou en phase de préparation ? Le hunt commence.</w:t>
      </w:r>
    </w:p>
    <w:p>
      <w:r>
        <w:br w:type="page"/>
      </w:r>
    </w:p>
    <w:p>
      <w:pPr>
        <w:pStyle w:val="Heading1"/>
      </w:pPr>
      <w:r>
        <w:t xml:space="preserve">Chapitre 2 — Pourquoi faire du hunting ?</w:t>
      </w:r>
    </w:p>
    <w:p>
      <w:pPr>
        <w:pStyle w:val="Heading2"/>
      </w:pPr>
      <w:r>
        <w:t xml:space="preserve">2.1 Réduire le dwell time</w:t>
      </w:r>
    </w:p>
    <w:p>
      <w:pPr>
        <w:spacing w:after="120"/>
      </w:pPr>
      <w:r>
        <w:t xml:space="preserve">Le dwell time est le délai entre la compromission initiale et sa détection. Les rapports de l’industrie (Mandiant M-Trends, CrowdStrike) montrent que ce délai reste élevé — médiane de plusieurs semaines, parfois des mois pour les attaquants les plus discrets. Pendant ce temps, l’attaquant explore le réseau, élève ses privilèges, identifie les données critiques, et prépare l’exfiltration ou le chiffrement. Chaque jour de dwell time supplémentaire augmente l’impact de l’incident. Le hunting est le moyen le plus efficace de réduire le dwell time car il cherche activement ce que les règles automatisées ne voient pas — les attaquants qui ont spécifiquement évité de déclencher les alertes.</w:t>
      </w:r>
    </w:p>
    <w:p>
      <w:pPr>
        <w:pStyle w:val="Heading2"/>
      </w:pPr>
      <w:r>
        <w:t xml:space="preserve">2.2 Trouver ce qui échappe aux règles</w:t>
      </w:r>
    </w:p>
    <w:p>
      <w:pPr>
        <w:spacing w:after="120"/>
      </w:pPr>
      <w:r>
        <w:t xml:space="preserve">Les règles de détection (SIEM, EDR) fonctionnent par pattern matching : elles détectent ce qu’on leur a appris à détecter. Un attaquant sophistiqué connaît les règles courantes et les contourne délibérément : il utilise des LOLBins (Living-off-the-Land Binaries — des outils légitimes du système d’exploitation pour effectuer des actions malveillantes), il obfusque son PowerShell, il fragmente son exfiltration en petits volumes noyés dans le trafic légitime. Le hunting comble ce gap en cherchant des anomalies comportementales que les règles statiques ne couvrent pas.</w:t>
      </w:r>
    </w:p>
    <w:p>
      <w:pPr>
        <w:pStyle w:val="Heading2"/>
      </w:pPr>
      <w:r>
        <w:t xml:space="preserve">2.3 Valider la couverture réelle</w:t>
      </w:r>
    </w:p>
    <w:p>
      <w:pPr>
        <w:spacing w:after="120"/>
      </w:pPr>
      <w:r>
        <w:t xml:space="preserve">Une organisation peut avoir 200 règles de détection dans son SIEM et se croire bien protégée. Mais ces règles couvrent-elles les TTP les plus pertinents pour le secteur ? Fonctionnent-elles correctement (un changement de log format peut silencieusement casser une règle) ? Le hunting est un mécanisme de validation : en cherchant activement des menaces spécifiques, le hunter découvre les angles morts de la détection — les TTP non couverts, les logs manquants, les règles cassées. Même un hunt négatif (« la menace n’est pas présente ») produit de la valeur s’il révèle un gap de visibilité (« on n’aurait pas pu voir cette menace même si elle était présente, car les logs nécessaires ne sont pas collectés »).</w:t>
      </w:r>
    </w:p>
    <w:p>
      <w:pPr>
        <w:pStyle w:val="Heading2"/>
      </w:pPr>
      <w:r>
        <w:t xml:space="preserve">2.4 Transformer la CTI en action</w:t>
      </w:r>
    </w:p>
    <w:p>
      <w:pPr>
        <w:spacing w:after="120"/>
      </w:pPr>
      <w:r>
        <w:t xml:space="preserve">La CTI produit des rapports sur les groupes d’acteurs, leurs TTP, et leurs cibles. Mais un rapport CTI dans un tiroir ne protège personne. Le hunting est le mécanisme de transformation de la CTI en action défensive concrète. Le rapport dit « le groupe X utilise des tâches planifiées pour la persistance » → le hunter formule l’hypothèse « des tâches planifiées suspectes existent-elles dans notre SI ? » → le hunter cherche dans la télémétrie → le résultat alimente soit l’IR (si compromission), soit le detection engineering (nouvelle règle), soit la couverture de visibilité (nouveau log à collecter). C’est la boucle intel-guided detection.</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 bulletin CTI de l’ANSSI est analysé. Le hunter extrait les TTP clés : T1053.005 (Scheduled Task), T1059.001 (PowerShell), T1078 (Valid Accounts), T1071.001 (Web Protocols C2), T1003.001 (LSASS Memory). Pour chaque TTP, il vérifie : (1) avons-nous la visibilité nécessaire pour le détecter ? (2) avons-nous déjà une règle de détection ? (3) cette règle est-elle fonctionnelle ? Résultat préliminaire : la télémétrie endpoint (EDR) couvre T1053/T1059/T1003. Les logs Entra ID couvrent T1078. Mais le C2 via HTTPS légitime (T1071) est un angle mort — le proxy loggue les URLs mais pas les patterns de beaconing. Le hunt va prioriser en conséquence.</w:t>
      </w:r>
    </w:p>
    <w:p>
      <w:r>
        <w:br w:type="page"/>
      </w:r>
    </w:p>
    <w:p>
      <w:pPr>
        <w:pStyle w:val="Heading1"/>
      </w:pPr>
      <w:r>
        <w:t xml:space="preserve">Chapitre 3 — IOC, IOA, TTP : ce que l’on cherche vraiment</w:t>
      </w:r>
    </w:p>
    <w:p>
      <w:pPr>
        <w:pStyle w:val="Heading2"/>
      </w:pPr>
      <w:r>
        <w:t xml:space="preserve">3.1 La Pyramid of Pain</w:t>
      </w:r>
    </w:p>
    <w:p>
      <w:pPr>
        <w:spacing w:after="120"/>
      </w:pPr>
      <w:r>
        <w:t xml:space="preserve">David Bianco’s Pyramid of Pain hiérarchise les indicateurs de menace par leur valeur défensive et le coût pour l’attaquant de les changer. À la base : les hash de fichiers (trivial à changer pour l’attaquant — une recompilation suffit). Au-dessus : les adresses IP (faciles à changer — un nouveau VPS). Puis les noms de domaine (un peu plus coûteux — enregistrement, infrastructure). Puis les artefacts réseau et host (outils, chemins, clés de registre — nécessite de modifier les outils). Puis les TTP (Tactics, Techniques, and Procedures — la manière dont l’attaquant opère, très coûteuse à changer car elle reflète ses compétences et ses habitudes). Le hunting se positionne en haut de la pyramide : il cherche des TTP et des IOA (Indicators of Attack — comportements suspects en cours), pas des IOC (Indicators of Compromise — artefacts statiques facilement changeables).</w:t>
      </w:r>
    </w:p>
    <w:p>
      <w:pPr>
        <w:pStyle w:val="Heading2"/>
      </w:pPr>
      <w:r>
        <w:t xml:space="preserve">3.2 IOC : valeur immédiate, fragilité structurelle</w:t>
      </w:r>
    </w:p>
    <w:p>
      <w:pPr>
        <w:spacing w:after="120"/>
      </w:pPr>
      <w:r>
        <w:t xml:space="preserve">Un IOC (hash, IP, domaine) est un indicateur ponctuel d’une compromission spécifique. Sa valeur est immédiate (si ce hash est présent, on est compromis) mais fragile (l’attaquant change de hash à chaque campagne). Le hunting basé uniquement sur des IOC est un scanning, pas du hunting — il ne détecte que ce qui est déjà connu. Les IOC alimentent les règles de détection automatisées (YARA, SIEM), pas les hypothèses de hunt.</w:t>
      </w:r>
    </w:p>
    <w:p>
      <w:pPr>
        <w:pStyle w:val="Heading2"/>
      </w:pPr>
      <w:r>
        <w:t xml:space="preserve">3.3 IOA : comportement suspect en cours</w:t>
      </w:r>
    </w:p>
    <w:p>
      <w:pPr>
        <w:spacing w:after="120"/>
      </w:pPr>
      <w:r>
        <w:t xml:space="preserve">Un IOA (Indicator of Attack) est un comportement suspect observé en temps réel : un processus PowerShell lancé par un document Office, un accès LSASS depuis un processus non standard, un pic de connexions SMB depuis un poste utilisateur vers des serveurs. L’IOA ne dit pas « on est compromis par le groupe X » mais « quelque chose d’anormal se passe qui ressemble à une attaque ». Le hunting travaille massivement sur les IOA car ils détectent des classes entières d’attaques (tout accès LSASS suspect, pas seulement celui de Mimikatz version 2.2.0).</w:t>
      </w:r>
    </w:p>
    <w:p>
      <w:pPr>
        <w:pStyle w:val="Heading2"/>
      </w:pPr>
      <w:r>
        <w:t xml:space="preserve">3.4 TTP : les habitudes durables de l’adversaire</w:t>
      </w:r>
    </w:p>
    <w:p>
      <w:pPr>
        <w:spacing w:after="120"/>
      </w:pPr>
      <w:r>
        <w:t xml:space="preserve">Les TTP (Tactics, Techniques, and Procedures, formalisées dans MITRE ATT&amp;CK) décrivent comment l’adversaire opère : quelles tactiques (Initial Access, Persistence, Lateral Movement...), quelles techniques spécifiques (Scheduled Task/Job, PowerShell, Pass-the-Hash...), et quelles procédures (la manière concrète dont il implémente la technique). Les TTP sont les indicateurs les plus durables car elles reflètent les compétences, les outils, et les habitudes de l’attaquant — changer de TTP demande un effort de développement significatif. Le hunting TTP-driven est le plus efficace à long terme : une hypothèse basée sur T1053.005 (Scheduled Task) détectera des centaines de variants d’attaques différentes utilisant cette technique.</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 hunter positionne sa chasse dans la pyramide. Les IOC du bulletin CTI (hash du malware, IPs C2) sont injectés dans le SIEM pour scanning automatisé — c’est le travail du SOC, pas du hunter. Le hunter se concentre sur les TTP : T1053.005 (persistence par scheduled task), T1059.001 (exécution PowerShell), T1078 (abus d’identités valides). Ces TTP seront présentes même si l’attaquant change ses IOC entre chaque campagne.</w:t>
      </w:r>
    </w:p>
    <w:p>
      <w:r>
        <w:br w:type="page"/>
      </w:r>
    </w:p>
    <w:p>
      <w:pPr>
        <w:pStyle w:val="Heading1"/>
      </w:pPr>
      <w:r>
        <w:t xml:space="preserve">Chapitre 4 — Le threat hunter dans l’écosystème défensif</w:t>
      </w:r>
    </w:p>
    <w:p>
      <w:pPr>
        <w:pStyle w:val="Heading2"/>
      </w:pPr>
      <w:r>
        <w:t xml:space="preserve">4.1 Relation avec le SOC</w:t>
      </w:r>
    </w:p>
    <w:p>
      <w:pPr>
        <w:spacing w:after="120"/>
      </w:pPr>
      <w:r>
        <w:t xml:space="preserve">Le SOC et le hunter sont complémentaires mais ne font pas le même travail. Le SOC traite les alertes générées par les règles — c’est un travail réactif, volumique, et contraint par les SLA. Le hunter travaille en dehors des alertes — c’est un travail proactif, exploratoire, et contraint par les hypothèses. La collaboration est essentielle : le SOC remonte au hunter les signaux faibles qui ne justifient pas une escalade mais qui pourraient alimenter une hypothèse (« on voit beaucoup de PowerShell échappé ces derniers temps, mais c’est probablement des admins »). Le hunter remonte au SOC les patterns découverts qui doivent devenir des règles de détection. En pratique, dans les équipes matures, les hunters sont souvent d’anciens analystes SOC L2/L3 qui ont développé une capacité d’investigation autonome.</w:t>
      </w:r>
    </w:p>
    <w:p>
      <w:pPr>
        <w:pStyle w:val="Heading2"/>
      </w:pPr>
      <w:r>
        <w:t xml:space="preserve">4.2 Relation avec la CTI</w:t>
      </w:r>
    </w:p>
    <w:p>
      <w:pPr>
        <w:spacing w:after="120"/>
      </w:pPr>
      <w:r>
        <w:t xml:space="preserve">La CTI est le fournisseur principal d’hypothèses de hunting. Le cycle CTI → hunting est le suivant : la CTI produit un rapport sur un acteur ciblant le secteur → le hunter extrait les TTP pertinents → le hunter formule des hypothèses → le hunter cherche dans la télémétrie → les résultats alimentent la CTI (confirmation d’activité, nouveaux IoC, ajustement du profil d’acteur). Le cycle inverse existe aussi : le hunter découvre un pattern suspect qui ne correspond à aucun acteur connu → la CTI recherche dans ses sources si ce pattern est documenté → éventuellement identification d’un nouvel acteur ou d’une nouvelle campagne. C’est la boucle intelligence-guided detection / detection-guided intelligence.</w:t>
      </w:r>
    </w:p>
    <w:p>
      <w:pPr>
        <w:pStyle w:val="Heading2"/>
      </w:pPr>
      <w:r>
        <w:t xml:space="preserve">4.3 Relation avec le DFIR</w:t>
      </w:r>
    </w:p>
    <w:p>
      <w:pPr>
        <w:spacing w:after="120"/>
      </w:pPr>
      <w:r>
        <w:t xml:space="preserve">Le DFIR (Digital Forensics and Incident Response) intervient quand un incident est confirmé. Mais le hunting joue un rôle critique pendant l’IR : le hunt de scoping. Quand un incident est détecté sur un poste, la première question est « l’attaquant est-il ailleurs dans le SI ? ». Le hunter passe en mode scoping : il prend les IoC et les TTP de l’incident confirmé et les cherche à travers tout le SI pour déterminer l’étendue de la compromission. C’est l’un des cas d’usage les plus fréquents et les plus urgents du hunting — détaillé au Ch.21.</w:t>
      </w:r>
    </w:p>
    <w:p>
      <w:pPr>
        <w:pStyle w:val="Heading2"/>
      </w:pPr>
      <w:r>
        <w:t xml:space="preserve">4.4 Relation avec le detection engineering et les équipes IT</w:t>
      </w:r>
    </w:p>
    <w:p>
      <w:pPr>
        <w:spacing w:after="120"/>
      </w:pPr>
      <w:r>
        <w:t xml:space="preserve">Le detection engineer est le destinataire principal des outputs du hunting. Un hunt réussi produit un pattern détectable qui doit être formalisé en règle (Sigma, KQL, SPL) pour devenir une détection automatisée. Le hunter sait chercher, le detection engineer sait industrialiser. La relation avec les équipes IT (infrastructure, réseau, identité, cloud) est souvent sous-estimée : le hunter a besoin des équipes IT pour comprendre ce qui est « normal » dans l’environnement (les baselines), pour accéder à des sources de logs supplémentaires, et pour comprendre les spécificités de l’infrastructure. Un hunter qui ne parle pas aux admins ne comprendra jamais pourquoi certains patterns apparaissent dans ses résultats.</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 hunter d’EnergiFrance s’organise. Il demande à la CTI interne de compléter le bulletin ANSSI avec des actor profiles plus détaillés. Il brieffe le SOC L2 pour remonter les signaux faibles liés à PowerShell et aux scheduled tasks. Il contacte l’équipe identité pour vérifier l’état des logs Entra ID et ADFS. Il prévient l’équipe DFIR qu’un hunt est en cours et qu’une escalade est possible. Le detection engineer est prêt à industrialiser les éventuelles découvertes. La chasse est une opération d’équipe, pas un exercice solo.</w:t>
      </w:r>
    </w:p>
    <w:p>
      <w:r>
        <w:br w:type="page"/>
      </w:r>
    </w:p>
    <w:p>
      <w:pPr>
        <w:pStyle w:val="Heading2"/>
      </w:pPr>
      <w:r>
        <w:t xml:space="preserve">Partie II — Données, visibilité et prérequis techniques</w:t>
      </w:r>
    </w:p>
    <w:p>
      <w:pPr>
        <w:spacing w:after="120"/>
      </w:pPr>
      <w:r>
        <w:t xml:space="preserve">La partie la plus différenciante du cours. Un threat hunter est aussi bon que sa télémétrie. Sans les bonnes données, il est aveugle — même la meilleure hypothèse et la meilleure requête ne produisent rien si les logs nécessaires ne sont pas collectés, ou s’ils sont présents mais inexploitables.</w:t>
      </w:r>
    </w:p>
    <w:p>
      <w:r>
        <w:br w:type="page"/>
      </w:r>
    </w:p>
    <w:p>
      <w:pPr>
        <w:pStyle w:val="Heading1"/>
      </w:pPr>
      <w:r>
        <w:t xml:space="preserve">Chapitre 5 — Minimum Viable Visibility</w:t>
      </w:r>
    </w:p>
    <w:p>
      <w:pPr>
        <w:pStyle w:val="Heading2"/>
      </w:pPr>
      <w:r>
        <w:t xml:space="preserve">5.1 Les sources essentielles</w:t>
      </w:r>
    </w:p>
    <w:p>
      <w:pPr>
        <w:spacing w:after="120"/>
      </w:pPr>
      <w:r>
        <w:t xml:space="preserve">Le Minimum Viable Visibility (MVV) est l’ensemble minimal de sources de télémétrie sans lesquelles le hunting est impossible. Ce concept est fondamental : une organisation qui ne collecte pas ces données ne peut pas chasser, quelle que soit la compétence de ses analystes.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Source</w:t>
            </w:r>
          </w:p>
        </w:tc>
        <w:tc>
          <w:tcPr>
            <w:tcW w:type="dxa" w:w="358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Ce qu’elle révèle</w:t>
            </w:r>
          </w:p>
        </w:tc>
        <w:tc>
          <w:tcPr>
            <w:tcW w:type="dxa" w:w="358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Sans elle, on ne voit pas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EDR (Endpoint Detection &amp; Response)</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Création de processus, arbres parents/enfants, accès fichiers, exécution PowerShell, accès mémoire</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Toute activité malveillante sur l’endpoint : LOLBins, accès LSASS, persistence registry</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(si pas d’EDR)</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Events 1 (process), 3 (network), 7 (DLL load), 8 (CreateRemoteThread), 11 (file), 13 (registry)</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Alternative gratuite à l’EDR, moins riche mais fonctionnelle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Logs PowerShell (4104)</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Script Block Logging — le contenu exact de chaque commande PowerShell exécutée</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Toute activité PowerShell, y compris obfusquée (le 4104 logge après désobfuscation)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Logs auth Windows (4624/4625/4769)</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Logons réussis/échoués, Kerberos ticket requests</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Mouvements latéraux, brute force, Kerberoasting, logons anormaux</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Entra ID / Azure AD sign-in logs</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Authentifications cloud, MFA, conditional access, legacy auth, impossible travel</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Compromission d’identités cloud, abus de tokens, OAuth consent phishing</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DNS logs</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Toutes les résolutions de noms de domaine</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Beaconing C2, DNS tunneling, domaines jeunes/rares/suspect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Proxy / Firewall logs</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Trafic web sortant avec URLs, user-agents, volumes</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Exfiltration, C2 via HTTPS, téléchargements suspects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Email gateway logs</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Emails entrants/sortants, pièces jointes, URLs, verdicts</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Campagnes de phishing, BEC, forwarding rules malveillantes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Netflow</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Métadonnées de flux réseau (source, destination, port, volume, durée)</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Mouvements latéraux réseau, exfiltration volumique, anomalies de trafic</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Cloud control plane (CloudTrail/Azure Activity)</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Actions API dans le cloud (création de ressources, modifications IAM, accès stockage)</w:t>
            </w:r>
          </w:p>
        </w:tc>
        <w:tc>
          <w:tcPr>
            <w:tcW w:type="dxa" w:w="35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Toute compromission cloud : persistence IAM, exfiltration S3/Blob, crypto mining</w:t>
            </w:r>
          </w:p>
        </w:tc>
      </w:tr>
    </w:tbl>
    <w:p>
      <w:pPr>
        <w:spacing w:after="80"/>
      </w:pPr>
      <w:r>
        <w:t xml:space="preserve"/>
      </w:r>
    </w:p>
    <w:p>
      <w:pPr>
        <w:spacing w:after="120"/>
      </w:pPr>
      <w:r>
        <w:t xml:space="preserve">Le MVV n’est pas un idéal théorique — c’est le strict minimum. Une organisation qui ne collecte que l’EDR et les logs Windows a une vision endpoint correcte mais est complètement aveugle sur le réseau (pas de DNS, pas de proxy = pas de détection de beaconing), sur le cloud (pas de logs Entra = pas de détection d’abus d’identité), et sur l’email (pas de gateway logs = pas de détection de phishing discret).</w:t>
      </w:r>
    </w:p>
    <w:p>
      <w:pPr>
        <w:pStyle w:val="Heading2"/>
      </w:pPr>
      <w:r>
        <w:t xml:space="preserve">5.2 L’écart entre théorie et réalité</w:t>
      </w:r>
    </w:p>
    <w:p>
      <w:pPr>
        <w:spacing w:after="120"/>
      </w:pPr>
      <w:r>
        <w:t xml:space="preserve">En théorie, chaque organisation devrait collecter toutes ces sources. En réalité, les contraintes sont nombreuses : coût de stockage (les logs DNS d’une grande organisation représentent des téraoctets), coût de licence (les EDR sont chers, les logs cloud consomment des crédits), capacité de traitement (un SIEM saturé ne traite pas les requêtes de hunting en temps raisonnable), et contraintes politiques (l’équipe réseau ne veut pas activer le DNS logging, l’équipe cloud ne veut pas donner accès à CloudTrail). Le hunter doit connaître la réalité de sa visibilité et adapter ses hunts en conséquence — un hunt bien conçu pour la télémétrie disponible vaut mieux qu’un hunt brillant sur des données qui n’existent pas.</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 hunter cartographie la visibilité d’EnergiFrance. EDR CrowdStrike : déployé sur 95% du parc IT (5% de postes legacy sans agent). Sysmon : pas déployé. PowerShell 4104 : activé sur le domaine principal mais pas sur les serveurs de la filiale. Entra ID logs : collectés dans Sentinel, rétention 90 jours. DNS : collecté via le DNS interne, centralisé dans Splunk. Proxy : Zscaler, logs dans le SIEM. Email : Proofpoint, logs disponibles. Netflow : non collecté. Cloud : Azure Activity logs dans Sentinel. OT : aucune visibilité endpoint, uniquement des captures réseau au point de segmentation IT/OT. Bilan : bonne visibilité endpoint et identity, bonne visibilité DNS/proxy, gap sur le netflow et sur l’OT, et un trou de couverture PowerShell sur la filiale.</w:t>
      </w:r>
    </w:p>
    <w:p>
      <w:r>
        <w:br w:type="page"/>
      </w:r>
    </w:p>
    <w:p>
      <w:pPr>
        <w:pStyle w:val="Heading1"/>
      </w:pPr>
      <w:r>
        <w:t xml:space="preserve">Chapitre 6 — Qualité de la télémétrie</w:t>
      </w:r>
    </w:p>
    <w:p>
      <w:pPr>
        <w:pStyle w:val="Heading2"/>
      </w:pPr>
      <w:r>
        <w:t xml:space="preserve">6.1 Logs présents vs logs exploitables</w:t>
      </w:r>
    </w:p>
    <w:p>
      <w:pPr>
        <w:spacing w:after="120"/>
      </w:pPr>
      <w:r>
        <w:t xml:space="preserve">La présence d’un log ne garantit pas son exploitabilité. Un log est exploitable s’il est normalisé (le même champ a le même nom dans toutes les sources — sinon les requêtes cross-sources échouent), horodaté avec précision (des timestamps décalés de quelques secondes rendent les corrélations temporelles impossibles), conservé suffisamment longtemps (une rétention de 7 jours ne permet pas de détecter un attaquant présent depuis 3 mois), et enrichi avec les champs critiques (un log de connexion sans le hostname source est difficilement exploitable). Le hunter doit évaluer la qualité de chaque source avant de l’utiliser.</w:t>
      </w:r>
    </w:p>
    <w:p>
      <w:pPr>
        <w:pStyle w:val="Heading2"/>
      </w:pPr>
      <w:r>
        <w:t xml:space="preserve">6.2 Baselines et références</w:t>
      </w:r>
    </w:p>
    <w:p>
      <w:pPr>
        <w:spacing w:after="120"/>
      </w:pPr>
      <w:r>
        <w:t xml:space="preserve">Pour détecter l’anormal, il faut connaître le normal. Une baseline est le profil de comportement normal d’un environnement : combien de connexions PowerShell par jour, quels processus sont habituellement lancés par les admins, quels domaines sont résolus par le DNS, quel volume de trafic sort vers Internet. Sans baseline, tout est soit suspect (paranoïa) soit acceptable (aveuglement). La construction de baselines est un investissement initial significatif mais indispensable. Attention : les baselines doivent être maintenues car le normal évolue (déploiement d’un nouvel outil, changement de fournisseur, campagne marketing, période de crise).</w:t>
      </w:r>
    </w:p>
    <w:p>
      <w:r>
        <w:br w:type="page"/>
      </w:r>
    </w:p>
    <w:p>
      <w:pPr>
        <w:pStyle w:val="Heading1"/>
      </w:pPr>
      <w:r>
        <w:t xml:space="preserve">Chapitre 7 — Ce qu’on ne verra jamais sans la bonne donnée</w:t>
      </w:r>
    </w:p>
    <w:p>
      <w:pPr>
        <w:spacing w:after="120"/>
      </w:pPr>
      <w:r>
        <w:t xml:space="preserve">Ce chapitre est un exercice de lucidité : pour chaque type d’attaque, quelle source est indispensable et que se passe-t-il si elle manque.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Attaque</w:t>
            </w:r>
          </w:p>
        </w:tc>
        <w:tc>
          <w:tcPr>
            <w:tcW w:type="dxa" w:w="26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Source indispensable</w:t>
            </w:r>
          </w:p>
        </w:tc>
        <w:tc>
          <w:tcPr>
            <w:tcW w:type="dxa" w:w="41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Si la source manque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Vol de token OAuth / session hijack</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Logs Entra ID sign-in + audit</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Invisible — l’attaquant utilise un token légitime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Beaconing C2 via HTTPS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DNS logs + proxy logs avec timing</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Invisible — le trafic ressemble à du web légitime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Exécution en mémoire (fileless)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EDR avec mémoire monitoring</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Invisible — rien n’est écrit sur disque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Mouvement latéral RDP/SMB</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Logs auth 4624 + netflow</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Invisible — les connexions ressemblent à de l’admin légitime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Exfiltration lente via DNS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DNS query logs avec volume</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Invisible — les requêtes DNS semblent normales individuellement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Persistence cloud IAM</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CloudTrail / Azure Activity</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Invisible — le rôle IAM créé persiste indéfiniment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Kerberoasting</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Event 4769 + corrélation comptes de service</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Invisible — la requête Kerberos est techniquement légitime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Scheduled task via PowerShell</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1 / EDR + 4104 + 4698</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Partiellement visible — la task existe mais l’origine est inconnue</w:t>
            </w:r>
          </w:p>
        </w:tc>
      </w:tr>
    </w:tbl>
    <w:p>
      <w:pPr>
        <w:spacing w:after="80"/>
      </w:pPr>
      <w:r>
        <w:t xml:space="preserve"/>
      </w:r>
    </w:p>
    <w:p>
      <w:pPr>
        <w:spacing w:after="120"/>
      </w:pPr>
      <w:r>
        <w:t xml:space="preserve">Ce tableau n’est pas exhaustif mais il illustre le principe fondamental : chaque angle mort de télémétrie est une classe entière d’attaques que le hunter ne pourra jamais détecter, quelle que soit sa compétence.</w:t>
      </w:r>
    </w:p>
    <w:p>
      <w:r>
        <w:br w:type="page"/>
      </w:r>
    </w:p>
    <w:p>
      <w:pPr>
        <w:pStyle w:val="Heading1"/>
      </w:pPr>
      <w:r>
        <w:t xml:space="preserve">Chapitre 8 — Les surfaces de chasse modernes</w:t>
      </w:r>
    </w:p>
    <w:p>
      <w:pPr>
        <w:pStyle w:val="Heading2"/>
      </w:pPr>
      <w:r>
        <w:t xml:space="preserve">8.1 Les 7 surfaces</w:t>
      </w:r>
    </w:p>
    <w:p>
      <w:pPr>
        <w:spacing w:after="120"/>
      </w:pPr>
      <w:r>
        <w:t xml:space="preserve">Le hunting moderne couvre 7 surfaces distinctes, chacune avec ses spécificités. L’endpoint (postes de travail, serveurs) est la surface historique du hunting — processus, fichiers, registre, mémoire. L’identity (Active Directory, Entra ID, ADFS, OAuth) est la surface la plus critique en 2025 — les attaques identity-centric (vol de tokens, abus d’OAuth, MFA fatigue) sont souvent plus dangereuses que les attaques endpoint. L’email est le vecteur d’accès initial n°1 (phishing, BEC). Le réseau (DNS, proxy, netflow) révèle le C2 et l’exfiltration. Le cloud (IaaS, PaaS, SaaS) est une surface en expansion rapide avec des TTP spécifiques. Le SaaS (M365, Google Workspace, Slack, Salesforce) est souvent le point de concentration des données critiques. L’OT/ICS est une surface à part avec des contraintes spécifiques (détaillé au Ch.23).</w:t>
      </w:r>
    </w:p>
    <w:p>
      <w:pPr>
        <w:pStyle w:val="Heading2"/>
      </w:pPr>
      <w:r>
        <w:t xml:space="preserve">8.2 La convergence des surfaces</w:t>
      </w:r>
    </w:p>
    <w:p>
      <w:pPr>
        <w:spacing w:after="120"/>
      </w:pPr>
      <w:r>
        <w:t xml:space="preserve">Une attaque moderne traverse plusieurs surfaces : phishing email → exécution endpoint → vol de credentials identity → mouvement latéral réseau → accès cloud → exfiltration. Le hunter qui ne regarde qu’une seule surface ne voit qu’un fragment de l’attaque. Le hunting cross-surface (corréler un événement endpoint avec un logon identity et un flux réseau) est la marque du hunter avancé.</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 hunter définit sa stratégie par surface. Endpoint : chercher scheduled tasks suspectes, PowerShell obfusqué, accès LSASS. Identity : chercher logons anormaux, legacy auth, OAuth grants suspects, impossible travel. Réseau : chercher beaconing DNS, domaines jeunes/rares dans les logs proxy. Email : chercher campagnes de phishing ciblant EnergiFrance dans les 90 derniers jours. Cloud : chercher modifications IAM inhabituelles, accès cross-region. La chasse sera multi-surface dès le départ.</w:t>
      </w:r>
    </w:p>
    <w:p>
      <w:r>
        <w:br w:type="page"/>
      </w:r>
    </w:p>
    <w:p>
      <w:pPr>
        <w:pStyle w:val="Heading2"/>
      </w:pPr>
      <w:r>
        <w:t xml:space="preserve">Partie III — Méthodologie de hunt</w:t>
      </w:r>
    </w:p>
    <w:p>
      <w:pPr>
        <w:spacing w:after="120"/>
      </w:pPr>
      <w:r>
        <w:t xml:space="preserve">La méthode avant les outils. Cette partie enseigne comment formuler une hypothèse, structurer un hunt de bout en bout, distinguer le bruit de l’anomalie, et prioriser les hunts. Elle intègre également les pièges classiques du hunter — car connaître les erreurs avant de commencer à chasser est la meilleure protection contre elles.</w:t>
      </w:r>
    </w:p>
    <w:p>
      <w:r>
        <w:br w:type="page"/>
      </w:r>
    </w:p>
    <w:p>
      <w:pPr>
        <w:pStyle w:val="Heading1"/>
      </w:pPr>
      <w:r>
        <w:t xml:space="preserve">Chapitre 9 — Le hunt basé sur hypothèse</w:t>
      </w:r>
    </w:p>
    <w:p>
      <w:pPr>
        <w:pStyle w:val="Heading2"/>
      </w:pPr>
      <w:r>
        <w:t xml:space="preserve">9.1 Qu’est-ce qu’une bonne hypothèse</w:t>
      </w:r>
    </w:p>
    <w:p>
      <w:pPr>
        <w:spacing w:after="120"/>
      </w:pPr>
      <w:r>
        <w:t xml:space="preserve">Une hypothèse de hunt est une affirmation testable sur la présence ou l’activité d’un adversaire dans le SI. Elle est « bonne » si elle est spécifique (pas « il y a peut-être un attaquant » mais « un attaquant pourrait avoir établi une persistance via scheduled task créée par PowerShell dans les 90 derniers jours »), testable (il existe des sources de données permettant de la confirmer ou l’infirmer), et pertinente (liée à une menace réaliste pour l’organisation — un hunt sur les attaques Kubernetes est inutile si l’organisation n’a pas de cluster Kubernetes).</w:t>
      </w:r>
    </w:p>
    <w:p>
      <w:pPr>
        <w:spacing w:after="120"/>
      </w:pPr>
      <w:r>
        <w:t xml:space="preserve">Les sources d’hypothèses sont multiples. Un rapport CTI signalant un acteur ciblant le secteur (hypothèse CTI-driven). Une technique ATT&amp;CK non couverte par les règles existantes (hypothèse gap-driven). Un signal faible remonté par le SOC (hypothèse detection-driven). Un changement dans l’environnement (déploiement d’un nouveau VPN, acquisition d’une filiale — hypothèse exposure-driven). Chaque source produit des hypothèses de nature différente, avec des méthodes de test différentes.</w:t>
      </w:r>
    </w:p>
    <w:p>
      <w:pPr>
        <w:spacing w:after="120"/>
      </w:pPr>
      <w:r>
        <w:t xml:space="preserve">Exemples d’hypothèses bien formulées : « Un attaquant pourrait avoir établi une persistance par tâche planifiée créée depuis PowerShell (T1053.005 / T1059.001) ». « Un acteur ciblant notre secteur pourrait abuser des identités hybrides AD/Entra sans générer de bruit endpoint (T1078) ». « Un infostealer pourrait avoir collecté des credentials d’employés via phishing et ces credentials pourraient être utilisés pour un accès initial (T1566 → T1078) ».</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 hunter formule 5 hypothèses à partir du bulletin CTI. H1 : persistance par scheduled task depuis PowerShell. H2 : abus d’identités hybrides (logon cloud anormal). H3 : C2 via HTTPS légitime (beaconing dans le proxy). H4 : accès LSASS pour vol de credentials. H5 : exfiltration progressive via DNS ou HTTPS. Chaque hypothèse est formalisée dans un hunt ticket avec : technique ATT&amp;CK, sources nécessaires, requête initiale prévue, résultat attendu si positif.</w:t>
      </w:r>
    </w:p>
    <w:p>
      <w:r>
        <w:br w:type="page"/>
      </w:r>
    </w:p>
    <w:p>
      <w:pPr>
        <w:pStyle w:val="Heading1"/>
      </w:pPr>
      <w:r>
        <w:t xml:space="preserve">Chapitre 10 — Le workflow complet d’un hunt</w:t>
      </w:r>
    </w:p>
    <w:p>
      <w:pPr>
        <w:pStyle w:val="Heading2"/>
      </w:pPr>
      <w:r>
        <w:t xml:space="preserve">10.1 Les 9 étapes</w:t>
      </w:r>
    </w:p>
    <w:p>
      <w:pPr>
        <w:spacing w:after="120"/>
      </w:pPr>
      <w:r>
        <w:t xml:space="preserve">Chaque hunt suit un workflow structuré en 9 étapes. (1) Question de départ : quel comportement adverse cherche-t-on ? (2) Formulation de l’hypothèse : affirmation testable, technique ATT&amp;CK, scope temporel. (3) Sélection des sources : quelles données interroger (EDR, identity, DNS...). (4) Construction de la requête initiale : écriture de la première requête (KQL, SPL, EQL) ciblant l’hypothèse. (5) Exécution et tri des résultats : élimination du bruit, identification des candidats suspects. (6) Pivots : à partir d’un résultat suspect, explorer les données connexes (de l’host au user, du user au réseau, du processus au fichier). (7) Validation ou invalidation : le résultat est-il une vraie compromission, un faux positif explicable, ou un artefact ? (8) Documentation : consigner la méthode, les résultats, la conclusion, et le niveau de confiance. (9) Suite : escalade IR si compromission, création de règle si pattern détectable, recommandation de visibilité si gap, ou conclusion négative documentée.</w:t>
      </w:r>
    </w:p>
    <w:p>
      <w:pPr>
        <w:spacing w:after="120"/>
      </w:pPr>
      <w:r>
        <w:t xml:space="preserve">Chaque étape produit un livrable qui alimente la suivante. La documentation est la plus sous-estimée : un hunt non documenté est un hunt perdu — personne ne pourra le reproduire, le challenger, ou l’industrialiser.</w:t>
      </w:r>
    </w:p>
    <w:p>
      <w:r>
        <w:br w:type="page"/>
      </w:r>
    </w:p>
    <w:p>
      <w:pPr>
        <w:pStyle w:val="Heading1"/>
      </w:pPr>
      <w:r>
        <w:t xml:space="preserve">Chapitre 11 — Baselines, anomalies et bruit</w:t>
      </w:r>
    </w:p>
    <w:p>
      <w:pPr>
        <w:pStyle w:val="Heading2"/>
      </w:pPr>
      <w:r>
        <w:t xml:space="preserve">11.1 Le normal comme référence</w:t>
      </w:r>
    </w:p>
    <w:p>
      <w:pPr>
        <w:spacing w:after="120"/>
      </w:pPr>
      <w:r>
        <w:t xml:space="preserve">Le hunting est fondamentalement un exercice de détection d’anomalies. Mais pour détecter l’anormal, il faut d’abord définir le normal. Une baseline est le profil statistique du comportement normal d’un environnement : combien de processus PowerShell par jour et par qui, quels executables sont lancés par les comptes de service, quel volume de DNS queries par heure, quels domaines sont résolus habituellement. Sans baseline, le hunter est noyé dans le bruit : chaque processus PowerShell semble suspect, chaque connexion SMB semble être un mouvement latéral.</w:t>
      </w:r>
    </w:p>
    <w:p>
      <w:pPr>
        <w:pStyle w:val="Heading2"/>
      </w:pPr>
      <w:r>
        <w:t xml:space="preserve">11.2 Rareté vs malveillance</w:t>
      </w:r>
    </w:p>
    <w:p>
      <w:pPr>
        <w:spacing w:after="120"/>
      </w:pPr>
      <w:r>
        <w:t xml:space="preserve">C’est l’erreur n°1 du hunter débutant : confondre rareté et malveillance. Un processus rare n’est pas forcément malveillant — ça peut être un admin qui lance un outil de maintenance trimestriel, un script de backup qui tourne le premier dimanche du mois, ou un logiciel métier utilisé par un seul département. Inversement, un processus courant peut être malveillant — les LOLBins (rundll32, mshta, regsvr32, certutil) sont des outils légitimes du système d’exploitation utilisés quotidiennement par les admins ET par les attaquants. La rareté est un signal à investiguer, pas une conclusion. Le contexte (qui a lancé le processus, depuis quel host, à quelle heure, avec quels arguments) détermine si c’est suspect ou bénin.</w:t>
      </w:r>
    </w:p>
    <w:p>
      <w:pPr>
        <w:pStyle w:val="Heading2"/>
      </w:pPr>
      <w:r>
        <w:t xml:space="preserve">11.3 Le bruit opérationnel</w:t>
      </w:r>
    </w:p>
    <w:p>
      <w:pPr>
        <w:spacing w:after="120"/>
      </w:pPr>
      <w:r>
        <w:t xml:space="preserve">Les comptes de service, les outils d’administration (SCCM, Intune, scripts de GPO), les logiciels de monitoring (agents Zabbix, Datadog), et les opérations de maintenance génèrent un volume massif d’événements qui ressemblent à des activités malveillantes. Un déploiement SCCM crée des scheduled tasks sur des centaines de machines. Un scan Nessus génère des milliers d’échecs de connexion. Un script de GPO lance PowerShell sur tous les postes au login. Le hunter doit connaître ces sources de bruit et les exclure proprement de ses requêtes — sans tuer le signal faible (une exclusion trop large peut masquer une activité malveillante qui ressemble à de l’administration légitime).</w:t>
      </w:r>
    </w:p>
    <w:p>
      <w:pPr>
        <w:pBdr>
          <w:left w:val="single" w:color="E67E22" w:sz="6" w:space="8"/>
        </w:pBdr>
        <w:spacing w:before="200" w:after="80"/>
      </w:pPr>
      <w:r>
        <w:rPr>
          <w:rFonts w:ascii="Calibri" w:cs="Calibri" w:eastAsia="Calibri" w:hAnsi="Calibri"/>
          <w:b/>
          <w:bCs/>
          <w:color w:val="E67E22"/>
          <w:sz w:val="22"/>
          <w:szCs w:val="22"/>
        </w:rPr>
        <w:t xml:space="preserve">⚠️ Attention</w:t>
      </w:r>
    </w:p>
    <w:p>
      <w:pPr>
        <w:pBdr>
          <w:left w:val="single" w:color="E67E22" w:sz="6" w:space="8"/>
        </w:pBdr>
        <w:spacing w:after="200"/>
      </w:pPr>
      <w:r>
        <w:rPr>
          <w:rFonts w:ascii="Calibri" w:cs="Calibri" w:eastAsia="Calibri" w:hAnsi="Calibri"/>
          <w:sz w:val="21"/>
          <w:szCs w:val="21"/>
        </w:rPr>
        <w:t xml:space="preserve">Piège classique : les exclusions qui tuent le signal — Un hunter qui exclut tout ce qui vient de « comptes de service » ou de « serveurs d’administration » se prive de détecter les attaquants qui compromettent précisément ces comptes et ces serveurs (parce que c’est là que les privilèges sont les plus élevés). L’exclusion doit être chirurgicale : exclure un compte de service spécifique sur un host spécifique pour une action spécifique, pas « tout ce qui vient du compte SCCM ».</w:t>
      </w:r>
    </w:p>
    <w:p>
      <w:r>
        <w:br w:type="page"/>
      </w:r>
    </w:p>
    <w:p>
      <w:pPr>
        <w:pStyle w:val="Heading1"/>
      </w:pPr>
      <w:r>
        <w:t xml:space="preserve">Chapitre 12 — Priorisation des hunts et pièges du hunter</w:t>
      </w:r>
    </w:p>
    <w:p>
      <w:pPr>
        <w:pStyle w:val="Heading2"/>
      </w:pPr>
      <w:r>
        <w:t xml:space="preserve">12.1 Priorisation</w:t>
      </w:r>
    </w:p>
    <w:p>
      <w:pPr>
        <w:spacing w:after="120"/>
      </w:pPr>
      <w:r>
        <w:t xml:space="preserve">Le temps du hunter est limité. Tous les hunts ne se valent pas. La priorisation repose sur 5 critères. La menace sectorielle : un TTP utilisé par un acteur ciblant activement notre secteur est plus urgent qu’un TTP générique. La criticité métier : un hunt sur les serveurs de contrôle industriel est plus critique qu’un hunt sur les postes de développement. L’exposition réelle : un hunt sur les accès VPN est pertinent si le VPN est exposé et utilisé massivement. La visibilité existante : un hunt sur une surface bien instrumentée (EDR déployé, logs collectés) a plus de chances de succès qu’un hunt à l’aveugle. Le coût analytique : un hunt qui nécessite 3 jours de traitement manuel sur 500 Go de logs n’est pas équivalent à un hunt de 2 heures avec une requête ciblée.</w:t>
      </w:r>
    </w:p>
    <w:p>
      <w:pPr>
        <w:pStyle w:val="Heading2"/>
      </w:pPr>
      <w:r>
        <w:t xml:space="preserve">12.2 Les grands pièges du threat hunter</w:t>
      </w:r>
    </w:p>
    <w:p>
      <w:pPr>
        <w:spacing w:after="120"/>
      </w:pPr>
      <w:r>
        <w:t xml:space="preserve">Connaître ces pièges avant de commencer à chasser est la meilleure protection. Partir sans hypothèse — « je vais regarder un peu ce qui se passe » n’est pas du hunting, c’est de la navigation sans direction qui consomme du temps sans produire de résultat exploitable. Tout considérer comme malveillant — le hunter paranoïaque qui escalade chaque anomalie sature l’équipe IR et perd sa crédibilité. Confondre rareté et compromission — déjà couvert en 11.2. Oublier les admins légitimes — les activités d’administration représentent la majorité du « bruit » du hunting, ne pas les connaître mène à des faux positifs constants. Sous-estimer l’identity — les hunters formés sur l’endpoint négligent souvent l’identity, alors que les attaques identity-centric (vol de tokens OAuth, MFA fatigue, abus d’ADFS) sont désormais plus fréquentes que les attaques endpoint pures. Requêtes trop larges — une requête qui renvoie 50 000 résultats est inexploitable. Non-documentation — un hunt non documenté est un hunt qui n’a jamais eu lieu. Absence de baseline — sans référence du normal, tout est anomalie ou rien ne l’est. Tunnel vision — le hunter qui s’acharne sur une piste pendant 3 jours au lieu de pivoter ou de conclure négativement.</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 hunter priorise ses 5 hypothèses. H1 (scheduled tasks) et H4 (LSASS) sont priorisées car la visibilité EDR est bonne et le coût analytique est faible. H2 (identity hybride) est priorisée car la menace sectorielle est élevée. H3 (beaconing) est placée en troisième car l’analyse des logs proxy demande plus de temps. H5 (exfiltration) sera traitée en dernier car elle dépend des résultats des hunts précédents. Ordre de chasse : H1 → H4 → H2 → H3 → H5.</w:t>
      </w:r>
    </w:p>
    <w:p>
      <w:r>
        <w:br w:type="page"/>
      </w:r>
    </w:p>
    <w:p>
      <w:pPr>
        <w:pStyle w:val="Heading2"/>
      </w:pPr>
      <w:r>
        <w:t xml:space="preserve">Partie IV — Hunting opérationnel</w:t>
      </w:r>
    </w:p>
    <w:p>
      <w:pPr>
        <w:spacing w:after="120"/>
      </w:pPr>
      <w:r>
        <w:t xml:space="preserve">Le cœur du cours. Cette partie enseigne comment formuler des hypothèses à partir d’ATT&amp;CK et de la CTI, puis comment chasser concrètement par phase de la kill chain, en croisant les surfaces de détection pertinentes. Chaque chapitre produit des requêtes, des pivots, et des conclusions exploitées dans le fil rouge.</w:t>
      </w:r>
    </w:p>
    <w:p>
      <w:r>
        <w:br w:type="page"/>
      </w:r>
    </w:p>
    <w:p>
      <w:pPr>
        <w:pStyle w:val="Heading1"/>
      </w:pPr>
      <w:r>
        <w:t xml:space="preserve">Chapitre 13 — ATT&amp;CK comme langage de chasse</w:t>
      </w:r>
    </w:p>
    <w:p>
      <w:pPr>
        <w:spacing w:after="120"/>
      </w:pPr>
      <w:r>
        <w:t xml:space="preserve">MITRE ATT&amp;CK est le référentiel commun entre le hunter, le CTI analyst, le detection engineer, et le SOC. Les tactiques (14 colonnes : Initial Access, Execution, Persistence, Privilege Escalation, Defense Evasion, Credential Access, Discovery, Lateral Movement, Collection, Command and Control, Exfiltration, Impact) décrivent les objectifs de l’attaquant à chaque phase. Les techniques (des centaines) décrivent les moyens concrets. Les sous-techniques détaillent les variantes. Le hunter utilise ATT&amp;CK pour dériver une hypothèse depuis une technique : T1053.005 (Scheduled Task/Job: Scheduled Task) → « un attaquant pourrait avoir créé une tâche planifiée pour exécuter un payload à intervalles réguliers » → requête : chercher les créations de scheduled tasks (Event 4698) avec des commandes suspectes dans l’action.</w:t>
      </w:r>
    </w:p>
    <w:p>
      <w:r>
        <w:br w:type="page"/>
      </w:r>
    </w:p>
    <w:p>
      <w:pPr>
        <w:pStyle w:val="Heading1"/>
      </w:pPr>
      <w:r>
        <w:t xml:space="preserve">Chapitre 14 — CTI-driven et detection-guided hunting</w:t>
      </w:r>
    </w:p>
    <w:p>
      <w:pPr>
        <w:pStyle w:val="Heading2"/>
      </w:pPr>
      <w:r>
        <w:t xml:space="preserve">14.1 Partir d’un actor profile</w:t>
      </w:r>
    </w:p>
    <w:p>
      <w:pPr>
        <w:spacing w:after="120"/>
      </w:pPr>
      <w:r>
        <w:t xml:space="preserve">Le CTI-driven hunting part d’un rapport CTI sur un acteur ou un groupe ciblant le secteur. Le hunter extrait les TTP pertinentes, les filtre par pertinence (l’acteur exploite des vulnérabilités Exchange, mais nous n’avons pas d’Exchange — ce TTP n’est pas pertinent), et formule des hypothèses adaptées à l’environnement local. La clé : ne pas chasser tous les acteurs. Se concentrer sur les plus plausibles (secteur, géographie, maturité technique, historique).</w:t>
      </w:r>
    </w:p>
    <w:p>
      <w:pPr>
        <w:pStyle w:val="Heading2"/>
      </w:pPr>
      <w:r>
        <w:t xml:space="preserve">14.2 Detection-guided hunting</w:t>
      </w:r>
    </w:p>
    <w:p>
      <w:pPr>
        <w:spacing w:after="120"/>
      </w:pPr>
      <w:r>
        <w:t xml:space="preserve">Le detection-guided hunting part de signaux faibles du SOC : un pic inhabituellement élevé d’événements PowerShell 4104 la semaine dernière, des échecs de connexion répétés sur un compte de service sans explication, une alerte basse sévérité récurrente que personne ne regarde. Ces signaux ne justifient pas une escalade IR mais méritent une investigation proactive. Le hunter prend le signal, formule une hypothèse, et cherche si le signal est bénin ou le symptôme d’une compromission en cours.</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Hunt H1 lancé. Hypothèse : des scheduled tasks suspectes ont été créées dans les 90 derniers jours. Source : EDR CrowdStrike + Event 4698 (création de task) + Sysmon Event 1 (process creation). Requête KQL initiale : rechercher les créations de tasks avec une action contenant powershell, cmd, mshta, rundll32, ou un chemin suspect (AppData, Temp, ProgramData). Résultat brut : 847 événements. Après exclusion du bruit connu (SCCM, GPO, backup Veeam) : 12 événements restants. 10 sont identifiés comme admin légitime après vérification. 2 restent suspects : une task créée par un compte utilisateur standard exécutant un PowerShell encodé Base64 depuis C:\Users\Public\Downloads\, et une task créée à 3h du matin par un compte de service normalement inactif.</w:t>
      </w:r>
    </w:p>
    <w:p>
      <w:r>
        <w:br w:type="page"/>
      </w:r>
    </w:p>
    <w:p>
      <w:pPr>
        <w:pStyle w:val="Heading1"/>
      </w:pPr>
      <w:r>
        <w:t xml:space="preserve">Chapitre 15 — Hunting Initial Access et Persistence</w:t>
      </w:r>
    </w:p>
    <w:p>
      <w:pPr>
        <w:pStyle w:val="Heading2"/>
      </w:pPr>
      <w:r>
        <w:t xml:space="preserve">15.1 Hunting Initial Access</w:t>
      </w:r>
    </w:p>
    <w:p>
      <w:pPr>
        <w:spacing w:after="120"/>
      </w:pPr>
      <w:r>
        <w:t xml:space="preserve">L’accès initial est la porte d’entrée de l’attaquant. Les TTP les plus courantes : phishing avec pièce jointe ou lien (T1566), exploitation de vulnérabilité sur un service exposé (T1190), vol de credentials via infostealer puis réutilisation (T1078), et supply chain compromise (T1195). Le hunting initial access est souvent rétrospectif : on cherche si un accès initial a eu lieu dans le passé (les 30-90 derniers jours). Sur l’endpoint : processus enfants suspects d’Office (WINWORD.EXE → PowerShell, OUTLOOK.EXE → cmd), DLL sideloading, macro-enabled documents. Sur l’email : forwarding rules créées récemment, URLs rares cliquées, attachments avec des extensions suspectes. Sur l’identity : logons depuis des IPs ou des localisations inhabituelles, legacy auth (protocoles anciens sans MFA), OAuth consent grants suspects.</w:t>
      </w:r>
    </w:p>
    <w:p>
      <w:pPr>
        <w:pStyle w:val="Heading2"/>
      </w:pPr>
      <w:r>
        <w:t xml:space="preserve">15.2 Hunting Persistence</w:t>
      </w:r>
    </w:p>
    <w:p>
      <w:pPr>
        <w:spacing w:after="120"/>
      </w:pPr>
      <w:r>
        <w:t xml:space="preserve">La persistence est la capacité de l’attaquant à maintenir son accès après un reboot ou un changement de mot de passe. Les TTP les plus « huntables » : scheduled tasks (T1053.005 — création de tasks exécutant des commandes suspectes), clés de registre Run/RunOnce (T1547.001 — exécution automatique au login), services Windows créés (T1543.003 — service pointant vers un binaire non standard), DLL search order hijacking (T1574 — une DLL malveillante placée dans un répertoire prioritaire), et persistence cloud (OAuth apps, service principals, conditional access policies modifiées). Chaque technique a ses artefacts spécifiques et ses faux positifs connus.</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Les 2 scheduled tasks suspectes sont investiguées. Task 1 : créée le 15 février par le compte jdupont, exécute powershell -enc [Base64 encodé] depuis C:\Users\Public\Downloads\update.ps1. Le décodage Base64 révèle un script qui contacte une URL HTTPS et télécharge un fichier — c’est un stager C2. Le compte jdupont est un utilisateur standard du département comptabilité qui n’a aucune raison de créer des scheduled tasks PowerShell. Compromission confirmée. Le hunter alerte immédiatement le DFIR et passe en mode scoping : l’attaquant est-il ailleurs dans le SI ?</w:t>
      </w:r>
    </w:p>
    <w:p>
      <w:r>
        <w:br w:type="page"/>
      </w:r>
    </w:p>
    <w:p>
      <w:pPr>
        <w:pStyle w:val="Heading1"/>
      </w:pPr>
      <w:r>
        <w:t xml:space="preserve">Chapitre 16 — Hunting Credential Access et Identity</w:t>
      </w:r>
    </w:p>
    <w:p>
      <w:pPr>
        <w:pStyle w:val="Heading2"/>
      </w:pPr>
      <w:r>
        <w:t xml:space="preserve">16.1 Credential Access endpoint</w:t>
      </w:r>
    </w:p>
    <w:p>
      <w:pPr>
        <w:spacing w:after="120"/>
      </w:pPr>
      <w:r>
        <w:t xml:space="preserve">Le vol de credentials est l’objectif critique de l’attaquant car les credentials permettent le mouvement latéral sans outils. Les TTP endpoint : accès LSASS (T1003.001 — le processus lsass.exe est accédé par un processus non standard ; la requête cherche les handle opens ou les process access vers lsass depuis un processus qui n’est pas csrss, services, ou l’EDR lui-même), dumping de SAM/SECURITY/SYSTEM (T1003.002/003 — accès aux ruches de registre), NTDS.dit extraction (T1003.003 — copie du fichier de la base AD), et DCSync (T1003.006 — réplication du domaine simulant un DC, détectable par les event 4662 avec des droits de réplication).</w:t>
      </w:r>
    </w:p>
    <w:p>
      <w:pPr>
        <w:pStyle w:val="Heading2"/>
      </w:pPr>
      <w:r>
        <w:t xml:space="preserve">16.2 Identity hunting</w:t>
      </w:r>
    </w:p>
    <w:p>
      <w:pPr>
        <w:spacing w:after="120"/>
      </w:pPr>
      <w:r>
        <w:t xml:space="preserve">C’est la surface la plus critique en 2025. Les hunts identity : Kerberoasting (T1558.003 — requêtes TGS massives vers des comptes de service, détectable par l’Event 4769 avec encryption type 0x17/RC4 et un volume anormal), AS-REP Roasting (T1558.004 — requêtes AS-REP vers des comptes sans pre-authentication), logons inhabituels (connection depuis une IP non vue précédemment, depuis un pays inattendu, à une heure anormale, avec un user-agent inhabituel), legacy auth (protocoles anciens comme POP3/IMAP/SMTP qui contournent le MFA — une des voies d’accès préférées des attaquants), MFA fatigue (vagues répétées de push MFA jusqu’à ce que l’utilisateur valide par lassitude), OAuth consent grants suspects (une application inconnue demandant des permissions larges), et comptes dormants réactivés (un compte inactif depuis 6 mois qui se reconnecte soudainement).</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 scoping identity. Après la découverte de la task malveillante, le hunter cherche si les credentials du compte jdupont ont été utilisés ailleurs. Logs Entra ID : le compte jdupont s’est connecté à SharePoint Online depuis une IP ukrainienne il y a 3 semaines — avant la création de la scheduled task. C’est probablement le point d’accès initial (credentials volés, probablement par infostealer). L’attaquant a d’abord accédé au cloud, puis a pivoté vers l’endpoint. Hunt H4 (LSASS) : vérification des accès LSASS dans les 30 derniers jours. EDR : un accès lsass.exe par rundll32.exe le 17 février (2 jours après la scheduled task) — dump de credentials confirmé. L’attaquant a volé des credentials supplémentaires.</w:t>
      </w:r>
    </w:p>
    <w:p>
      <w:r>
        <w:br w:type="page"/>
      </w:r>
    </w:p>
    <w:p>
      <w:pPr>
        <w:pStyle w:val="Heading1"/>
      </w:pPr>
      <w:r>
        <w:t xml:space="preserve">Chapitre 17 — Hunting Lateral Movement et C2</w:t>
      </w:r>
    </w:p>
    <w:p>
      <w:pPr>
        <w:pStyle w:val="Heading2"/>
      </w:pPr>
      <w:r>
        <w:t xml:space="preserve">17.1 Mouvement latéral</w:t>
      </w:r>
    </w:p>
    <w:p>
      <w:pPr>
        <w:spacing w:after="120"/>
      </w:pPr>
      <w:r>
        <w:t xml:space="preserve">Le mouvement latéral est la progression de l’attaquant dans le réseau après le premier accès. Les TTP les plus « huntables » : RDP (T1021.001 — connexions RDP depuis des postes utilisateurs vers des serveurs, détectable par les Event 4624 type 10 et les logs RDP), SMB/Windows Admin Shares (T1021.002 — accès \\server\C$ ou \\server\ADMIN$ depuis un poste utilisateur, détectable par les logs SMB et les Event 5140/5145), WinRM (T1021.006 — connexions PowerShell distantes), PsExec (T1569.002 — création d’un service distant), et WMI (T1047 — exécution distante via WMI). La détection repose sur la corrélation identity/network : un poste utilisateur qui initie des connexions SMB vers 10 serveurs en 1 heure est suspect.</w:t>
      </w:r>
    </w:p>
    <w:p>
      <w:pPr>
        <w:pStyle w:val="Heading2"/>
      </w:pPr>
      <w:r>
        <w:t xml:space="preserve">17.2 Command and Control</w:t>
      </w:r>
    </w:p>
    <w:p>
      <w:pPr>
        <w:spacing w:after="120"/>
      </w:pPr>
      <w:r>
        <w:t xml:space="preserve">Le C2 est la communication entre l’attaquant et l’implant dans le SI. Les TTP modernes : HTTPS C2 via des services légitimes (T1071.001 — le trafic C2 passe par des CDN, des services cloud, ou des domaines légitimes compromis — très difficile à détecter par signature), beaconing (connexions régulières avec des intervalles périodiques à un domaine — détectable par l’analyse de périodicité dans les logs DNS/proxy), DNS tunneling (T1071.004 — données exfiltrées dans les requêtes DNS — détectable par le volume et la longueur anormaux des requêtes), et domaines jeunes (domaines enregistrés récemment contactés par les postes — un signal faible mais pertinent).</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 hunt C2. Le stager identifié dans la scheduled task contacte une URL HTTPS. Le domaine est analysé : enregistré il y a 45 jours (domaine jeune), WHOIS privacy, certificat Let’s Encrypt, hébergé sur un VPS. Le hunter cherche dans les logs proxy tous les hosts ayant contacté ce domaine : 1 seul host (la machine de jdupont). Puis il cherche des patterns de beaconing similaires (connexions périodiques à des domaines jeunes) : 2 autres machines montrent un pattern suspect vers un domaine différent mais avec le même intervalle (5 min ± 30s). L’attaquant a 3 points d’ancrage dans le SI, pas 1. Le scope s’élargit.</w:t>
      </w:r>
    </w:p>
    <w:p>
      <w:r>
        <w:br w:type="page"/>
      </w:r>
    </w:p>
    <w:p>
      <w:pPr>
        <w:pStyle w:val="Heading1"/>
      </w:pPr>
      <w:r>
        <w:t xml:space="preserve">Chapitre 18 — Hunting Collection, Exfiltration et Impact</w:t>
      </w:r>
    </w:p>
    <w:p>
      <w:pPr>
        <w:pStyle w:val="Heading2"/>
      </w:pPr>
      <w:r>
        <w:t xml:space="preserve">18.1 Collection et staging</w:t>
      </w:r>
    </w:p>
    <w:p>
      <w:pPr>
        <w:spacing w:after="120"/>
      </w:pPr>
      <w:r>
        <w:t xml:space="preserve">Avant d’exfiltrer, l’attaquant collecte et prépare les données. Les TTP : data from local system (T1005 — accès massif à des fichiers sensibles), data from network shared drive (T1039 — accès à des partages réseau inhabituels), data staged (T1074 — concentration des données dans un répertoire unique avant exfiltration, souvent dans C:\ProgramData, C:\Temp, ou un répertoire utilisateur). La détection repose sur les anomalies de volume (un utilisateur qui accède à 100 fichiers sur un partage en 1 heure alors que sa moyenne est de 5 par jour) et les anomalies de type (un utilisateur du marketing qui accède aux fichiers RH ou R&amp;D).</w:t>
      </w:r>
    </w:p>
    <w:p>
      <w:pPr>
        <w:pStyle w:val="Heading2"/>
      </w:pPr>
      <w:r>
        <w:t xml:space="preserve">18.2 Exfiltration</w:t>
      </w:r>
    </w:p>
    <w:p>
      <w:pPr>
        <w:spacing w:after="120"/>
      </w:pPr>
      <w:r>
        <w:t xml:space="preserve">L’exfiltration est la sortie des données hors du SI. Les TTP : exfiltration via HTTPS (T1041 — upload vers un service cloud, un serveur C2, ou un paste site), exfiltration via DNS (T1048 — données encodées dans les requêtes DNS), et exfiltration via services cloud légitimes (OneDrive, Google Drive, Mega). La détection est difficile car l’exfiltration ressemble à du trafic légitime. Les indicateurs : volume de trafic sortant anormalement élevé pour un host ou un utilisateur, uploads vers des services de partage de fichiers inhabituels, et trafic DNS avec des requêtes anormalement longues ou volumineuses.</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 hunt exfiltration. Le hunter vérifie si les 3 machines compromises ont exfiltré des données. Logs proxy : la machine de jdupont a uploadé 450 Mo vers un domaine Mega en 3 sessions sur 2 semaines. Les 2 autres machines montrent des requêtes DNS avec un volume de queries anormalement élevé vers un sous-domaine d’un domaine légitime compromis — DNS tunneling probable. L’exfiltration est en cours depuis au moins 2 semaines. Le DFIR prend le relais pour le containment immédiat.</w:t>
      </w:r>
    </w:p>
    <w:p>
      <w:r>
        <w:br w:type="page"/>
      </w:r>
    </w:p>
    <w:p>
      <w:pPr>
        <w:pStyle w:val="Heading1"/>
      </w:pPr>
      <w:r>
        <w:t xml:space="preserve">Chapitre 19 — Hunting par familles de menaces</w:t>
      </w:r>
    </w:p>
    <w:p>
      <w:pPr>
        <w:spacing w:after="120"/>
      </w:pPr>
      <w:r>
        <w:t xml:space="preserve">Au-delà de la kill chain générique, certaines familles de menaces ont des patterns spécifiques qui justifient des hunts dédiés. L’APT espionnage privilégie la discrétion et la persistance long terme (scheduled tasks, services, DLL hijacking, C2 lent via services légitimes). Le ransomware avant chiffrement a un pattern prédictible (IAB + infostealer + RDP/SMB latéral + désactivation des backups + découverte des partages + déploiement du chiffreur — le hunt vise à détecter les phases pré-chiffrement). L’insider malveillant a un pattern comportemental (accès à des données hors de son périmètre, volumes de téléchargement anormaux, horaires inhabituels). La supply chain compromise est la plus difficile à détecter (le malware arrive via un logiciel légitime de confiance — le hunt cherche des comportements suspects de processus normalement sûrs). L’infostealer foothold (un stealer a volé des credentials et un attaquant les réutilise des semaines plus tard) se chasse par la corrélation entre les dates de fuite et les premiers logons suspects.</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L’analyse de l’attaque révèle un pattern APT + infostealer hybride. L’accès initial a probablement été obtenu via un infostealer (credentials de jdupont volés et réutilisés des semaines plus tard). Le comportement post-accès (persistence discrète, LSASS dump, C2 lent, exfiltration progressive) est caractéristique d’un APT étatique, pas d’un ransomware. Le hunter documente cette classification pour la CTI interne.</w:t>
      </w:r>
    </w:p>
    <w:p>
      <w:r>
        <w:br w:type="page"/>
      </w:r>
    </w:p>
    <w:p>
      <w:pPr>
        <w:pStyle w:val="Heading1"/>
      </w:pPr>
      <w:r>
        <w:t xml:space="preserve">Chapitre 20 — Hunting Email et Cloud/SaaS</w:t>
      </w:r>
    </w:p>
    <w:p>
      <w:pPr>
        <w:pStyle w:val="Heading2"/>
      </w:pPr>
      <w:r>
        <w:t xml:space="preserve">20.1 Email hunting</w:t>
      </w:r>
    </w:p>
    <w:p>
      <w:pPr>
        <w:spacing w:after="120"/>
      </w:pPr>
      <w:r>
        <w:t xml:space="preserve">L’email est le vecteur n°1 d’accès initial. Les hunts email : campagnes de phishing discrètes passées sous le radar (emails avec URLs rares cliqués par des utilisateurs, pièces jointes exécutées), forwarding rules malveillantes (T1114.003 — un attaquant crée une règle de transfert automatique vers une adresse externe pour exfiltrer les emails), OAuth consent fraud (T1550.001 — un email invite l’utilisateur à autoriser une application malveillante à accéder à sa boîte mail), mailbox abuse post-compromission (l’attaquant lit les emails pour du renseignement ou envoie des emails de BEC depuis le compte compromis). Les sources : email gateway logs (Proofpoint, Defender for O365, Mimecast) et audit logs M365/Exchange.</w:t>
      </w:r>
    </w:p>
    <w:p>
      <w:pPr>
        <w:pStyle w:val="Heading2"/>
      </w:pPr>
      <w:r>
        <w:t xml:space="preserve">20.2 Cloud/SaaS hunting</w:t>
      </w:r>
    </w:p>
    <w:p>
      <w:pPr>
        <w:spacing w:after="120"/>
      </w:pPr>
      <w:r>
        <w:t xml:space="preserve">Le cloud est une surface en expansion rapide avec des TTP spécifiques. Les hunts cloud : IAM changes suspects (création de nouveaux rôles ou utilisateurs avec des privilèges élevés — CloudTrail CreateUser/AttachUserPolicy), suspicious API calls (ListBuckets, GetObject sur des buckets S3 en masse — énumération ou exfiltration), snapshot abuse (création de snapshots EBS/disque pour exfiltrer des données hors du périmètre), session hijack (utilisation d’un token volé — détectable par des changements d’IP mid-session ou des user-agents incohérents), cross-region access (un utilisateur normalement actif en eu-west-1 qui accède soudainement à us-east-1), et persistence cloud (création de clés d’accès, de service principals, de Lambda functions, de règles EventBridge).</w:t>
      </w:r>
    </w:p>
    <w:p>
      <w:r>
        <w:br w:type="page"/>
      </w:r>
    </w:p>
    <w:p>
      <w:pPr>
        <w:pStyle w:val="Heading1"/>
      </w:pPr>
      <w:r>
        <w:t xml:space="preserve">Chapitre 21 — Hunt de scoping en contexte IR</w:t>
      </w:r>
    </w:p>
    <w:p>
      <w:pPr>
        <w:spacing w:after="120"/>
      </w:pPr>
      <w:r>
        <w:t xml:space="preserve">Quand un incident est confirmé, le hunter passe en mode scoping : déterminer si l’attaquant est présent ailleurs dans le SI. C’est l’un des cas d’usage les plus fréquents et les plus urgents du hunting. La différence avec le hunting classique : on part d’IoC et de TTP confirmés (pas d’hypothèses), le rythme est urgent (heures, pas jours), et le scope est large (tout le SI, pas une surface ciblée). Le workflow de scoping : (1) extraire les IoC et TTP de l’incident confirmé (hash, IPs, domaines, comptes compromis, techniques utilisées), (2) chercher ces IoC dans toutes les sources de télémétrie (EDR, SIEM, proxy, DNS, identity), (3) pour chaque hit, investiguer si c’est un autre point de compromission ou un faux positif, (4) étendre la recherche par pivot (les credentials volés ont-ils été utilisés depuis d’autres machines ? le même C2 est-il contacté par d’autres hosts ?), (5) délivrer un scope map (liste des machines, comptes, et données impactés) au DFIR pour le containment.</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 scoping complet. Le hunter délivre le scope au DFIR. Machines compromises : 3 (poste jdupont, serveur fichiers SRV-FS01, contrôleur de domaine DC02 — l’attaquant a atteint le DC via les credentials dumpés). Comptes compromis : 4 (jdupont, admin_backup via LSASS dump, svc_exchange via Kerberoasting, et domain admin DA-ops via DCSync depuis DC02). Données exfiltrées : documents SharePoint de la direction + fichiers du serveur FS01 (direction financière). Durée de compromission estimée : 45 jours. L’IR peut commencer le containment avec un scope précis.</w:t>
      </w:r>
    </w:p>
    <w:p>
      <w:r>
        <w:br w:type="page"/>
      </w:r>
    </w:p>
    <w:p>
      <w:pPr>
        <w:pStyle w:val="Heading1"/>
      </w:pPr>
      <w:r>
        <w:t xml:space="preserve">Chapitre 22 — Hunting sur les environnements sensibles et OT</w:t>
      </w:r>
    </w:p>
    <w:p>
      <w:pPr>
        <w:spacing w:after="120"/>
      </w:pPr>
      <w:r>
        <w:t xml:space="preserve">Ce chapitre n’est pas un cours de hunting OT complet — c’est ce que le hunter IT doit savoir quand il est confronté à un environnement OT/ICS. Les différences fondamentales : pas d’agent EDR sur les automates et les HMI (la visibilité est réseau-centric), les contraintes de disponibilité interdisent les scans actifs et certains outils d’investigation (un scan Nessus peut faire planter un automate), la segmentation IT/OT est la première ligne de défense (vérifier son intégrité est un hunt en soi), et les anomalies protocolaires sont les signaux les plus fiables (un automate qui fait du DNS externe, un HMI qui initie une connexion SMB vers le réseau IT, du trafic Modbus vers une IP externe).</w:t>
      </w:r>
    </w:p>
    <w:p>
      <w:pPr>
        <w:spacing w:after="120"/>
      </w:pPr>
      <w:r>
        <w:t xml:space="preserve">Les hunts OT les plus pertinents pour un hunter IT : vérifier que la segmentation IT/OT est effective (pas de flux non autorisés traversant le firewall de segmentation), chercher des indicateurs de pivot IT → OT (un compte IT utilisé pour accéder à un système OT), et surveiller les flux réseau au point de segmentation pour des patterns anormaux.</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 vérification OT. Le scope montre que l’attaquant a atteint le DC. Le hunter vérifie si le réseau OT a été impacté. Analyse des logs du firewall de segmentation IT/OT : aucune connexion anormale du réseau IT vers le réseau OT dans les 45 jours. Le compte DA-ops compromis n’a pas de droits sur le segment OT. Conclusion : le réseau OT n’est pas compromis à ce stade — mais la recommandation est de renforcer la surveillance au point de segmentation et de changer les credentials de tous les comptes ayant un accès cross-segment.</w:t>
      </w:r>
    </w:p>
    <w:p>
      <w:r>
        <w:br w:type="page"/>
      </w:r>
    </w:p>
    <w:p>
      <w:pPr>
        <w:pStyle w:val="Heading1"/>
      </w:pPr>
      <w:r>
        <w:t xml:space="preserve">Chapitre 23 — Purple teaming et validation des hunts</w:t>
      </w:r>
    </w:p>
    <w:p>
      <w:pPr>
        <w:spacing w:after="120"/>
      </w:pPr>
      <w:r>
        <w:t xml:space="preserve">Comment savoir qu’un hunt fonctionne si l’adversaire n’est pas là ? Le purple teaming répond à cette question : une simulation contrôlée d’une technique adverse pour vérifier que le hunt la détecte. Atomic Red Team (ART) est la bibliothèque open source de référence : des centaines de tests atomiques, chacun simulant une technique ATT&amp;CK spécifique, exécutables en quelques commandes. MITRE Caldera est une plateforme d’adversary emulation plus complète (simulation de chaînes d’attaque multi-étapes). Le workflow de validation : (1) le hunter écrit une requête de détection pour une technique, (2) le purple team exécute le test ART correspondant, (3) le hunter vérifie si sa requête détecte le test, (4) si non, il ajuste la requête et re-teste, (5) la requête validée est transformée en règle de détection industrialisée. Cette boucle hunt → test → amélioration → re-test est le mécanisme d’amélioration continue le plus efficace.</w:t>
      </w:r>
    </w:p>
    <w:p>
      <w:pPr>
        <w:spacing w:after="120"/>
      </w:pPr>
      <w:r>
        <w:t xml:space="preserve">L’IA comme assistant du hunter. En 2025, les outils de hunting intègrent de plus en plus de ML/IA : scoring d’anomalies (Sentinel, CrowdStrike, Elastic SIEM), clustering automatique d’événements, et LLMs pour la formulation de requêtes. Le hunter doit comprendre ce que ces outils font réellement (modèles statistiques, pas d’intelligence) et ne font pas (ils ne raisonnent pas sur le contexte métier, ne comprennent pas les baselines spécifiques, et génèrent des faux positifs). L’IA est un accélérateur de tri, pas un substitut au jugement de l’analyste.</w:t>
      </w:r>
    </w:p>
    <w:p>
      <w:r>
        <w:br w:type="page"/>
      </w:r>
    </w:p>
    <w:p>
      <w:pPr>
        <w:pStyle w:val="Heading2"/>
      </w:pPr>
      <w:r>
        <w:t xml:space="preserve">Partie V — Outils, requêtes et workflows analystes</w:t>
      </w:r>
    </w:p>
    <w:p>
      <w:pPr>
        <w:spacing w:after="120"/>
      </w:pPr>
      <w:r>
        <w:t xml:space="preserve">Les outils concrets du hunter. Après la méthode (Partie III) et les techniques opérationnelles (Partie IV), cette partie donne les armes : où chasser (SIEM, EDR, XDR, NDR), comment écrire les requêtes (KQL, SPL, EQL), quels patterns utiliser, comment pivoter, et comment documenter.</w:t>
      </w:r>
    </w:p>
    <w:p>
      <w:r>
        <w:br w:type="page"/>
      </w:r>
    </w:p>
    <w:p>
      <w:pPr>
        <w:pStyle w:val="Heading1"/>
      </w:pPr>
      <w:r>
        <w:t xml:space="preserve">Chapitre 24 — SIEM, EDR, XDR, NDR : où chasser ?</w:t>
      </w:r>
    </w:p>
    <w:p>
      <w:pPr>
        <w:spacing w:after="120"/>
      </w:pPr>
      <w:r>
        <w:t xml:space="preserve">Chaque couche technologique a ses forces et ses limites pour le hunting. Le SIEM (Sentinel, Splunk, QRadar, Elastic) offre la corrélation large — il agrège les logs de toutes les sources (endpoint, identity, network, cloud, email) et permet des requêtes cross-sources. C’est l’outil de choix pour le hunting multi-surface. Ses limites : la latence d’indexation, le coût de stockage, et les performances sur les gros volumes. L’EDR (CrowdStrike, Defender for Endpoint, SentinelOne, Carbon Black) offre la profondeur endpoint — arbres de processus complets, accès fichiers, accès mémoire, DLL loads, connexions réseau par processus. C’est l’outil de choix pour le hunting endpoint et le pivot process → network. Sa limite : il ne voit que l’endpoint, pas l’identity ni le réseau global. L’XDR (extension de l’EDR vers d’autres surfaces) unifie endpoint + identity + email + cloud dans une seule console. Le NDR (Darktrace, Vectra, ExtraHop) offre la vue réseau — détection de beaconing, mouvements latéraux, exfiltration. Sa limite : il ne voit pas ce qui se passe sur l’endpoint (un processus malveillant qui ne génère pas de trafic est invisible).</w:t>
      </w:r>
    </w:p>
    <w:p>
      <w:r>
        <w:br w:type="page"/>
      </w:r>
    </w:p>
    <w:p>
      <w:pPr>
        <w:pStyle w:val="Heading1"/>
      </w:pPr>
      <w:r>
        <w:t xml:space="preserve">Chapitre 25 — Langages de requête du hunter</w:t>
      </w:r>
    </w:p>
    <w:p>
      <w:pPr>
        <w:pStyle w:val="Heading2"/>
      </w:pPr>
      <w:r>
        <w:t xml:space="preserve">25.1 KQL (Kusto Query Language)</w:t>
      </w:r>
    </w:p>
    <w:p>
      <w:pPr>
        <w:spacing w:after="120"/>
      </w:pPr>
      <w:r>
        <w:t xml:space="preserve">KQL est le langage de Microsoft Sentinel et Defender. Syntaxe pipe (chaque opérateur filtre les résultats du précédent) : TableName | where TimeGenerated &gt; ago(30d) | where ProcessCommandLine contains « powershell » | where ProcessCommandLine contains_cs « -enc » | project TimeGenerated, DeviceName, AccountName, ProcessCommandLine. Les opérateurs clés pour le hunting : where (filtrage), project (sélection de colonnes), summarize (agrégation), join (jointure entre tables), make-series (analyse temporelle), arg_max/arg_min (première/dernière occurrence), bag_unpack (extraction de champs JSON).</w:t>
      </w:r>
    </w:p>
    <w:p>
      <w:pPr>
        <w:pStyle w:val="Heading2"/>
      </w:pPr>
      <w:r>
        <w:t xml:space="preserve">25.2 SPL (Search Processing Language)</w:t>
      </w:r>
    </w:p>
    <w:p>
      <w:pPr>
        <w:spacing w:after="120"/>
      </w:pPr>
      <w:r>
        <w:t xml:space="preserve">SPL est le langage de Splunk. Syntaxe différente mais logique similaire : index=windows sourcetype=WinEventLog:Security EventCode=4698 | search *powershell* | table _time, ComputerName, SubjectUserName, TaskName, TaskContent. Les commandes clés : search, where, stats, eventstats, transaction, timechart, rex (regex inline), lookup (enrichissement), tstats (recherche accélérée sur les données indexées).</w:t>
      </w:r>
    </w:p>
    <w:p>
      <w:pPr>
        <w:pStyle w:val="Heading2"/>
      </w:pPr>
      <w:r>
        <w:t xml:space="preserve">25.3 EQL (Event Query Language)</w:t>
      </w:r>
    </w:p>
    <w:p>
      <w:pPr>
        <w:spacing w:after="120"/>
      </w:pPr>
      <w:r>
        <w:t xml:space="preserve">EQL (Elastic) est conçu pour l’analyse de séquences d’événements : sequence by host.name [process where process.name == « winword.exe »] [process where process.name == « powershell.exe »]. Les séquences sont la force d’EQL : détecter « Word lance PowerShell dans les 60 secondes » est trivial en EQL, complexe en KQL ou SPL.</w:t>
      </w:r>
    </w:p>
    <w:p>
      <w:pPr>
        <w:pStyle w:val="Heading2"/>
      </w:pPr>
      <w:r>
        <w:t xml:space="preserve">25.4 Bonnes pratiques de requêtage</w:t>
      </w:r>
    </w:p>
    <w:p>
      <w:pPr>
        <w:spacing w:after="120"/>
      </w:pPr>
      <w:r>
        <w:t xml:space="preserve">Commencer large puis affiner (la première requête doit couvrir le maximum, les itérations suivantes éliminent le bruit). Toujours borner temporellement (ago(30d), pas « tout l’historique »). Trier par rareté (summarize count() by ProcessName | where count_ &lt; 5 — les processus les plus rares sont les plus intéressants). Agréger avant de détailler (d’abord combien, puis lesquels, puis les détails). Et surtout : tester la requête sur un scope réduit avant de la lancer sur tout le SI (un hunting query mal construite peut saturer le SIEM).</w:t>
      </w:r>
    </w:p>
    <w:p>
      <w:r>
        <w:br w:type="page"/>
      </w:r>
    </w:p>
    <w:p>
      <w:pPr>
        <w:pStyle w:val="Heading1"/>
      </w:pPr>
      <w:r>
        <w:t xml:space="preserve">Chapitre 26 — Patterns de requêtes de hunt</w:t>
      </w:r>
    </w:p>
    <w:p>
      <w:pPr>
        <w:spacing w:after="120"/>
      </w:pPr>
      <w:r>
        <w:t xml:space="preserve">Les hunt queries suivent des patterns réutilisables. Les plus courants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Pattern</w:t>
            </w:r>
          </w:p>
        </w:tc>
        <w:tc>
          <w:tcPr>
            <w:tcW w:type="dxa" w:w="41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Exemple</w:t>
            </w:r>
          </w:p>
        </w:tc>
        <w:tc>
          <w:tcPr>
            <w:tcW w:type="dxa" w:w="26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Surface</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Processus rare lancé par une application</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Word → PowerShell, Outlook → cmd</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Endpoint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Scheduled task suspecte</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Task avec action PowerShell -enc ou chemin Temp/Public</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Endpoint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Encoded PowerShell</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4104 avec Base64 ou -EncodedCommand</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Endpoint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Admin tool misuse</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PsExec, Mimikatz, Rubeus, SharpHound sur un poste non-admin</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Endpoint</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Logons anormaux</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4624 type 10 depuis un poste utilisateur vers un serveur critique</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Identity</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Mass auth failures then success</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100 échecs puis 1 succès sur le même compte</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Identity</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Domaine rare contacté</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Résolutions DNS vers des domaines &lt; 30 jours, avec &lt; 3 hosts y accédant</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Network</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Beaconing</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Connexions périodiques (5 min ± jitter) vers un même domaine</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Network</w:t>
            </w:r>
          </w:p>
        </w:tc>
      </w:tr>
      <w:tr>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Multi-signal correlation</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Même host : process suspect + logon anormal + trafic DNS rare</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Cross-surface</w:t>
            </w:r>
          </w:p>
        </w:tc>
      </w:tr>
    </w:tbl>
    <w:p>
      <w:pPr>
        <w:spacing w:after="80"/>
      </w:pPr>
      <w:r>
        <w:t xml:space="preserve"/>
      </w:r>
    </w:p>
    <w:p>
      <w:r>
        <w:br w:type="page"/>
      </w:r>
    </w:p>
    <w:p>
      <w:pPr>
        <w:pStyle w:val="Heading1"/>
      </w:pPr>
      <w:r>
        <w:t xml:space="preserve">Chapitre 27 — Pivoting et investigation</w:t>
      </w:r>
    </w:p>
    <w:p>
      <w:pPr>
        <w:spacing w:after="120"/>
      </w:pPr>
      <w:r>
        <w:t xml:space="preserve">Le pivot est le passage d’un artefact à un autre pour élargir l’investigation. Du host au user (qui était connecté quand le processus suspect a été lancé). Du user à l’identity (ce compte s’est-il connecté depuis d’autres machines). De l’identity au cloud (ce compte a-t-il accédé à des ressources cloud). Du domaine C2 à l’infrastructure (WHOIS, DNS, IPs associées). Du processus au réseau (quelles connexions ce processus a-t-il initiées). De l’artefact à la timeline (reconstituer la séquence chronologique complète). L’enrichissement CTI complète les pivots : VirusTotal (hash, domaine, IP), MISP/OpenCTI (corrélation avec des campagnes connues), sandbox (analyse dynamique d’un fichier suspect).</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 pivots. À partir de la scheduled task malveillante : pivot host → user (jdupont). Pivot user → identity (logons Entra ID : connexion depuis IP ukrainienne 3 semaines avant). Pivot identity → cloud (accès SharePoint : téléchargement de 200 documents de la direction). Pivot C2 domain → infra (WHOIS historique : email ProtonMail, hébergeur Dubaï). Pivot credentials dumpés → mouvement latéral (admin_backup utilisé sur SRV-FS01, DA-ops utilisé sur DC02). Chaque pivot élargit le scope et affine la compréhension de l’attaque.</w:t>
      </w:r>
    </w:p>
    <w:p>
      <w:r>
        <w:br w:type="page"/>
      </w:r>
    </w:p>
    <w:p>
      <w:pPr>
        <w:pStyle w:val="Heading1"/>
      </w:pPr>
      <w:r>
        <w:t xml:space="preserve">Chapitre 28 — Documentation d’un hunt</w:t>
      </w:r>
    </w:p>
    <w:p>
      <w:pPr>
        <w:spacing w:after="120"/>
      </w:pPr>
      <w:r>
        <w:t xml:space="preserve">Un hunt non documenté n’existe pas. La documentation suit un format standardisé : question de départ (quelle menace cherchait-on), hypothèse (formulation précise, technique ATT&amp;CK), sources exploitées (quels logs, quelle période), requêtes utilisées (KQL/SPL exactes, reproductibles), résultats bruts (nombre d’événements, après tri), pivots réalisés (quels artefacts, vers quelles sources), conclusion (compromission confirmée / faux positif / conclusion négative / gap de visibilité), niveau de confiance, suites à donner (escalade IR / règle de détection / recommandation de log / rien), et enseignements (ce qui a fonctionné, ce qui n’a pas fonctionné, ce qui pourrait être amélioré). Ce format est le hunt ticket — chaque hunt produit un ticket, chaque ticket est archivé dans le backlog hunting.</w:t>
      </w:r>
    </w:p>
    <w:p>
      <w:r>
        <w:br w:type="page"/>
      </w:r>
    </w:p>
    <w:p>
      <w:pPr>
        <w:pStyle w:val="Heading2"/>
      </w:pPr>
      <w:r>
        <w:t xml:space="preserve">Partie VI — Production, détection et amélioration continue</w:t>
      </w:r>
    </w:p>
    <w:p>
      <w:pPr>
        <w:spacing w:after="120"/>
      </w:pPr>
      <w:r>
        <w:t xml:space="preserve">Le hunting ne vaut que s’il produit du changement durable. Un hunt qui découvre un pattern suspect mais ne se transforme ni en détection ni en amélioration de visibilité est un effort perdu. Cette partie couvre la transformation des résultats de hunting en valeur durable.</w:t>
      </w:r>
    </w:p>
    <w:p>
      <w:r>
        <w:br w:type="page"/>
      </w:r>
    </w:p>
    <w:p>
      <w:pPr>
        <w:pStyle w:val="Heading1"/>
      </w:pPr>
      <w:r>
        <w:t xml:space="preserve">Chapitre 29 — Quand un hunt devient une détection</w:t>
      </w:r>
    </w:p>
    <w:p>
      <w:pPr>
        <w:spacing w:after="120"/>
      </w:pPr>
      <w:r>
        <w:t xml:space="preserve">Un hunt ponctuel découvre un pattern. La question est : ce pattern doit-il devenir une détection automatisée (règle SIEM/EDR) qui alertera en continu ? Les critères de transformation : stabilité du pattern (est-il reproductible et prédictible ?), taux de faux positifs acceptable (moins de 5-10 FP par jour), coût de calcul raisonnable (la requête ne sature pas le SIEM), et fréquence attendue de la menace (un TTP utilisé quotidiennement mérite une règle, un TTP utilisé une fois par an mérite un hunt périodique). Le format idéal pour la transformation est Sigma — un format de règle universel convertible en KQL, SPL, EQL. Le hunt ticket documente le passage du hunt à la règle, avec la logique de la règle, les exclusions, et les cas de test.</w:t>
      </w:r>
    </w:p>
    <w:p>
      <w:r>
        <w:br w:type="page"/>
      </w:r>
    </w:p>
    <w:p>
      <w:pPr>
        <w:pStyle w:val="Heading1"/>
      </w:pPr>
      <w:r>
        <w:t xml:space="preserve">Chapitre 30 — Tuning, validation et réduction du bruit</w:t>
      </w:r>
    </w:p>
    <w:p>
      <w:pPr>
        <w:spacing w:after="120"/>
      </w:pPr>
      <w:r>
        <w:t xml:space="preserve">Le tuning est l’art d’ajuster une règle pour réduire les faux positifs sans tuer le signal faible. C’est un équilibre délicat : chaque exclusion réduit le bruit mais crée un angle mort. Les bonnes pratiques : exclusions chirurgicales (exclure un compte spécifique sur un host spécifique pour une action spécifique, pas une exclusion générique), exceptions temporaires documentées (pendant une migration, on exclut temporairement le bruit de migration — avec une date d’expiration), validation croisée (tester la règle tunée avec Atomic Red Team pour vérifier qu’elle détecte toujours l’attaque après le tuning), et scoring de sévérité (au lieu d’alerter sur chaque événement, scorer et n’alerter qu’au-dessus d’un seuil). Le problème de l’alert fatigue (trop d’alertes = les analystes les ignorent) est directement lié à un mauvais tuning.</w:t>
      </w:r>
    </w:p>
    <w:p>
      <w:r>
        <w:br w:type="page"/>
      </w:r>
    </w:p>
    <w:p>
      <w:pPr>
        <w:pStyle w:val="Heading1"/>
      </w:pPr>
      <w:r>
        <w:t xml:space="preserve">Chapitre 31 — Hunting findings et reporting</w:t>
      </w:r>
    </w:p>
    <w:p>
      <w:pPr>
        <w:spacing w:after="120"/>
      </w:pPr>
      <w:r>
        <w:t xml:space="preserve">Chaque hunt produit un résultat. Un résultat positif : compromission ou activité suspecte détectée → escalade IR, documentation détaillée, création de règle. Un résultat négatif utile : la menace n’est pas présente MAIS un gap de visibilité a été identifié (« on n’aurait pas pu détecter cette menace car les logs X ne sont pas collectés ») → recommandation de log source. Une limitation de visibilité : le hunt n’a pas pu être mené correctement → recommandation d’amélioration. Les rapports de hunting s’adressent à différents publics : note technique pour le SOC/DFIR (détails des requêtes, IoC, pivots), note de synthèse pour le RSSI (risques identifiés, gaps, recommandations), et dashboard pour le management (KPIs, couverture, tendances).</w:t>
      </w:r>
    </w:p>
    <w:p>
      <w:r>
        <w:br w:type="page"/>
      </w:r>
    </w:p>
    <w:p>
      <w:pPr>
        <w:pStyle w:val="Heading1"/>
      </w:pPr>
      <w:r>
        <w:t xml:space="preserve">Chapitre 32 — Construire un programme de threat hunting</w:t>
      </w:r>
    </w:p>
    <w:p>
      <w:pPr>
        <w:spacing w:after="120"/>
      </w:pPr>
      <w:r>
        <w:t xml:space="preserve">Un programme de hunting est la formalisation de la pratique au niveau organisationnel. Ses composantes : la fréquence des hunts (hebdomadaire, bi-mensuelle, ou continue selon la maturité), le backlog hunting (liste priorisée des hunts à mener, alimentée par la CTI, les gaps de détection, et les signaux faibles SOC), la matrice MITRE coverage (quelles techniques ATT&amp;CK sont couvertes par des hunts, lesquelles ne le sont pas — les gaps visuels sont les priorités), la cartographie des gaps de visibilité (quelles sources manquent), les KPIs (nombre de hunts menés, résultats positifs, règles créées, gaps identifiés, temps moyen par hunt), et l’intégration CTI/SOC/IR (le hunting n’est pas un silo — il consomme la CTI, enrichit le SOC, et alimente l’IR).</w:t>
      </w:r>
    </w:p>
    <w:p>
      <w:pPr>
        <w:pStyle w:val="Heading2"/>
      </w:pPr>
      <w:r>
        <w:t xml:space="preserve">32.1 Maturité hunting</w:t>
      </w:r>
    </w:p>
    <w:p>
      <w:pPr>
        <w:spacing w:after="120"/>
      </w:pPr>
      <w:r>
        <w:t xml:space="preserve">Le modèle de maturité hunting se décline en 4 niveaux. Niveau 1 (débutant) : hunts guidés simples, basés sur des IoC ou des TTP très spécifiques, sur une seule source (EDR). Niveau 2 (intermédiaire) : hunts multi-sources (endpoint + identity + network), hypothèses CTI-driven, documentation systématique. Niveau 3 (avancé) : hunts identity/cloud/adversary-centric, corrélation cross-surface, purple teaming, transformation en détections. Niveau 4 (expert) : programme de hunting complet avec backlog, métriques, boucle CTI-detection-IR, et contribution active à la communauté (partage de hunt packages, publications).</w:t>
      </w:r>
    </w:p>
    <w:p>
      <w:pPr>
        <w:pBdr>
          <w:left w:val="single" w:color="8E44AD" w:sz="6" w:space="8"/>
        </w:pBdr>
        <w:spacing w:before="200" w:after="80"/>
      </w:pPr>
      <w:r>
        <w:rPr>
          <w:rFonts w:ascii="Calibri" w:cs="Calibri" w:eastAsia="Calibri" w:hAnsi="Calibri"/>
          <w:b/>
          <w:bCs/>
          <w:color w:val="8E44AD"/>
          <w:sz w:val="22"/>
          <w:szCs w:val="22"/>
        </w:rPr>
        <w:t xml:space="preserve">🎯 Fil rouge — Opération SILENT CURRENT</w:t>
      </w:r>
    </w:p>
    <w:p>
      <w:pPr>
        <w:pBdr>
          <w:left w:val="single" w:color="8E44AD" w:sz="6" w:space="8"/>
        </w:pBdr>
        <w:spacing w:after="200"/>
      </w:pPr>
      <w:r>
        <w:rPr>
          <w:rFonts w:ascii="Calibri" w:cs="Calibri" w:eastAsia="Calibri" w:hAnsi="Calibri"/>
          <w:sz w:val="21"/>
          <w:szCs w:val="21"/>
        </w:rPr>
        <w:t xml:space="preserve">SILENT CURRENT — conclusions du programme. L’opération SILENT CURRENT a produit : 5 hunts menés, 1 compromission majeure détectée (APT actif depuis 45 jours), 3 machines et 4 comptes compromis identifiés, 3 nouvelles règles de détection créées (scheduled task suspecte, accès LSASS anormal, beaconing DNS), 2 gaps de visibilité identifiés (pas de PowerShell 4104 sur la filiale, pas de netflow), et 1 recommandation OT (renforcer la surveillance au point de segmentation). Le hunt a probablement évité un incident majeur : sans le hunting, l’attaquant aurait continué son exfiltration pendant des mois. Le RSSI présente les résultats au comité de direction : le hunting passe de « coût » à « investissement démontré ».</w:t>
      </w:r>
    </w:p>
    <w:p>
      <w:r>
        <w:br w:type="page"/>
      </w:r>
    </w:p>
    <w:p>
      <w:pPr>
        <w:pStyle w:val="Heading1"/>
      </w:pPr>
      <w:r>
        <w:t xml:space="preserve">Chapitre 33 — IA, ML et automatisation du hunting</w:t>
      </w:r>
    </w:p>
    <w:p>
      <w:pPr>
        <w:spacing w:after="120"/>
      </w:pPr>
      <w:r>
        <w:t xml:space="preserve">Les outils de hunting intègrent de plus en plus d’IA et de ML. Le scoring d’anomalies (Sentinel UEBA, CrowdStrike Falcon Identity) utilise des modèles statistiques pour identifier les comportements déviants par rapport à la baseline. Le clustering automatique regroupe les événements similaires pour réduire le volume à analyser. Les LLMs (GitHub Copilot for Security, intégrations ChatGPT dans les SIEM) assistent la formulation de requêtes KQL/SPL et la synthèse des résultats. Ce que le hunter doit comprendre : ces outils sont des accélérateurs de tri, pas des substituts au jugement. Le ML ne comprend pas le contexte métier (un admin qui se connecte à 3h du matin pendant une maintenance programmée n’est pas une anomalie). Le LLM peut générer des requêtes syntaxiquement correctes mais logiquement fausses. L’automatisation des hunts répétitifs (re-jouer un hunt toutes les semaines automatiquement) est en revanche très pertinente et libère du temps pour les hunts exploratoires.</w:t>
      </w:r>
    </w:p>
    <w:p>
      <w:r>
        <w:br w:type="page"/>
      </w:r>
    </w:p>
    <w:p>
      <w:pPr>
        <w:pStyle w:val="Heading2"/>
      </w:pPr>
      <w:r>
        <w:t xml:space="preserve">Partie VII — Études de cas</w:t>
      </w:r>
    </w:p>
    <w:p>
      <w:pPr>
        <w:spacing w:after="120"/>
      </w:pPr>
      <w:r>
        <w:t xml:space="preserve">Quatre études de cas complètes illustrant l’application de la méthodologie à des scénarios réalistes. Chaque cas suit le workflow complet : contexte → hypothèse → sources → requêtes → pivots → conclusion → transformation en détection.</w:t>
      </w:r>
    </w:p>
    <w:p>
      <w:r>
        <w:br w:type="page"/>
      </w:r>
    </w:p>
    <w:p>
      <w:pPr>
        <w:pStyle w:val="Heading1"/>
      </w:pPr>
      <w:r>
        <w:t xml:space="preserve">Chapitre 34 — Étude de cas 1 : Hunt APT discret sur identités hybrides</w:t>
      </w:r>
    </w:p>
    <w:p>
      <w:pPr>
        <w:pStyle w:val="Heading2"/>
      </w:pPr>
      <w:r>
        <w:t xml:space="preserve">34.1 Contexte</w:t>
      </w:r>
    </w:p>
    <w:p>
      <w:pPr>
        <w:spacing w:after="120"/>
      </w:pPr>
      <w:r>
        <w:t xml:space="preserve">Un cabinet de conseil en stratégie reçoit un rapport CTI indiquant qu’un acteur étatique cible les cabinets de conseil européens via l’abus d’identités hybrides AD/Entra ID. Le mode opératoire identifié : vol de credentials par phishing ciblé, accès cloud avec les credentials volés, installation d’un OAuth app malveillant pour la persistence, puis lecture systématique des emails et des fichiers SharePoint des associés seniors. Aucune activité endpoint — l’attaque est entièrement identity-centric et cloud-native. Le SOC n’a aucune alerte car les règles de détection sont orientées endpoint.</w:t>
      </w:r>
    </w:p>
    <w:p>
      <w:pPr>
        <w:pStyle w:val="Heading2"/>
      </w:pPr>
      <w:r>
        <w:t xml:space="preserve">34.2 Hypothèses</w:t>
      </w:r>
    </w:p>
    <w:p>
      <w:pPr>
        <w:spacing w:after="120"/>
      </w:pPr>
      <w:r>
        <w:t xml:space="preserve">H1 : un OAuth app malveillant a été installé dans le tenant Entra ID (T1098.003). H2 : des logons cloud sont effectués depuis des IPs ou des localisations anormales avec des comptes d’associés (T1078). H3 : des forwarding rules ont été créées sur des boites mail (T1114.003). H4 : un téléchargement massif de documents SharePoint a eu lieu (T1213.002).</w:t>
      </w:r>
    </w:p>
    <w:p>
      <w:pPr>
        <w:pStyle w:val="Heading2"/>
      </w:pPr>
      <w:r>
        <w:t xml:space="preserve">34.3 Hunt et résultats</w:t>
      </w:r>
    </w:p>
    <w:p>
      <w:pPr>
        <w:spacing w:after="120"/>
      </w:pPr>
      <w:r>
        <w:t xml:space="preserve">Hunt H1 — OAuth apps. Requête sur les Entra ID audit logs pour les consentements d’application des 90 derniers jours. Résultat : 23 consentements. Après tri (exclusion des apps Microsoft connues, des apps RH et finance validées par le RSSI) : 1 app suspecte — « DocuSign Secure View » (nom imitant DocuSign) avec des permissions Mail.Read, Files.Read.All, User.Read.All. L’app a été consentie par 3 associés seniors il y a 6 semaines via un email de phishing imitant une notification DocuSign. Compromission confirmée : l’attaquant accède aux emails et fichiers de 3 associés via un OAuth token, sans aucune trace endpoint.</w:t>
      </w:r>
    </w:p>
    <w:p>
      <w:pPr>
        <w:spacing w:after="120"/>
      </w:pPr>
      <w:r>
        <w:t xml:space="preserve">Hunt H4 — téléchargements SharePoint. Requête sur les SharePoint audit logs filtrée par les 3 comptes compromis. Résultat : 1 847 fichiers téléchargés en 6 semaines depuis une IP VPN commerciale (ExpressVPN). Le volume normal de ces comptes : 20-30 fichiers par semaine. Exfiltration massive confirmée.</w:t>
      </w:r>
    </w:p>
    <w:p>
      <w:pPr>
        <w:pStyle w:val="Heading2"/>
      </w:pPr>
      <w:r>
        <w:t xml:space="preserve">34.4 Transformation</w:t>
      </w:r>
    </w:p>
    <w:p>
      <w:pPr>
        <w:spacing w:after="120"/>
      </w:pPr>
      <w:r>
        <w:t xml:space="preserve">3 nouvelles règles créées : détection de consentement OAuth pour des apps non pré-approuvées avec des permissions sensibles (Mail.Read, Files.Read.All), détection de téléchargement SharePoint anormalement élevé par compte (seuil dynamique basé sur la baseline), alerte sur logon depuis un VPN commercial connu pour un compte privilégié. Gap identifié : aucune politique de consentement admin n’était en place — recommandation de passer en mode admin-consent-only pour les permissions sensibles.</w:t>
      </w:r>
    </w:p>
    <w:p>
      <w:r>
        <w:br w:type="page"/>
      </w:r>
    </w:p>
    <w:p>
      <w:pPr>
        <w:pStyle w:val="Heading1"/>
      </w:pPr>
      <w:r>
        <w:t xml:space="preserve">Chapitre 35 — Étude de cas 2 : Hunt ransomware pré-impact</w:t>
      </w:r>
    </w:p>
    <w:p>
      <w:pPr>
        <w:pStyle w:val="Heading2"/>
      </w:pPr>
      <w:r>
        <w:t xml:space="preserve">35.1 Contexte</w:t>
      </w:r>
    </w:p>
    <w:p>
      <w:pPr>
        <w:spacing w:after="120"/>
      </w:pPr>
      <w:r>
        <w:t xml:space="preserve">Une ETI manufacturière observe un signal faible : le SOC note une augmentation de 300% des échecs de connexion RDP sur les serveurs de backup depuis 48h. Aucune alerte critique n’est générée (le seuil est à 500 échecs/heure et on est à 180/heure). Le hunter prend le signal.</w:t>
      </w:r>
    </w:p>
    <w:p>
      <w:pPr>
        <w:pStyle w:val="Heading2"/>
      </w:pPr>
      <w:r>
        <w:t xml:space="preserve">35.2 Hunt et résultats</w:t>
      </w:r>
    </w:p>
    <w:p>
      <w:pPr>
        <w:spacing w:after="120"/>
      </w:pPr>
      <w:r>
        <w:t xml:space="preserve">Hunt 1 — échecs RDP. Requête : Event 4625 type 10 ciblant les serveurs de backup, groupés par source IP. Résultat : toutes les tentatives viennent de 2 postes utilisateurs du département commercial. Vérification : ces postes n’ont aucune raison de se connecter en RDP à des serveurs de backup. Pivot endpoint : les 2 postes montrent des connexions réseau vers un domaine enregistré il y a 12 jours (C2 probable) et un processus nltest /dclist (reconnaissance du domaine). Pivot identity : les comptes associés à ces postes ont été utilisés pour des connexions SMB vers 8 serveurs différents en 24h (mouvement latéral). Pivot timeline : l’accès initial remonte à 5 jours via un infostealer (Lumma Stealer identifié dans les logs EDR — exécution d’un .exe téléchargé depuis un email). La chaîne : infostealer → credentials volés → accès initial → reconnaissance → mouvement latéral → tentative d’accès aux backups (pour les supprimer avant le chiffrement). L’attaque est en phase pré-chiffrement.</w:t>
      </w:r>
    </w:p>
    <w:p>
      <w:pPr>
        <w:pStyle w:val="Heading2"/>
      </w:pPr>
      <w:r>
        <w:t xml:space="preserve">35.3 Impact évité</w:t>
      </w:r>
    </w:p>
    <w:p>
      <w:pPr>
        <w:spacing w:after="120"/>
      </w:pPr>
      <w:r>
        <w:t xml:space="preserve">Le containment immédiat (isolation des 2 postes et des 8 serveurs, reset des comptes compromis, blocage du C2) stoppe l’attaque avant le déploiement du ransomware. Le coût évité est estimé à plusieurs millions d’euros (interruption de production, paiement éventuel de rançon, restauration). Le signal faible (augmentation des échecs RDP) qui n’aurait pas déclenché d’alerte a été transformé en détection précoce grâce au hunting.</w:t>
      </w:r>
    </w:p>
    <w:p>
      <w:r>
        <w:br w:type="page"/>
      </w:r>
    </w:p>
    <w:p>
      <w:pPr>
        <w:pStyle w:val="Heading1"/>
      </w:pPr>
      <w:r>
        <w:t xml:space="preserve">Chapitre 36 — Étude de cas 3 : Hunt PowerShell et LOLBins</w:t>
      </w:r>
    </w:p>
    <w:p>
      <w:pPr>
        <w:pStyle w:val="Heading2"/>
      </w:pPr>
      <w:r>
        <w:t xml:space="preserve">36.1 Contexte</w:t>
      </w:r>
    </w:p>
    <w:p>
      <w:pPr>
        <w:spacing w:after="120"/>
      </w:pPr>
      <w:r>
        <w:t xml:space="preserve">L’équipe CTI publie un rapport sur une campagne utilisant des LOLBins (Living-off-the-Land Binaries) pour échapper aux détections endpoint. Le mode opératoire : macro Word → mshta.exe charge un HTA distant → PowerShell encodé Base64 → téléchargement d’un DLL via certutil → exécution via rundll32. Aucun binaire malveillant n’est déposé sur le disque — tout utilise des outils légitimes du système.</w:t>
      </w:r>
    </w:p>
    <w:p>
      <w:pPr>
        <w:pStyle w:val="Heading2"/>
      </w:pPr>
      <w:r>
        <w:t xml:space="preserve">36.2 Hunt et résultats</w:t>
      </w:r>
    </w:p>
    <w:p>
      <w:pPr>
        <w:spacing w:after="120"/>
      </w:pPr>
      <w:r>
        <w:t xml:space="preserve">Hunt 1 — Office → processus suspect. Requête EDR : processus parent WINWORD.EXE ou EXCEL.EXE avec processus enfant mshta, powershell, cmd, wscript, cscript. Résultat brut : 34 événements en 30 jours. Baseline : les macros légitimes de l’organisation appellent uniquement des scripts VBA internes, jamais mshta ni PowerShell. Après tri : 2 événements suspects — WINWORD.EXE → mshta.exe avec URL distante. Hunt 2 — certutil -urlcache. Requête : processus certutil avec arguments contenant -urlcache ou -split. Résultat : 5 événements. 3 sont des admins qui téléchargent des certificats (légitime). 2 sont des téléchargements de fichiers .dll depuis une URL externe sur les mêmes machines que le hit mshta. La chaîne LOLBin complète est reconstituée. Les 2 machines compromises sont isolées. 4 nouvelles règles Sigma sont créées : Office → mshta, certutil -urlcache hors admins, PowerShell -enc depuis process non standard, rundll32 avec chemin Temp/AppData.</w:t>
      </w:r>
    </w:p>
    <w:p>
      <w:r>
        <w:br w:type="page"/>
      </w:r>
    </w:p>
    <w:p>
      <w:pPr>
        <w:pStyle w:val="Heading1"/>
      </w:pPr>
      <w:r>
        <w:t xml:space="preserve">Chapitre 37 — Étude de cas 4 : Hunt cloud / SaaS</w:t>
      </w:r>
    </w:p>
    <w:p>
      <w:pPr>
        <w:pStyle w:val="Heading2"/>
      </w:pPr>
      <w:r>
        <w:t xml:space="preserve">37.1 Contexte</w:t>
      </w:r>
    </w:p>
    <w:p>
      <w:pPr>
        <w:spacing w:after="120"/>
      </w:pPr>
      <w:r>
        <w:t xml:space="preserve">Une fintech utilise AWS pour son infrastructure et Google Workspace pour la collaboration. Un ancien employé (départ il y a 2 mois) avait des accès élevés. Le RH demande au hunting de vérifier qu’aucun accès résiduel n’existe.</w:t>
      </w:r>
    </w:p>
    <w:p>
      <w:pPr>
        <w:pStyle w:val="Heading2"/>
      </w:pPr>
      <w:r>
        <w:t xml:space="preserve">37.2 Hunt et résultats</w:t>
      </w:r>
    </w:p>
    <w:p>
      <w:pPr>
        <w:spacing w:after="120"/>
      </w:pPr>
      <w:r>
        <w:t xml:space="preserve">Hunt 1 — comptes IAM actifs. Requête CloudTrail : IAM actions (ListUsers, GetUser) pour lister tous les accès actifs. Résultat : le compte IAM de l’ex-employé a été désactivé mais pas supprimé — et 2 access keys associées sont toujours actives. Vérification de l’activité des clés : la clé AKIA...3F7Q a été utilisée il y a 3 jours pour lister les buckets S3 (ListBuckets) et télécharger 12 fichiers depuis le bucket de production (GetObject). L’IP source est un VPN commercial. L’ancien employé accède toujours aux données de production. Hunt 2 — Google Workspace. Les audit logs montrent que le compte Google de l’ex-employé a été désactivé correctement, mais un OAuth app installé par cet employé avant son départ (« backup-automation ») continue de synchroniser des fichiers Google Drive vers un service externe. La persistence post-départ est confirmée sur 2 surfaces.</w:t>
      </w:r>
    </w:p>
    <w:p>
      <w:pPr>
        <w:pStyle w:val="Heading2"/>
      </w:pPr>
      <w:r>
        <w:t xml:space="preserve">37.3 Transformation</w:t>
      </w:r>
    </w:p>
    <w:p>
      <w:pPr>
        <w:spacing w:after="120"/>
      </w:pPr>
      <w:r>
        <w:t xml:space="preserve">Règles créées : alerte sur utilisation d’access keys IAM par des comptes désactivés, alerte sur OAuth apps actives associées à des comptes désactivés, alerte sur ListBuckets / GetObject depuis une IP non référencée. Processus amélioré : le départ d’un employé déclenche désormais un offboarding checklist incluant la suppression (pas juste la désactivation) des accès IAM, la révocation de toutes les access keys, et l’audit des OAuth apps installées.</w:t>
      </w:r>
    </w:p>
    <w:p>
      <w:r>
        <w:br w:type="page"/>
      </w: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Terme</w:t>
            </w:r>
          </w:p>
        </w:tc>
        <w:tc>
          <w:tcPr>
            <w:tcW w:type="dxa" w:w="71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ACH</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Analysis of Competing Hypotheses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ADS-B</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Transpondeur aéronautique (utilisé en OSINT aéro)</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AS-REP Roasting</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Attaque Kerberos ciblant les comptes sans pre-auth</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ATT&amp;CK</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MITRE Adversarial Tactics, Techniques &amp; Common Knowledge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Baseline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Profil de comportement normal d’un environnement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Beaconing</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Communication périodique entre implant et C2</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C2</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Command and Control — infrastructure de contrôle de l’attaquant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CTI</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Cyber Threat Intelligence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DCSync</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Réplication du domaine AD simulant un DC</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Detection engineering</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Création et maintenance de règles de détection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DFIR</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Digital Forensics and Incident Response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Dwell time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Délai entre compromission initiale et détection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EDR</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Endpoint Detection &amp; Response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EQL</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Event Query Language (Elastic)</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Hunt package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Fiche de hunt standardisée et réutilisable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Hunt ticket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Documentation complète d’un hunt mené</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IAB</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Initial Access Broker</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IOA</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Indicator of Attack — comportement suspect en cours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IOC</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Indicator of Compromise — artefact d’une compromission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Kerberoasting</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Attaque ciblant les tickets Kerberos de comptes de service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KQL</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Kusto Query Language (Microsoft)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LOLBin</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Living-off-the-Land Binary — outil légitime abusé</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LSASS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Local Security Authority Subsystem Service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MFA fatigue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Attaque par vagues répétées de push MFA</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MVV</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Minimum Viable Visibility</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NDR</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Network Detection &amp; Response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Netflow</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Métadonnées de flux réseau</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OAuth consent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Autorisation donnée à une app d’accéder à des données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Pivot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Passage d’un artefact à un autre dans l’investigation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Purple teaming</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Simulation contrôlée d’attaque pour valider la détection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Pyramid of Pain</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Hiérarchie des indicateurs par valeur défensive (Bianco)</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RaaS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Ransomware-as-a-Service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Scoping</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Détermination de l’étendue d’une compromission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Sigma</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Format universel de règles de détection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SPL</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Search Processing Language (Splunk)</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System Monitor — outil de logging Windows avancé</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TTP</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Tactics, Techniques, and Procedures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UEBA</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User and Entity Behavior Analytics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Weak signal</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Signal faible ne justifiant pas une alerte mais méritant investigation</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XDR</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Extended Detection &amp; Response</w:t>
            </w:r>
          </w:p>
        </w:tc>
      </w:tr>
    </w:tbl>
    <w:p>
      <w:pPr>
        <w:spacing w:after="80"/>
      </w:pPr>
      <w:r>
        <w:t xml:space="preserve"/>
      </w:r>
    </w:p>
    <w:p>
      <w:r>
        <w:br w:type="page"/>
      </w:r>
    </w:p>
    <w:p>
      <w:pPr>
        <w:pStyle w:val="Heading1"/>
      </w:pPr>
      <w:r>
        <w:t xml:space="preserve">Annexe B — Templates de hunts</w:t>
      </w:r>
    </w:p>
    <w:p>
      <w:pPr>
        <w:pStyle w:val="Heading2"/>
      </w:pPr>
      <w:r>
        <w:t xml:space="preserve">B.1 Template d’hypothèse de hunt</w:t>
      </w:r>
    </w:p>
    <w:p>
      <w:pPr>
        <w:spacing w:after="120"/>
      </w:pPr>
      <w:r>
        <w:t xml:space="preserve">Référence hunt | Date | Analyste | Hypothèse (formulation précise) | Technique ATT&amp;CK | Sources requises | Requête initiale | Résultat attendu si positif | Baseline connue | Faux positifs anticipés | Priorité (haute/moyenne/basse) | Estimation temps</w:t>
      </w:r>
    </w:p>
    <w:p>
      <w:pPr>
        <w:pStyle w:val="Heading2"/>
      </w:pPr>
      <w:r>
        <w:t xml:space="preserve">B.2 Template de hunt ticket (fiche de résultat)</w:t>
      </w:r>
    </w:p>
    <w:p>
      <w:pPr>
        <w:spacing w:after="120"/>
      </w:pPr>
      <w:r>
        <w:t xml:space="preserve">Référence | Date début/fin | Hypothèse testée | Sources utilisées | Requêtes exécutées (exact KQL/SPL) | Résultats bruts (volume) | Résultats après tri | Pivots réalisés | Conclusion (compromission / FP / négatif / gap) | Niveau de confiance | Suites (escalade IR / règle / recommandation log / rien) | Enseignements</w:t>
      </w:r>
    </w:p>
    <w:p>
      <w:pPr>
        <w:pStyle w:val="Heading2"/>
      </w:pPr>
      <w:r>
        <w:t xml:space="preserve">B.3 Template de transformation en détection</w:t>
      </w:r>
    </w:p>
    <w:p>
      <w:pPr>
        <w:spacing w:after="120"/>
      </w:pPr>
      <w:r>
        <w:t xml:space="preserve">Référence hunt source | Pattern détecté | Règle Sigma proposée | Exclusions | Cas de test (Atomic Red Team) | Taux FP estimé | Sévérité | Fréquence d’exécution | Responsable SOC | Date de mise en production | Date de review</w:t>
      </w:r>
    </w:p>
    <w:p>
      <w:r>
        <w:br w:type="page"/>
      </w:r>
    </w:p>
    <w:p>
      <w:pPr>
        <w:pStyle w:val="Heading1"/>
      </w:pPr>
      <w:r>
        <w:t xml:space="preserve">Annexe C — Mapping MITRE ATT&amp;CK orienté hunting</w:t>
      </w:r>
    </w:p>
    <w:p>
      <w:pPr>
        <w:spacing w:after="120"/>
      </w:pPr>
      <w:r>
        <w:t xml:space="preserve">Les techniques les plus « huntables » par tactique, avec les logs associés et un exemple de question hunting.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Tactique</w:t>
            </w:r>
          </w:p>
        </w:tc>
        <w:tc>
          <w:tcPr>
            <w:tcW w:type="dxa" w:w="24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Technique</w:t>
            </w:r>
          </w:p>
        </w:tc>
        <w:tc>
          <w:tcPr>
            <w:tcW w:type="dxa" w:w="18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Log clé</w:t>
            </w:r>
          </w:p>
        </w:tc>
        <w:tc>
          <w:tcPr>
            <w:tcW w:type="dxa" w:w="37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Question hunting</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Initial Access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T1566 Phishing</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Email gateway + EDR</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emails avec URLs/attachments rares ont-ils été cliqués/ouverts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Execution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T1059.001 PowerShell</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4104 Script Block</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PowerShell encodés Base64 ont-ils été exécutés hors admin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Persistence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T1053.005 Scheduled Task</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4698 + EDR</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tasks avec actions suspectes ont-elles été créées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Priv Esc</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T1078 Valid Accounts</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4624/4625 + Entra</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comptes légitimes montrent-ils des logons anormaux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Def Evasion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T1218 LOLBins</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EDR process tree</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LOLBins (mshta, rundll32) ont-ils été lancés par Office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Cred Access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T1558.003 Kerberoasting</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4769</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Y a-t-il un pic de TGS requests RC4 sur des comptes de service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Discovery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T1018 Remote Discovery</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EDR + netflow</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Un poste a-t-il énuméré des machines via nltest/net group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Lat Movement</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T1021.001 RDP</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4624 type 10</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postes utilisateurs ont-ils initié du RDP vers des serveurs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Collection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T1074 Data Staged</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EDR file monitoring</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volumes de données ont-ils été concentrés dans un répertoire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C2</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T1071.001 Web Protocols</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Proxy + DNS</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Y a-t-il des connexions HTTPS périodiques vers des domaines jeunes ?</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Exfiltration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T1048 DNS Exfil</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DNS query logs</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Des requêtes DNS anormalement longues ou volumineuses existent-elles ?</w:t>
            </w:r>
          </w:p>
        </w:tc>
      </w:tr>
    </w:tbl>
    <w:p>
      <w:pPr>
        <w:spacing w:after="80"/>
      </w:pPr>
      <w:r>
        <w:t xml:space="preserve"/>
      </w:r>
    </w:p>
    <w:p>
      <w:r>
        <w:br w:type="page"/>
      </w:r>
    </w:p>
    <w:p>
      <w:pPr>
        <w:pStyle w:val="Heading1"/>
      </w:pPr>
      <w:r>
        <w:t xml:space="preserve">Annexe D — Cheat sheets de requêtes</w:t>
      </w:r>
    </w:p>
    <w:p>
      <w:pPr>
        <w:pStyle w:val="Heading2"/>
      </w:pPr>
      <w:r>
        <w:t xml:space="preserve">D.1 KQL (Sentinel / Defender)</w:t>
      </w:r>
    </w:p>
    <w:p>
      <w:pPr>
        <w:shd w:fill="F5F5F5" w:val="clear"/>
        <w:spacing w:after="40"/>
      </w:pPr>
      <w:r>
        <w:rPr>
          <w:rFonts w:ascii="Consolas" w:cs="Consolas" w:eastAsia="Consolas" w:hAnsi="Consolas"/>
          <w:sz w:val="18"/>
          <w:szCs w:val="18"/>
        </w:rPr>
        <w:t xml:space="preserve">// Scheduled tasks suspectes</w:t>
      </w:r>
    </w:p>
    <w:p>
      <w:pPr>
        <w:shd w:fill="F5F5F5" w:val="clear"/>
        <w:spacing w:after="40"/>
      </w:pPr>
      <w:r>
        <w:rPr>
          <w:rFonts w:ascii="Consolas" w:cs="Consolas" w:eastAsia="Consolas" w:hAnsi="Consolas"/>
          <w:sz w:val="18"/>
          <w:szCs w:val="18"/>
        </w:rPr>
        <w:t xml:space="preserve">DeviceProcessEvents | where Timestamp &gt; ago(30d)</w:t>
      </w:r>
    </w:p>
    <w:p>
      <w:pPr>
        <w:shd w:fill="F5F5F5" w:val="clear"/>
        <w:spacing w:after="40"/>
      </w:pPr>
      <w:r>
        <w:rPr>
          <w:rFonts w:ascii="Consolas" w:cs="Consolas" w:eastAsia="Consolas" w:hAnsi="Consolas"/>
          <w:sz w:val="18"/>
          <w:szCs w:val="18"/>
        </w:rPr>
        <w:t xml:space="preserve">| where FileName == 'schtasks.exe'</w:t>
      </w:r>
    </w:p>
    <w:p>
      <w:pPr>
        <w:shd w:fill="F5F5F5" w:val="clear"/>
        <w:spacing w:after="40"/>
      </w:pPr>
      <w:r>
        <w:rPr>
          <w:rFonts w:ascii="Consolas" w:cs="Consolas" w:eastAsia="Consolas" w:hAnsi="Consolas"/>
          <w:sz w:val="18"/>
          <w:szCs w:val="18"/>
        </w:rPr>
        <w:t xml:space="preserve">| where ProcessCommandLine has_any ('powershell','cmd','mshta','rundll32')</w:t>
      </w:r>
    </w:p>
    <w:p>
      <w:pPr>
        <w:shd w:fill="F5F5F5" w:val="clear"/>
        <w:spacing w:after="40"/>
      </w:pPr>
      <w:r>
        <w:rPr>
          <w:rFonts w:ascii="Consolas" w:cs="Consolas" w:eastAsia="Consolas" w:hAnsi="Consolas"/>
          <w:sz w:val="18"/>
          <w:szCs w:val="18"/>
        </w:rPr>
        <w:t xml:space="preserve">| project Timestamp, DeviceName, AccountName, ProcessCommandLine</w:t>
      </w:r>
    </w:p>
    <w:p>
      <w:pPr>
        <w:shd w:fill="F5F5F5" w:val="clear"/>
        <w:spacing w:after="40"/>
      </w:pPr>
      <w:r>
        <w:rPr>
          <w:rFonts w:ascii="Consolas" w:cs="Consolas" w:eastAsia="Consolas" w:hAnsi="Consolas"/>
          <w:sz w:val="18"/>
          <w:szCs w:val="18"/>
        </w:rPr>
        <w:t xml:space="preserve"/>
      </w:r>
    </w:p>
    <w:p>
      <w:pPr>
        <w:shd w:fill="F5F5F5" w:val="clear"/>
        <w:spacing w:after="40"/>
      </w:pPr>
      <w:r>
        <w:rPr>
          <w:rFonts w:ascii="Consolas" w:cs="Consolas" w:eastAsia="Consolas" w:hAnsi="Consolas"/>
          <w:sz w:val="18"/>
          <w:szCs w:val="18"/>
        </w:rPr>
        <w:t xml:space="preserve">// PowerShell encodé Base64</w:t>
      </w:r>
    </w:p>
    <w:p>
      <w:pPr>
        <w:shd w:fill="F5F5F5" w:val="clear"/>
        <w:spacing w:after="40"/>
      </w:pPr>
      <w:r>
        <w:rPr>
          <w:rFonts w:ascii="Consolas" w:cs="Consolas" w:eastAsia="Consolas" w:hAnsi="Consolas"/>
          <w:sz w:val="18"/>
          <w:szCs w:val="18"/>
        </w:rPr>
        <w:t xml:space="preserve">DeviceProcessEvents | where Timestamp &gt; ago(30d)</w:t>
      </w:r>
    </w:p>
    <w:p>
      <w:pPr>
        <w:shd w:fill="F5F5F5" w:val="clear"/>
        <w:spacing w:after="40"/>
      </w:pPr>
      <w:r>
        <w:rPr>
          <w:rFonts w:ascii="Consolas" w:cs="Consolas" w:eastAsia="Consolas" w:hAnsi="Consolas"/>
          <w:sz w:val="18"/>
          <w:szCs w:val="18"/>
        </w:rPr>
        <w:t xml:space="preserve">| where FileName == 'powershell.exe'</w:t>
      </w:r>
    </w:p>
    <w:p>
      <w:pPr>
        <w:shd w:fill="F5F5F5" w:val="clear"/>
        <w:spacing w:after="40"/>
      </w:pPr>
      <w:r>
        <w:rPr>
          <w:rFonts w:ascii="Consolas" w:cs="Consolas" w:eastAsia="Consolas" w:hAnsi="Consolas"/>
          <w:sz w:val="18"/>
          <w:szCs w:val="18"/>
        </w:rPr>
        <w:t xml:space="preserve">| where ProcessCommandLine has_any ('-enc','-EncodedCommand','-e ')</w:t>
      </w:r>
    </w:p>
    <w:p>
      <w:pPr>
        <w:shd w:fill="F5F5F5" w:val="clear"/>
        <w:spacing w:after="40"/>
      </w:pPr>
      <w:r>
        <w:rPr>
          <w:rFonts w:ascii="Consolas" w:cs="Consolas" w:eastAsia="Consolas" w:hAnsi="Consolas"/>
          <w:sz w:val="18"/>
          <w:szCs w:val="18"/>
        </w:rPr>
        <w:t xml:space="preserve">| project Timestamp, DeviceName, AccountName, ProcessCommandLine</w:t>
      </w:r>
    </w:p>
    <w:p>
      <w:pPr>
        <w:shd w:fill="F5F5F5" w:val="clear"/>
        <w:spacing w:after="40"/>
      </w:pPr>
      <w:r>
        <w:rPr>
          <w:rFonts w:ascii="Consolas" w:cs="Consolas" w:eastAsia="Consolas" w:hAnsi="Consolas"/>
          <w:sz w:val="18"/>
          <w:szCs w:val="18"/>
        </w:rPr>
        <w:t xml:space="preserve"/>
      </w:r>
    </w:p>
    <w:p>
      <w:pPr>
        <w:shd w:fill="F5F5F5" w:val="clear"/>
        <w:spacing w:after="40"/>
      </w:pPr>
      <w:r>
        <w:rPr>
          <w:rFonts w:ascii="Consolas" w:cs="Consolas" w:eastAsia="Consolas" w:hAnsi="Consolas"/>
          <w:sz w:val="18"/>
          <w:szCs w:val="18"/>
        </w:rPr>
        <w:t xml:space="preserve">// Logons anormaux (type 10 = RDP)</w:t>
      </w:r>
    </w:p>
    <w:p>
      <w:pPr>
        <w:shd w:fill="F5F5F5" w:val="clear"/>
        <w:spacing w:after="40"/>
      </w:pPr>
      <w:r>
        <w:rPr>
          <w:rFonts w:ascii="Consolas" w:cs="Consolas" w:eastAsia="Consolas" w:hAnsi="Consolas"/>
          <w:sz w:val="18"/>
          <w:szCs w:val="18"/>
        </w:rPr>
        <w:t xml:space="preserve">SecurityEvent | where TimeGenerated &gt; ago(7d)</w:t>
      </w:r>
    </w:p>
    <w:p>
      <w:pPr>
        <w:shd w:fill="F5F5F5" w:val="clear"/>
        <w:spacing w:after="40"/>
      </w:pPr>
      <w:r>
        <w:rPr>
          <w:rFonts w:ascii="Consolas" w:cs="Consolas" w:eastAsia="Consolas" w:hAnsi="Consolas"/>
          <w:sz w:val="18"/>
          <w:szCs w:val="18"/>
        </w:rPr>
        <w:t xml:space="preserve">| where EventID == 4624 and LogonType == 10</w:t>
      </w:r>
    </w:p>
    <w:p>
      <w:pPr>
        <w:shd w:fill="F5F5F5" w:val="clear"/>
        <w:spacing w:after="40"/>
      </w:pPr>
      <w:r>
        <w:rPr>
          <w:rFonts w:ascii="Consolas" w:cs="Consolas" w:eastAsia="Consolas" w:hAnsi="Consolas"/>
          <w:sz w:val="18"/>
          <w:szCs w:val="18"/>
        </w:rPr>
        <w:t xml:space="preserve">| summarize count() by TargetUserName, Computer, IpAddress</w:t>
      </w:r>
    </w:p>
    <w:p>
      <w:pPr>
        <w:shd w:fill="F5F5F5" w:val="clear"/>
        <w:spacing w:after="40"/>
      </w:pPr>
      <w:r>
        <w:rPr>
          <w:rFonts w:ascii="Consolas" w:cs="Consolas" w:eastAsia="Consolas" w:hAnsi="Consolas"/>
          <w:sz w:val="18"/>
          <w:szCs w:val="18"/>
        </w:rPr>
        <w:t xml:space="preserve">| where count_ &gt; 5</w:t>
      </w:r>
    </w:p>
    <w:p>
      <w:pPr>
        <w:shd w:fill="F5F5F5" w:val="clear"/>
        <w:spacing w:after="40"/>
      </w:pPr>
      <w:r>
        <w:rPr>
          <w:rFonts w:ascii="Consolas" w:cs="Consolas" w:eastAsia="Consolas" w:hAnsi="Consolas"/>
          <w:sz w:val="18"/>
          <w:szCs w:val="18"/>
        </w:rPr>
        <w:t xml:space="preserve"/>
      </w:r>
    </w:p>
    <w:p>
      <w:pPr>
        <w:shd w:fill="F5F5F5" w:val="clear"/>
        <w:spacing w:after="40"/>
      </w:pPr>
      <w:r>
        <w:rPr>
          <w:rFonts w:ascii="Consolas" w:cs="Consolas" w:eastAsia="Consolas" w:hAnsi="Consolas"/>
          <w:sz w:val="18"/>
          <w:szCs w:val="18"/>
        </w:rPr>
        <w:t xml:space="preserve">// Beaconing DNS (domaines rares)</w:t>
      </w:r>
    </w:p>
    <w:p>
      <w:pPr>
        <w:shd w:fill="F5F5F5" w:val="clear"/>
        <w:spacing w:after="40"/>
      </w:pPr>
      <w:r>
        <w:rPr>
          <w:rFonts w:ascii="Consolas" w:cs="Consolas" w:eastAsia="Consolas" w:hAnsi="Consolas"/>
          <w:sz w:val="18"/>
          <w:szCs w:val="18"/>
        </w:rPr>
        <w:t xml:space="preserve">DnsEvents | where TimeGenerated &gt; ago(7d)</w:t>
      </w:r>
    </w:p>
    <w:p>
      <w:pPr>
        <w:shd w:fill="F5F5F5" w:val="clear"/>
        <w:spacing w:after="40"/>
      </w:pPr>
      <w:r>
        <w:rPr>
          <w:rFonts w:ascii="Consolas" w:cs="Consolas" w:eastAsia="Consolas" w:hAnsi="Consolas"/>
          <w:sz w:val="18"/>
          <w:szCs w:val="18"/>
        </w:rPr>
        <w:t xml:space="preserve">| summarize QueryCount=count(), DistinctHosts=dcount(Computer) by Name</w:t>
      </w:r>
    </w:p>
    <w:p>
      <w:pPr>
        <w:shd w:fill="F5F5F5" w:val="clear"/>
        <w:spacing w:after="40"/>
      </w:pPr>
      <w:r>
        <w:rPr>
          <w:rFonts w:ascii="Consolas" w:cs="Consolas" w:eastAsia="Consolas" w:hAnsi="Consolas"/>
          <w:sz w:val="18"/>
          <w:szCs w:val="18"/>
        </w:rPr>
        <w:t xml:space="preserve">| where QueryCount &gt; 100 and DistinctHosts &lt; 3</w:t>
      </w:r>
    </w:p>
    <w:p>
      <w:pPr>
        <w:pStyle w:val="Heading2"/>
      </w:pPr>
      <w:r>
        <w:t xml:space="preserve">D.2 SPL (Splunk)</w:t>
      </w:r>
    </w:p>
    <w:p>
      <w:pPr>
        <w:shd w:fill="F5F5F5" w:val="clear"/>
        <w:spacing w:after="40"/>
      </w:pPr>
      <w:r>
        <w:rPr>
          <w:rFonts w:ascii="Consolas" w:cs="Consolas" w:eastAsia="Consolas" w:hAnsi="Consolas"/>
          <w:sz w:val="18"/>
          <w:szCs w:val="18"/>
        </w:rPr>
        <w:t xml:space="preserve">// Scheduled tasks suspectes</w:t>
      </w:r>
    </w:p>
    <w:p>
      <w:pPr>
        <w:shd w:fill="F5F5F5" w:val="clear"/>
        <w:spacing w:after="40"/>
      </w:pPr>
      <w:r>
        <w:rPr>
          <w:rFonts w:ascii="Consolas" w:cs="Consolas" w:eastAsia="Consolas" w:hAnsi="Consolas"/>
          <w:sz w:val="18"/>
          <w:szCs w:val="18"/>
        </w:rPr>
        <w:t xml:space="preserve">index=windows sourcetype=WinEventLog:Security EventCode=4698</w:t>
      </w:r>
    </w:p>
    <w:p>
      <w:pPr>
        <w:shd w:fill="F5F5F5" w:val="clear"/>
        <w:spacing w:after="40"/>
      </w:pPr>
      <w:r>
        <w:rPr>
          <w:rFonts w:ascii="Consolas" w:cs="Consolas" w:eastAsia="Consolas" w:hAnsi="Consolas"/>
          <w:sz w:val="18"/>
          <w:szCs w:val="18"/>
        </w:rPr>
        <w:t xml:space="preserve">| search TaskContent=*powershell* OR TaskContent=*cmd* OR TaskContent=*mshta*</w:t>
      </w:r>
    </w:p>
    <w:p>
      <w:pPr>
        <w:shd w:fill="F5F5F5" w:val="clear"/>
        <w:spacing w:after="40"/>
      </w:pPr>
      <w:r>
        <w:rPr>
          <w:rFonts w:ascii="Consolas" w:cs="Consolas" w:eastAsia="Consolas" w:hAnsi="Consolas"/>
          <w:sz w:val="18"/>
          <w:szCs w:val="18"/>
        </w:rPr>
        <w:t xml:space="preserve">| table _time ComputerName SubjectUserName TaskName TaskContent</w:t>
      </w:r>
    </w:p>
    <w:p>
      <w:pPr>
        <w:shd w:fill="F5F5F5" w:val="clear"/>
        <w:spacing w:after="40"/>
      </w:pPr>
      <w:r>
        <w:rPr>
          <w:rFonts w:ascii="Consolas" w:cs="Consolas" w:eastAsia="Consolas" w:hAnsi="Consolas"/>
          <w:sz w:val="18"/>
          <w:szCs w:val="18"/>
        </w:rPr>
        <w:t xml:space="preserve"/>
      </w:r>
    </w:p>
    <w:p>
      <w:pPr>
        <w:shd w:fill="F5F5F5" w:val="clear"/>
        <w:spacing w:after="40"/>
      </w:pPr>
      <w:r>
        <w:rPr>
          <w:rFonts w:ascii="Consolas" w:cs="Consolas" w:eastAsia="Consolas" w:hAnsi="Consolas"/>
          <w:sz w:val="18"/>
          <w:szCs w:val="18"/>
        </w:rPr>
        <w:t xml:space="preserve">// Accès LSASS suspect</w:t>
      </w:r>
    </w:p>
    <w:p>
      <w:pPr>
        <w:shd w:fill="F5F5F5" w:val="clear"/>
        <w:spacing w:after="40"/>
      </w:pPr>
      <w:r>
        <w:rPr>
          <w:rFonts w:ascii="Consolas" w:cs="Consolas" w:eastAsia="Consolas" w:hAnsi="Consolas"/>
          <w:sz w:val="18"/>
          <w:szCs w:val="18"/>
        </w:rPr>
        <w:t xml:space="preserve">index=sysmon EventCode=10 TargetImage=*lsass.exe</w:t>
      </w:r>
    </w:p>
    <w:p>
      <w:pPr>
        <w:shd w:fill="F5F5F5" w:val="clear"/>
        <w:spacing w:after="40"/>
      </w:pPr>
      <w:r>
        <w:rPr>
          <w:rFonts w:ascii="Consolas" w:cs="Consolas" w:eastAsia="Consolas" w:hAnsi="Consolas"/>
          <w:sz w:val="18"/>
          <w:szCs w:val="18"/>
        </w:rPr>
        <w:t xml:space="preserve">| search NOT SourceImage=*csrss.exe NOT SourceImage=*services.exe</w:t>
      </w:r>
    </w:p>
    <w:p>
      <w:pPr>
        <w:shd w:fill="F5F5F5" w:val="clear"/>
        <w:spacing w:after="40"/>
      </w:pPr>
      <w:r>
        <w:rPr>
          <w:rFonts w:ascii="Consolas" w:cs="Consolas" w:eastAsia="Consolas" w:hAnsi="Consolas"/>
          <w:sz w:val="18"/>
          <w:szCs w:val="18"/>
        </w:rPr>
        <w:t xml:space="preserve">| table _time ComputerName SourceImage TargetImage GrantedAccess</w:t>
      </w:r>
    </w:p>
    <w:p>
      <w:r>
        <w:br w:type="page"/>
      </w:r>
    </w:p>
    <w:p>
      <w:pPr>
        <w:pStyle w:val="Heading1"/>
      </w:pPr>
      <w:r>
        <w:t xml:space="preserve">Annexe E — Logs et événements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Source</w:t>
            </w:r>
          </w:p>
        </w:tc>
        <w:tc>
          <w:tcPr>
            <w:tcW w:type="dxa" w:w="55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Valeur hunting</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1</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Process creation</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Arbre parent/enfant, ligne de commande complète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3</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Network connection</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Connexions réseau par processus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7</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Image loaded (DLL)</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DLL sideloading, injection</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8</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CreateRemoteThread</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Injection de code inter-processus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10</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ProcessAccess</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Accès LSASS, lecture mémoire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11</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FileCreate</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Création de fichiers (staging, droppers)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Sysmon 13</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RegistryValue</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Persistence registry Run/RunOnce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4104</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PowerShell Script Block</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Contenu exact de chaque commande PowerShell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4624</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Security / Logon Success</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Logon réussi (type 2=interactif, 3=réseau, 10=RDP)</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4625</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Security / Logon Failure</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Brute force, password spray</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4662</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Security / Directory Service</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DCSync (droits de réplication)</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4698</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Security / Scheduled Task</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Création de tâche planifiée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4769</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Security / Kerberos</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TGS request (Kerberoasting si RC4 + volume)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Entra Sign-in</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Azure AD</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Auth cloud, MFA, conditional access, legacy auth</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Entra Audit</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Azure AD</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Modifications : OAuth apps, rôles, users, policies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CloudTrail</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AWS</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Actions API (IAM, S3, EC2, Lambda)</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Azure Activity</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Azure</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Actions resource manager</w:t>
            </w:r>
          </w:p>
        </w:tc>
      </w:tr>
    </w:tbl>
    <w:p>
      <w:pPr>
        <w:spacing w:after="80"/>
      </w:pPr>
      <w:r>
        <w:t xml:space="preserve"/>
      </w:r>
    </w:p>
    <w:p>
      <w:r>
        <w:br w:type="page"/>
      </w:r>
    </w:p>
    <w:p>
      <w:pPr>
        <w:pStyle w:val="Heading1"/>
      </w:pPr>
      <w:r>
        <w:t xml:space="preserve">Annexe F — Hunt packages prêts à l’emploi</w:t>
      </w:r>
    </w:p>
    <w:p>
      <w:pPr>
        <w:pStyle w:val="Heading2"/>
      </w:pPr>
      <w:r>
        <w:t xml:space="preserve">F.1 Hunt Package : Kerberoasting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Champ</w:t>
            </w:r>
          </w:p>
        </w:tc>
        <w:tc>
          <w:tcPr>
            <w:tcW w:type="dxa" w:w="71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Hypothèse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Un attaquant pourrait tenter du Kerberoasting pour extraire des credentials de comptes de service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Technique ATT&amp;CK</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T1558.003</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Sources requises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Event 4769 (Kerberos TGS request)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Requête KQL</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SecurityEvent | where EventID == 4769 | where TicketEncryptionType == '0x17' | summarize count() by TargetUserName, IpAddress | where count_ &gt; 10</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Baseline attendue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0-2 événements/jour (requêtes RC4 légitimes rares)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Indicateurs positifs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Volume &gt; 10 TGS RC4 en &lt; 1h, ciblant des comptes de service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Faux positifs connus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Applications legacy utilisant RC4, scanners de vulnérabilités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Pivot si positif</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Vérifier le compte source (compromis ?), les autres activités depuis la même IP</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Transformation</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Règle Sigma : alerte si &gt; 10 TGS RC4 en 1h par un même compte</w:t>
            </w:r>
          </w:p>
        </w:tc>
      </w:tr>
    </w:tbl>
    <w:p>
      <w:pPr>
        <w:spacing w:after="80"/>
      </w:pPr>
      <w:r>
        <w:t xml:space="preserve"/>
      </w:r>
    </w:p>
    <w:p>
      <w:pPr>
        <w:pStyle w:val="Heading2"/>
      </w:pPr>
      <w:r>
        <w:t xml:space="preserve">F.2 Hunt Package : OAuth consent 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Champ</w:t>
            </w:r>
          </w:p>
        </w:tc>
        <w:tc>
          <w:tcPr>
            <w:tcW w:type="dxa" w:w="71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Hypothèse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Un attaquant pourrait avoir installé une app OAuth malveillante pour persister dans le tenant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Technique ATT&amp;CK</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T1098.003</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Sources requises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Entra ID Audit logs (Application consent)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Requête KQL</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AuditLogs | where OperationName == 'Consent to application' | where TargetResources has_any ('Mail.Read','Files.ReadWrite.All')</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Baseline attendue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1-3 consentements/semaine (apps approuvées)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Indicateurs positifs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App inconnue avec permissions Mail.Read/Files.Read, consentie par plusieurs utilisateurs en peu de temps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Faux positifs connus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Déploiement légitime d’une nouvelle app par le SI</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Pivot si positif</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Vérifier l’app (publisher, permissions, activité), les utilisateurs ayant consenti, les données accédées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Transformation</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Politique admin-consent-only + alerte consentement non pré-approuvé</w:t>
            </w:r>
          </w:p>
        </w:tc>
      </w:tr>
    </w:tbl>
    <w:p>
      <w:pPr>
        <w:spacing w:after="80"/>
      </w:pPr>
      <w:r>
        <w:t xml:space="preserve"/>
      </w:r>
    </w:p>
    <w:p>
      <w:pPr>
        <w:pStyle w:val="Heading2"/>
      </w:pPr>
      <w:r>
        <w:t xml:space="preserve">F.3 Hunt Package : Beaconing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Champ</w:t>
            </w:r>
          </w:p>
        </w:tc>
        <w:tc>
          <w:tcPr>
            <w:tcW w:type="dxa" w:w="71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pPr>
              <w:spacing w:after="40"/>
            </w:pPr>
            <w:r>
              <w:rPr>
                <w:rFonts w:ascii="Calibri" w:cs="Calibri" w:eastAsia="Calibri" w:hAnsi="Calibri"/>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Hypothèse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Un implant C2 pourrait communiquer périodiquement via DNS vers un domaine contrôlé par l’attaquant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Technique ATT&amp;CK</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T1071.004</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Sources requises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DNS query logs avec timestamps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Requête SPL</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index=dns | stats count dc(src) as hosts by query | where count&gt;100 AND hosts&lt;3 | sort -count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Baseline attendue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Les domaines internes et CDN connus ont un volume élevé et beaucoup de hosts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Indicateurs positifs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Domaine jeune (&lt;60j), volume élevé, très peu de hosts (1-2), intervalle régulier</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Faux positifs connus</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Agents de monitoring, services SaaS de niche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Pivot si positif</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WHOIS du domaine, géolocalisation IP, analyse des intervalles, corrélation endpoint</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Transformation</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40"/>
            </w:pPr>
            <w:r>
              <w:rPr>
                <w:rFonts w:ascii="Calibri" w:cs="Calibri" w:eastAsia="Calibri" w:hAnsi="Calibri"/>
                <w:sz w:val="20"/>
                <w:szCs w:val="20"/>
              </w:rPr>
              <w:t xml:space="preserve">Règle : alerte domaine jeune + volume &gt; 100 + hosts &lt; 3 + périodicité</w:t>
            </w:r>
          </w:p>
        </w:tc>
      </w:tr>
    </w:tbl>
    <w:p>
      <w:pPr>
        <w:spacing w:after="80"/>
      </w:pPr>
      <w:r>
        <w:t xml:space="preserve"/>
      </w:r>
    </w:p>
    <w:p>
      <w:r>
        <w:br w:type="pag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Cyber Threat Hunting — Cours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Calibri" w:cs="Calibri" w:eastAsia="Calibri" w:hAnsi="Calibri"/>
      <w:b/>
      <w:bCs/>
      <w:color w:val="1B3A5C"/>
      <w:sz w:val="32"/>
      <w:szCs w:val="32"/>
    </w:rPr>
  </w:style>
  <w:style w:type="paragraph" w:styleId="Heading2">
    <w:name w:val="Heading 2"/>
    <w:basedOn w:val="Normal"/>
    <w:next w:val="Normal"/>
    <w:pPr>
      <w:spacing w:before="300" w:after="150"/>
      <w:outlineLvl w:val="1"/>
    </w:pPr>
    <w:rPr>
      <w:rFonts w:ascii="Calibri" w:cs="Calibri" w:eastAsia="Calibri" w:hAnsi="Calibri"/>
      <w:b/>
      <w:bCs/>
      <w:color w:val="2E75B6"/>
      <w:sz w:val="26"/>
      <w:szCs w:val="26"/>
    </w:rPr>
  </w:style>
  <w:style w:type="paragraph" w:styleId="Heading3">
    <w:name w:val="Heading 3"/>
    <w:basedOn w:val="Normal"/>
    <w:next w:val="Normal"/>
    <w:pPr>
      <w:spacing w:before="250" w:after="100"/>
      <w:outlineLvl w:val="2"/>
    </w:pPr>
    <w:rPr>
      <w:rFonts w:ascii="Calibri" w:cs="Calibri" w:eastAsia="Calibri" w:hAnsi="Calibri"/>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2026-03-24T00:30:48.861Z</dcterms:created>
  <dcterms:modified xsi:type="dcterms:W3CDTF">2026-03-24T00:30:48.862Z</dcterms:modified>
</cp:coreProperties>
</file>

<file path=docProps/custom.xml><?xml version="1.0" encoding="utf-8"?>
<Properties xmlns="http://schemas.openxmlformats.org/officeDocument/2006/custom-properties" xmlns:vt="http://schemas.openxmlformats.org/officeDocument/2006/docPropsVTypes"/>
</file>