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b/>
          <w:sz w:val="32"/>
        </w:rPr>
        <w:t>Politechnika Śląska</w:t>
      </w:r>
    </w:p>
    <w:p>
      <w:pPr>
        <w:pStyle w:val="Normal"/>
        <w:spacing w:before="0" w:after="0"/>
        <w:jc w:val="center"/>
        <w:rPr/>
      </w:pPr>
      <w:r>
        <w:rPr>
          <w:b/>
          <w:sz w:val="26"/>
        </w:rPr>
        <w:t>Wydział Matematyki Stosowanej</w:t>
      </w:r>
    </w:p>
    <w:p>
      <w:pPr>
        <w:pStyle w:val="Normal"/>
        <w:spacing w:before="0" w:after="480"/>
        <w:jc w:val="center"/>
        <w:rPr/>
      </w:pPr>
      <w:r>
        <w:rPr>
          <w:b/>
          <w:sz w:val="24"/>
        </w:rPr>
        <w:t>Przedmiot: Akwizycja Danych Biomedycznych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6"/>
        </w:rPr>
        <w:t>Rozpoznawanie cyfr widzianych przez badanego z sygnału EEG</w:t>
      </w:r>
    </w:p>
    <w:p>
      <w:pPr>
        <w:pStyle w:val="Normal"/>
        <w:jc w:val="center"/>
        <w:rPr/>
      </w:pPr>
      <w:r>
        <w:rPr>
          <w:i/>
          <w:sz w:val="24"/>
        </w:rPr>
        <w:t>Klasyfikacja na zbiorze MindBigData 2022 Visual MNIST (Emotiv EPOC, 14 kanałów) — porównanie czterech podejść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Autorzy:</w:t>
      </w:r>
    </w:p>
    <w:p>
      <w:pPr>
        <w:pStyle w:val="Normal"/>
        <w:jc w:val="center"/>
        <w:rPr/>
      </w:pPr>
      <w:r>
        <w:rPr/>
        <w:t>Jakub Pietrasik</w:t>
      </w:r>
    </w:p>
    <w:p>
      <w:pPr>
        <w:pStyle w:val="Normal"/>
        <w:jc w:val="center"/>
        <w:rPr/>
      </w:pPr>
      <w:r>
        <w:rPr/>
        <w:t>Piotr Skowroński</w:t>
      </w:r>
    </w:p>
    <w:p>
      <w:pPr>
        <w:pStyle w:val="Normal"/>
        <w:jc w:val="center"/>
        <w:rPr/>
      </w:pPr>
      <w:r>
        <w:rPr/>
        <w:t>Krzysztof Czuba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Czerwiec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Wstęp</w:t>
      </w:r>
    </w:p>
    <w:p>
      <w:pPr>
        <w:pStyle w:val="Normal"/>
        <w:rPr/>
      </w:pPr>
      <w:r>
        <w:rPr/>
        <w:t>Celem projektu było zbudowanie i uczciwa ocena pipeline'u klasyfikacji cyfr 0-9 na podstawie sygnału EEG rejestrowanego podczas oglądania obrazów cyfr ze zbioru MNIST. Pracowaliśmy na publicznym zbiorze MindBigData 2022 Visual MNIST (wariant Emotiv EPOC), porównując cztery podejścia o rosnącej złożoności: regresję logistyczną, Random Forest na ręcznie zaprojektowanych cechach, konwolucyjną sieć 1D na surowym sygnale oraz kompaktowy EEGNet dedykowany EEG.</w:t>
      </w:r>
    </w:p>
    <w:p>
      <w:pPr>
        <w:pStyle w:val="Normal"/>
        <w:rPr/>
      </w:pPr>
      <w:r>
        <w:rPr/>
        <w:t>Eksperyment ma charakter proof-of-concept: nie gonimy za rekordem skuteczności, lecz sprawdzamy, co realnie da się wyciągnąć z danych jednego badanego przy klasyfikacji pojedynczego trialu. Wyniki, w tym ich ograniczenia, omawiamy szczegółowo w sekcji 6.</w:t>
      </w:r>
    </w:p>
    <w:p>
      <w:pPr>
        <w:pStyle w:val="Heading1"/>
        <w:rPr/>
      </w:pPr>
      <w:r>
        <w:rPr/>
        <w:t>2. Zbiór danych</w:t>
      </w:r>
    </w:p>
    <w:p>
      <w:pPr>
        <w:pStyle w:val="Normal"/>
        <w:rPr/>
      </w:pPr>
      <w:r>
        <w:rPr/>
        <w:t>Wykorzystaliśmy wariant MindBigData2022_MNIST_EP. Sygnał zarejestrowano headsetem Emotiv EPOC (14 kanałów: AF3, F7, F3, FC5, T7, P7, O1, O2, P8, T8, FC6, F4, F8, AF4). Każdy trial trwa 2 sekundy przy częstotliwości 128 Hz, co daje 256 próbek na kanał (14</w:t>
      </w:r>
      <w:r>
        <w:rPr/>
        <w:t>*</w:t>
      </w:r>
      <w:r>
        <w:rPr/>
        <w:t>256 = 3584 wartości na trial). Etykieta -1 oznacza nagranie bez bodźca i została odrzucona - interesowała nas wyłącznie klasyfikacja cyfr 0–9. Po jej odfiltrowaniu pozostało 51 895 trialów treningowych i 12 980 testowych (kod -1 stanowi tu znikomy ułamek - 127/32 trialów). Klasy są zbliżone w liczności, więc losowy baseline klasyfikatora 10-klasowego wynosi 10% - można porównywać surowe accuracy bez ważenia.</w:t>
      </w:r>
    </w:p>
    <w:p>
      <w:pPr>
        <w:pStyle w:val="Normal"/>
        <w:rPr/>
      </w:pPr>
      <w:r>
        <w:rPr/>
        <w:t>Sygnał pochodzi od jednego badanego (David Vivancos), nagrywanego w kontrolowanych warunkach mających ograniczać EMG i mruganie. Rozdzielczość EPOC wynosi 0.51 µV/LSB, a urządzenie stosuje sprzętowe pasmo 0.2–45 Hz z filtrami notch 50/60 Hz - dane wchodzą więc już wstępnie przefiltrowane. Surowe sygnały EPOC nie mają dokładnie 256 próbek na 2 s, dlatego w zbiorze dopełniono je zerami lub przycięto do stałej długości 256 (drobny zero-padding może występować w części trialów).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390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9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Rys. 1. Rozkład klas (cyfry 0–9) w zbiorach train i test po odrzuceniu kodu -1.</w:t>
      </w:r>
    </w:p>
    <w:p>
      <w:pPr>
        <w:pStyle w:val="Normal"/>
        <w:rPr/>
      </w:pPr>
      <w:r>
        <w:rPr/>
        <w:t>Sygnał czasowy ma niski stosunek sygnału do szumu, a różnice klasowe są trudne do dostrzeżenia wzrokowo - informacja dyskryminacyjna siedzi w subtelnych wzorach czasowo-przestrzennych, nie w pojedynczym śladzie. To kluczowa cecha zadania, do której wracamy w dyskusji.</w:t>
      </w:r>
    </w:p>
    <w:p>
      <w:pPr>
        <w:pStyle w:val="Heading1"/>
        <w:rPr/>
      </w:pPr>
      <w:r>
        <w:rPr/>
        <w:t>3. Preprocessing</w:t>
      </w:r>
    </w:p>
    <w:p>
      <w:pPr>
        <w:pStyle w:val="Normal"/>
        <w:rPr/>
      </w:pPr>
      <w:r>
        <w:rPr/>
        <w:t>Czyszczenie sygnału wykonywane jest w stałej kolejności na każdym trialu i kanale:</w:t>
      </w:r>
    </w:p>
    <w:p>
      <w:pPr>
        <w:pStyle w:val="ListNumber"/>
        <w:numPr>
          <w:ilvl w:val="0"/>
          <w:numId w:val="4"/>
        </w:numPr>
        <w:rPr/>
      </w:pPr>
      <w:r>
        <w:rPr/>
        <w:t>detrend liniowy - usuwa wolny dryf elektrody;</w:t>
      </w:r>
    </w:p>
    <w:p>
      <w:pPr>
        <w:pStyle w:val="ListNumber"/>
        <w:numPr>
          <w:ilvl w:val="0"/>
          <w:numId w:val="4"/>
        </w:numPr>
        <w:rPr/>
      </w:pPr>
      <w:r>
        <w:rPr/>
        <w:t>filtr pasmowoprzepustowy 1-40 Hz (Butterworth IV rzędu, zero-phase) - odcina drift i wysokie częstotliwości; filtr notch 50 Hz pominięto świadomie, bo pasmo do 40 Hz i tak wycina sieciówkę;</w:t>
      </w:r>
    </w:p>
    <w:p>
      <w:pPr>
        <w:pStyle w:val="ListNumber"/>
        <w:numPr>
          <w:ilvl w:val="0"/>
          <w:numId w:val="4"/>
        </w:numPr>
        <w:rPr/>
      </w:pPr>
      <w:r>
        <w:rPr/>
        <w:t>korekcja linii bazowej - odjęcie średniej z pierwszych ~100 ms;</w:t>
      </w:r>
    </w:p>
    <w:p>
      <w:pPr>
        <w:pStyle w:val="ListNumber"/>
        <w:numPr>
          <w:ilvl w:val="0"/>
          <w:numId w:val="4"/>
        </w:numPr>
        <w:rPr/>
      </w:pPr>
      <w:r>
        <w:rPr/>
        <w:t>odrzucanie trialów z artefaktami - kryterium peak-to-peak &gt; 10</w:t>
      </w:r>
      <w:r>
        <w:rPr/>
        <w:t>*</w:t>
      </w:r>
      <w:r>
        <w:rPr/>
        <w:t>MAD (liczone na zbiorze treningowym) oraz detekcja „padłej” elektrody (flatline);</w:t>
      </w:r>
    </w:p>
    <w:p>
      <w:pPr>
        <w:pStyle w:val="ListNumber"/>
        <w:numPr>
          <w:ilvl w:val="0"/>
          <w:numId w:val="4"/>
        </w:numPr>
        <w:rPr/>
      </w:pPr>
      <w:r>
        <w:rPr/>
        <w:t>z-score per kanał - statystyki średniej i odchylenia liczone wyłącznie na train i stosowane do walidacji oraz testu (eliminacja wycieku informacji).</w:t>
      </w:r>
    </w:p>
    <w:p>
      <w:pPr>
        <w:pStyle w:val="Normal"/>
        <w:rPr/>
      </w:pPr>
      <w:r>
        <w:rPr/>
        <w:t>Progi i statystyki normalizacji wyznaczamy dopiero po podziale 80/20 na train/val, aby uniknąć wycieku. Odrzucono około 17.1% trialów treningowych (17.4% testowych) - po czyszczeniu pozostało 34 416 trialów treningowych, 8 659 walidacyjnych i 10 717 testowych.</w:t>
      </w:r>
    </w:p>
    <w:p>
      <w:pPr>
        <w:pStyle w:val="Heading2"/>
        <w:rPr/>
      </w:pPr>
      <w:r>
        <w:rPr/>
        <w:t xml:space="preserve">4. </w:t>
      </w:r>
      <w:r>
        <w:rPr/>
        <w:t>Eksploracyjna analiza sygnału</w:t>
      </w:r>
    </w:p>
    <w:p>
      <w:pPr>
        <w:pStyle w:val="BodyText"/>
        <w:spacing w:before="0" w:after="200"/>
        <w:rPr/>
      </w:pPr>
      <w:r>
        <w:rPr/>
        <w:t>Przed modelowaniem sprawdziliśmy, czy informacja różnicująca cyfry jest w ogóle obecna na poziomie sygnału - niezależnie od klasyfikatora. Analizy w tej sekcji wykonano na sygnale po filtracji i referencji uśrednionej z odrzuceniem artefaktów (wariant preprocessingu oparty na MNE, odrębny od pipeline'u klasyfikacji z sekcji 3). Prototypy poszczególnych cyfr normalizowano per kanał (z-score po osi czasu), aby porównywać kształt przebiegu, a nie amplitudę między elektrodami. Celem nie było uzyskanie cechy do klasyfikacji, lecz diagnoza: ile struktury klasowej da się znaleźć, zanim w ogóle uruchomimy model.</w:t>
      </w:r>
    </w:p>
    <w:p>
      <w:pPr>
        <w:pStyle w:val="Heading3"/>
        <w:rPr/>
      </w:pPr>
      <w:r>
        <w:rPr/>
        <w:t>4.1. Podobieństwo przebiegów między cyframi (DTW)</w:t>
      </w:r>
    </w:p>
    <w:p>
      <w:pPr>
        <w:pStyle w:val="BodyText"/>
        <w:spacing w:before="0" w:after="200"/>
        <w:rPr/>
      </w:pPr>
      <w:r>
        <w:rPr/>
        <w:t>Dla każdej cyfry uśredniliśmy wszystkie triale w jeden prototyp na kanał (uśrednianie podnosi SNR - pojedynczy trial jest silnie zaszumiony) i policzyliśmy odległość Dynamic Time Warping (DTW, z ograniczeniem ścieżki Sakoe-Chiba) między prototypami każdej pary cyfr. DTW dobrano zamiast odległości euklidesowej, bo toleruje przesunięcia latencji odpowiedzi między trialami. Analizę prowadziliśmy osobno dla kanałów potylicznych O1/O2 (kora wzrokowa - bodziec jest wzrokowy) oraz jako średnią po wszystkich kanałach.</w:t>
      </w:r>
    </w:p>
    <w:p>
      <w:pPr>
        <w:pStyle w:val="BodyText"/>
        <w:spacing w:before="0" w:after="200"/>
        <w:rPr>
          <w:rStyle w:val="Emphasis"/>
        </w:rPr>
      </w:pPr>
      <w:r>
        <w:rPr/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</w:r>
    </w:p>
    <w:p>
      <w:pPr>
        <w:pStyle w:val="Normal"/>
        <w:jc w:val="center"/>
        <w:rPr/>
      </w:pPr>
      <w:r>
        <w:rPr>
          <w:i/>
          <w:sz w:val="18"/>
        </w:rPr>
        <w:t xml:space="preserve">Rys. </w:t>
      </w:r>
      <w:r>
        <w:rPr>
          <w:i/>
          <w:sz w:val="18"/>
        </w:rPr>
        <w:t>2</w:t>
      </w:r>
      <w:r>
        <w:rPr>
          <w:i/>
          <w:sz w:val="18"/>
        </w:rPr>
        <w:t xml:space="preserve">. </w:t>
      </w:r>
      <w:r>
        <w:rPr>
          <w:i/>
          <w:iCs/>
          <w:sz w:val="18"/>
          <w:szCs w:val="18"/>
        </w:rPr>
        <w:t>Macierze odległości DTW między cyframi dla O1, O2 oraz średniej po kanałach.</w:t>
      </w:r>
    </w:p>
    <w:p>
      <w:pPr>
        <w:pStyle w:val="BodyText"/>
        <w:spacing w:before="0" w:after="200"/>
        <w:rPr/>
      </w:pPr>
      <w:r>
        <w:rPr/>
        <w:t xml:space="preserve">Kontrast między cyframi jest niski, a żadna cyfra nie odstaje konsekwentnie: na O1 największą średnią odległość od pozostałych ma cyfra 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-344805</wp:posOffset>
            </wp:positionH>
            <wp:positionV relativeFrom="paragraph">
              <wp:posOffset>-550545</wp:posOffset>
            </wp:positionV>
            <wp:extent cx="6568440" cy="20758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1, na O2 cyfra 2, a w uśrednieniu po kanałach cyfra 7 - trzy różne odpowiedzi. Brak zgodności między O1 a O2 (dwie półkule kory wzrokowej) wskazuje, że duża część kontrastu to szum, a nie stabilny komponent. Wniosek: uśrednione przebiegi poszczególnych cyfr różnią się minimalnie; macierz opisuje strukturę między-klasową, ale nie dowodzi rozróżnialności pojedynczych triali.</w:t>
      </w:r>
    </w:p>
    <w:p>
      <w:pPr>
        <w:pStyle w:val="Heading2"/>
        <w:spacing w:before="0" w:after="200"/>
        <w:rPr>
          <w:sz w:val="22"/>
        </w:rPr>
      </w:pPr>
      <w:r>
        <w:rPr>
          <w:sz w:val="22"/>
        </w:rPr>
        <w:t>4.2. Które kanały różnicują cyfry</w:t>
      </w:r>
    </w:p>
    <w:p>
      <w:pPr>
        <w:pStyle w:val="BodyText"/>
        <w:spacing w:before="0" w:after="200"/>
        <w:rPr/>
      </w:pPr>
      <w:r>
        <w:rPr/>
        <w:t>Dla każdego kanału policzyliśmy średnią odległość DTW między prototypami cyfr (im wyższa, tym mocniej dany kanał różnicuje cyfry).</w:t>
      </w:r>
    </w:p>
    <w:p>
      <w:pPr>
        <w:pStyle w:val="BodyText"/>
        <w:spacing w:before="0" w:after="200"/>
        <w:rPr/>
      </w:pPr>
      <w:r>
        <w:rPr>
          <w:rStyle w:val="Emphasis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18"/>
        </w:rPr>
        <w:t>T8 4.849369 T7 4.485136 F4 3.215574 F3 2.938178 FC5 2.886624 F7 2.606291 FC6 2.385911 P8 2.284105 F8 2.217778 AF3 1.960469 O2 1.624806 AF4 1.596513 P7 1.553639 O1 1.144137</w:t>
      </w:r>
    </w:p>
    <w:p>
      <w:pPr>
        <w:pStyle w:val="BodyText"/>
        <w:spacing w:before="0" w:after="200"/>
        <w:rPr/>
      </w:pPr>
      <w:r>
        <w:rPr/>
        <w:t>Najwyższe wartości wypadają na kanałach skroniowych (T7, T8) i czołowych, a najniższe na potylicznych (O1 na samym końcu rankingu). Jest to rozkład niezgodny z oczekiwanym dla bodźca wzrokowego: największe różnice między cyframi leżą tam, gdzie dominują artefakty mięśniowe (skronie) i okoruchowe (czoło), a nie w korze wzrokowej. Dodatkowo normalizacja z-score może zawyżać kanały o słabym sygnale (rozdmuchuje resztkowy szum), więc tego rankingu nie należy traktować jako wskazania „najlepszych" elektrod.</w:t>
      </w:r>
    </w:p>
    <w:p>
      <w:pPr>
        <w:pStyle w:val="Heading2"/>
        <w:spacing w:before="0" w:after="200"/>
        <w:rPr/>
      </w:pPr>
      <w:r>
        <w:rPr>
          <w:sz w:val="22"/>
        </w:rPr>
        <w:t>4.</w:t>
      </w:r>
      <w:r>
        <w:rPr>
          <w:sz w:val="22"/>
        </w:rPr>
        <w:t>3</w:t>
      </w:r>
      <w:r>
        <w:rPr>
          <w:sz w:val="22"/>
        </w:rPr>
        <w:t>. Łączność funkcjonalna (functional connectivity)</w:t>
      </w:r>
    </w:p>
    <w:p>
      <w:pPr>
        <w:pStyle w:val="BodyText"/>
        <w:spacing w:before="0" w:after="200"/>
        <w:rPr/>
      </w:pPr>
      <w:r>
        <w:rPr/>
        <w:t>Zbadaliśmy zależności między kanałami. Wyjściowo policzyliśmy korelację Pearsona, ale jest ona skażona przewodzeniem objętościowym (jedno źródło widziane przez wiele elektrod przy zerowym opóźnieniu). Różnice między cyframi w macierzy Pearsona były znikome (spread ~0.012), ale z powyższ</w:t>
      </w:r>
      <w:r>
        <w:rPr/>
        <w:t xml:space="preserve">ego </w:t>
      </w:r>
      <w:r>
        <w:rPr/>
        <w:t>powod</w:t>
      </w:r>
      <w:r>
        <w:rPr/>
        <w:t>u</w:t>
      </w:r>
      <w:r>
        <w:rPr/>
        <w:t xml:space="preserve"> miara jest niewiarygodna.</w:t>
      </w:r>
    </w:p>
    <w:p>
      <w:pPr>
        <w:pStyle w:val="BodyText"/>
        <w:spacing w:before="0" w:after="200"/>
        <w:rPr/>
      </w:pPr>
      <w:r>
        <w:rPr/>
        <w:t>Dlatego przeszliśmy na weighted Phase Lag Index (wPLI), który opiera się na konsekwentnym, niezerowym przesunięciu fazowym i z założenia ignoruje sprzężenia o zerowym opóźnieniu - jest więc odporny na przewodzenie objętościowe. wPLI liczyliśmy w pasmach theta (4-8 Hz) i alfa (8-13 Hz), mało skażonych EMG.</w:t>
      </w:r>
    </w:p>
    <w:p>
      <w:pPr>
        <w:pStyle w:val="BodyText"/>
        <w:spacing w:before="0" w:after="200"/>
        <w:jc w:val="center"/>
        <w:rPr/>
      </w:pPr>
      <w:r>
        <w:rPr>
          <w:rStyle w:val="Emphasis"/>
          <w:sz w:val="18"/>
          <w:szCs w:val="18"/>
        </w:rPr>
        <w:t xml:space="preserve">Rys. </w:t>
      </w:r>
      <w:r>
        <w:rPr>
          <w:rStyle w:val="Emphasis"/>
          <w:sz w:val="18"/>
          <w:szCs w:val="18"/>
        </w:rPr>
        <w:t>3</w:t>
      </w:r>
      <w:r>
        <w:rPr>
          <w:rStyle w:val="Emphasis"/>
          <w:sz w:val="18"/>
          <w:szCs w:val="1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123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sz w:val="18"/>
          <w:szCs w:val="18"/>
        </w:rPr>
        <w:t>. Macierze wPLI (theta, alfa), uśrednione po klasach.</w:t>
      </w:r>
    </w:p>
    <w:p>
      <w:pPr>
        <w:pStyle w:val="BodyText"/>
        <w:spacing w:before="0" w:after="200"/>
        <w:rPr/>
      </w:pPr>
      <w:r>
        <w:rPr/>
        <w:t>Łączność jest niska (maks ~0.2) i tylko częściowo zorganizowana: w alfie widać spójny lewy klaster czołowo-skroniowy (F7-FC5-T7), obok mniej przekonujących połączeń dalekiego zasięgu. Słaba alfa potyliczna jest spójna z zadaniem wzrokowym przy otwartych oczach (blokowanie alfy). Część frontalnego sprzężenia może odzwierciedlać resztkowe artefakty okoruchowe. Co istotne, różnice łączności między cyframi (spread ~0.02–0.03) są małe względem wartości samej łączności (~0.1–0.2): connectivity nie różnicuje cyfr, lecz opisuje wspólny stan zadania.</w:t>
      </w:r>
    </w:p>
    <w:p>
      <w:pPr>
        <w:pStyle w:val="Heading2"/>
        <w:spacing w:before="0" w:after="200"/>
        <w:rPr>
          <w:sz w:val="22"/>
        </w:rPr>
      </w:pPr>
      <w:r>
        <w:rPr>
          <w:sz w:val="22"/>
        </w:rPr>
        <w:t>4.</w:t>
      </w:r>
      <w:r>
        <w:rPr>
          <w:sz w:val="22"/>
        </w:rPr>
        <w:t>4</w:t>
      </w:r>
      <w:r>
        <w:rPr>
          <w:sz w:val="22"/>
        </w:rPr>
        <w:t>. Wniosek z eksploracji</w:t>
      </w:r>
    </w:p>
    <w:p>
      <w:pPr>
        <w:pStyle w:val="BodyText"/>
        <w:spacing w:before="0" w:after="200"/>
        <w:rPr/>
      </w:pPr>
      <w:r>
        <w:rPr/>
        <w:t>Trzy niezależne analizy - DTW między prototypami, ranking dyskryminacji kanałów i łączność funkcjonalna - prowadzą do tego samego wniosku: na poziomie sygnału brak spójnej struktury różnicującej cyfry, a wariancja, która istnieje, koncentruje się na kanałach podatnych na artefakty, nie w korze wzrokowej. Ta diagnoza poprzedza i tłumaczy wyniki klasyfikacji bliskie losowemu (sekcje 6 i 7): ograniczeniem jest wewnętrznie niski SNR pojedynczego trialu, a nie architektura modelu czy liczba przykładów.</w:t>
      </w:r>
    </w:p>
    <w:p>
      <w:pPr>
        <w:pStyle w:val="Heading1"/>
        <w:rPr/>
      </w:pPr>
      <w:r>
        <w:rPr/>
        <w:t>5</w:t>
      </w:r>
      <w:r>
        <w:rPr/>
        <w:t>. Modele</w:t>
      </w:r>
    </w:p>
    <w:p>
      <w:pPr>
        <w:pStyle w:val="Heading2"/>
        <w:rPr/>
      </w:pPr>
      <w:r>
        <w:rPr/>
        <w:t>5</w:t>
      </w:r>
      <w:r>
        <w:rPr/>
        <w:t>.1. Baseline liniowy - regresja logistyczna</w:t>
      </w:r>
    </w:p>
    <w:p>
      <w:pPr>
        <w:pStyle w:val="Normal"/>
        <w:rPr/>
      </w:pPr>
      <w:r>
        <w:rPr/>
        <w:t>Najprostszy punkt odniesienia: regresja logistyczna trenowana bezpośrednio na spłaszczonym, ustandaryzowanym sygnale (3584 cechy na trial).</w:t>
      </w:r>
    </w:p>
    <w:p>
      <w:pPr>
        <w:pStyle w:val="Heading2"/>
        <w:rPr/>
      </w:pPr>
      <w:r>
        <w:rPr/>
        <w:t>5</w:t>
      </w:r>
      <w:r>
        <w:rPr/>
        <w:t>.2. Klasyczny baseline - Random Forest</w:t>
      </w:r>
    </w:p>
    <w:p>
      <w:pPr>
        <w:pStyle w:val="Normal"/>
        <w:rPr/>
      </w:pPr>
      <w:r>
        <w:rPr/>
        <w:t>Dla każdego trialu i kanału ekstrahujemy 5 logarytmów mocy w standardowych pasmach EEG (delta 1-4, theta 4-8, alfa 8-13, beta 13-30, gamma 30-40 Hz) z estymatora Welcha oraz 3 parametry Hjortha (aktywność, mobilność, złożoność). Daje to 14·8 = 112 cech na trial. Klasyfikator: RandomForest (300 drzew, class_weight="balanced"), bez strojenia hiperparametrów.</w:t>
      </w:r>
    </w:p>
    <w:p>
      <w:pPr>
        <w:pStyle w:val="Heading2"/>
        <w:rPr/>
      </w:pPr>
      <w:r>
        <w:rPr/>
        <w:t>5</w:t>
      </w:r>
      <w:r>
        <w:rPr/>
        <w:t>.3. EEGNet1D - CNN 1D na surowym sygnale</w:t>
      </w:r>
    </w:p>
    <w:p>
      <w:pPr>
        <w:pStyle w:val="Normal"/>
        <w:rPr/>
      </w:pPr>
      <w:r>
        <w:rPr/>
        <w:t>14 kanałów EEG jako kanały wejściowe Conv1d. Trzy bloki Conv1d-BatchNorm-ReLU (14-&gt;32-&gt;64-&gt;128) z MaxPool, globalny average-pooling po osi czasu, dropout i warstwa liniowa na 10 klas; 128-wymiarowy embedding przed głowicą wykorzystujemy do tSNE. Liczba parametrów: ~39 914.</w:t>
      </w:r>
    </w:p>
    <w:p>
      <w:pPr>
        <w:pStyle w:val="Heading2"/>
        <w:rPr/>
      </w:pPr>
      <w:r>
        <w:rPr/>
        <w:t>5</w:t>
      </w:r>
      <w:r>
        <w:rPr/>
        <w:t>.4. EEGNet - kompaktowy CNN dedykowany EEG</w:t>
      </w:r>
    </w:p>
    <w:p>
      <w:pPr>
        <w:pStyle w:val="Normal"/>
        <w:rPr/>
      </w:pPr>
      <w:r>
        <w:rPr/>
        <w:t>EEGNet (Lawhern et al. 2018): konwolucja temporalna (uczy filtrów częstotliwościowych), konwolucja depthwise po wymiarze kanałów (filtry przestrzenne między elektrodami) oraz konwolucja separowalna. Model jest skrajnie kompaktowy - zaledwie ~2 618 parametrów - za to z silnym inductive bias dopasowanym do struktury EEG.</w:t>
      </w:r>
    </w:p>
    <w:p>
      <w:pPr>
        <w:pStyle w:val="Normal"/>
        <w:rPr/>
      </w:pPr>
      <w:r>
        <w:rPr/>
        <w:t>Oba modele głębokie trenujemy z augmentacją (cykliczny time-shift, szum gaussowski, channel dropout), optymalizatorem Adam (lr=1</w:t>
      </w:r>
      <w:r>
        <w:rPr/>
        <w:t>*</w:t>
      </w:r>
      <w:r>
        <w:rPr/>
        <w:t>10⁻³, weight_decay=1</w:t>
      </w:r>
      <w:r>
        <w:rPr/>
        <w:t>*</w:t>
      </w:r>
      <w:r>
        <w:rPr/>
        <w:t>10⁻⁴), harmonogramem cosine i early-stoppingiem na walidacyjnym macro-F1, z twardym limitem czasu. Cały pipeline (preprocessing + 4 modele + figury) wykonuje się w ~4 minuty na karcie RTX 3060 6 GB.</w:t>
      </w:r>
    </w:p>
    <w:p>
      <w:pPr>
        <w:pStyle w:val="Heading1"/>
        <w:rPr/>
      </w:pPr>
      <w:r>
        <w:rPr/>
        <w:t>6</w:t>
      </w:r>
      <w:r>
        <w:rPr/>
        <w:t>. Wyniki</w:t>
      </w:r>
    </w:p>
    <w:p>
      <w:pPr>
        <w:pStyle w:val="Normal"/>
        <w:rPr/>
      </w:pPr>
      <w:r>
        <w:rPr/>
        <w:t>Tabela 1 zestawia wyniki na zbiorze testowym przy losowym baseline 10%.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Model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Test accuracy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Macro-F1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Losowy baseline (10 klas)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0.100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—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Regresja logistyczna (raw)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0.130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0.130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Random Forest (bandpower + Hjorth)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0.104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0.104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EEGNet1D (CNN 1D, raw)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0.103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0.080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eastAsia="en-US" w:bidi="ar-SA"/>
              </w:rPr>
              <w:t>EEGNet (Lawhern, raw)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0.145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0.129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</w:rPr>
        <w:t>Tabela 1. Porównanie czterech modeli na zbiorze testowym.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62953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2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 xml:space="preserve">Rys. </w:t>
      </w:r>
      <w:r>
        <w:rPr>
          <w:i/>
          <w:sz w:val="18"/>
        </w:rPr>
        <w:t>4</w:t>
      </w:r>
      <w:r>
        <w:rPr>
          <w:i/>
          <w:sz w:val="18"/>
        </w:rPr>
        <w:t>. Test accuracy czterech modeli względem losowego baseline'u 10%.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171640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 xml:space="preserve">Rys. </w:t>
      </w:r>
      <w:r>
        <w:rPr>
          <w:i/>
          <w:sz w:val="18"/>
        </w:rPr>
        <w:t>5</w:t>
      </w:r>
      <w:r>
        <w:rPr>
          <w:i/>
          <w:sz w:val="18"/>
        </w:rPr>
        <w:t>. Krzywe uczenia modeli głębokich (accuracy oraz walidacyjne macro-F1 per epoka).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206240" cy="382397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82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 xml:space="preserve">Rys. </w:t>
      </w:r>
      <w:r>
        <w:rPr>
          <w:i/>
          <w:sz w:val="18"/>
        </w:rPr>
        <w:t>6</w:t>
      </w:r>
      <w:r>
        <w:rPr>
          <w:i/>
          <w:sz w:val="18"/>
        </w:rPr>
        <w:t>. EEGNet — macierz pomyłek na teście.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39014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9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 xml:space="preserve">Rys. </w:t>
      </w:r>
      <w:r>
        <w:rPr>
          <w:i/>
          <w:sz w:val="18"/>
        </w:rPr>
        <w:t>7</w:t>
      </w:r>
      <w:r>
        <w:rPr>
          <w:i/>
          <w:sz w:val="18"/>
        </w:rPr>
        <w:t>. EEGNet — accuracy per klasa względem losowego baseline'u.</w:t>
      </w:r>
    </w:p>
    <w:p>
      <w:pPr>
        <w:pStyle w:val="Normal"/>
        <w:rPr/>
      </w:pPr>
      <w:r>
        <w:rPr/>
        <w:t>Najczęstsze pomyłki (true-&gt;pred, liczba): 4-&gt;7 (250), 8-&gt;0 (245), 9-&gt;0 (239), 2-&gt;7 (238), 3-&gt;7 (235).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54880" cy="386334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86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 xml:space="preserve">Rys. </w:t>
      </w:r>
      <w:r>
        <w:rPr>
          <w:i/>
          <w:sz w:val="18"/>
        </w:rPr>
        <w:t>8</w:t>
      </w:r>
      <w:r>
        <w:rPr>
          <w:i/>
          <w:sz w:val="18"/>
        </w:rPr>
        <w:t>. tSNE 128-wymiarowych embeddingów EEGNet (test). Brak wyraźnych klastrów per cyfra.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6.1. Dodatkowy run EEGNet (preprocessing MNE, większy model, dłuższy trening)</w:t>
      </w:r>
    </w:p>
    <w:p>
      <w:pPr>
        <w:pStyle w:val="Normal"/>
        <w:rPr/>
      </w:pPr>
      <w:r>
        <w:rPr/>
        <w:t xml:space="preserve">Niezależnie od czterech modeli z Tabeli 1 przeprowadziliśmy dodatkowy eksperyment: EEGNet trenowany na sygnale przepuszczonym przez preprocessing oparty na MNE (filtracja, referencja uśredniona, odrzucanie peak-to-peak 150 µV — odrzuca ~3% trialów), z większą liczbą parametrów (F1=32, D=2, F2=64) i dłuższym treningiem (200 epok). Run osiągnął </w:t>
      </w:r>
      <w:r>
        <w:rPr>
          <w:rStyle w:val="Strong"/>
        </w:rPr>
        <w:t>20.4% accuracy</w:t>
      </w:r>
      <w:r>
        <w:rPr/>
        <w:t xml:space="preserve"> (macro-F1 0,195) na </w:t>
      </w:r>
      <w:r>
        <w:rPr>
          <w:rStyle w:val="Strong"/>
          <w:b w:val="false"/>
          <w:bCs w:val="false"/>
        </w:rPr>
        <w:t>pełnym</w:t>
      </w:r>
      <w:r>
        <w:rPr/>
        <w:t xml:space="preserve"> zbiorze testowym (12 980 trialów), z najlepiej rozpoz</w:t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425450</wp:posOffset>
            </wp:positionH>
            <wp:positionV relativeFrom="paragraph">
              <wp:posOffset>1155065</wp:posOffset>
            </wp:positionV>
            <wp:extent cx="4718050" cy="4038600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nawanymi cyframi 0, 1 i 7.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-786130</wp:posOffset>
            </wp:positionH>
            <wp:positionV relativeFrom="paragraph">
              <wp:posOffset>636270</wp:posOffset>
            </wp:positionV>
            <wp:extent cx="7226300" cy="1979295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97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7. Dyskusja</w:t>
      </w:r>
    </w:p>
    <w:p>
      <w:pPr>
        <w:pStyle w:val="Normal"/>
        <w:rPr/>
      </w:pPr>
      <w:r>
        <w:rPr/>
        <w:t xml:space="preserve">Wszystkie cztery modele </w:t>
      </w:r>
      <w:r>
        <w:rPr/>
        <w:t xml:space="preserve">z </w:t>
      </w:r>
      <w:r>
        <w:rPr/>
        <w:t>Tabeli 1 kończą w wąskim przedziale 10.3%-14.5% przy losowym baseline 10%. Najlepszy okazał się EEGNet (14.5% accuracy, macro-F1 0.129); regresja logistyczna była zaskakująco konkurencyjna (13.0%), a EEGNet1D - mimo wielokrotnie większej liczby parametrów - praktycznie się nie nauczył (walidacyjne accuracy ~10.8%).</w:t>
      </w:r>
    </w:p>
    <w:p>
      <w:pPr>
        <w:pStyle w:val="Normal"/>
        <w:rPr/>
      </w:pPr>
      <w:r>
        <w:rPr/>
        <w:t>Najważniejsza obserwacja: mimo że zbiór jest duży (~34 416 trialów treningowych, po ponad 3 tysiące na klasę), skuteczność pozostaje bliska losowej. Wskazuje to, że wąskim gardłem nie jest liczba przykładów, lecz wewnętrznie niski stosunek sygnału do szumu zadania: dekodowanie konkretnej widzianej cyfry z pojedynczego, 2-sekundowego trialu EEG jest po prostu trudne. Klasyczne badania ERP uśredniają sygnał po dziesiątkach trialów tej samej kategorii, by wydobyć komponenty takie jak N170 czy P300; my wnioskujemy z jednego nagrania.</w:t>
      </w:r>
    </w:p>
    <w:p>
      <w:pPr>
        <w:pStyle w:val="Normal"/>
        <w:rPr/>
      </w:pPr>
      <w:r>
        <w:rPr/>
        <w:t>Dodatkowy run z sekcji 6.1 (preprocessing MNE, większy model, 200 epok) osiągnął 20,4% - około dwukrotność poziomu losowego - co pokazuje, że 14,5% z porównania kontrolowanego nie jest twardym sufitem i dobór preprocessingu oraz pojemności modelu może ten wynik przesunąć. Jest to jednak nadal daleko od skuteczności sugerującej czytelne dekodowanie widzianej cyfry, więc główny wniosek o niskim SNR pozostaje w mocy.</w:t>
      </w:r>
    </w:p>
    <w:p>
      <w:pPr>
        <w:pStyle w:val="Normal"/>
        <w:rPr/>
      </w:pPr>
      <w:r>
        <w:rPr/>
        <w:t>Druga obserwacja dotyczy architektury: skrajnie mały EEGNet (~2 618 param.) z depthwise-konwolucją przestrzenną wycisnął więcej niż ~13× większy EEGNet1D. Sama pojemność modelu nie pomaga - liczy się inductive bias dopasowany do struktury EEG. Warto też zauważyć, że walidacyjne accuracy EEGNet (15.5%) jest nieco wyższe od testowego (14.5%): pojedynczy losowy split lekko zawyża, a rzetelniejsza ocena wymagałaby walidacji krzyżowej.</w:t>
      </w:r>
    </w:p>
    <w:p>
      <w:pPr>
        <w:pStyle w:val="Normal"/>
        <w:rPr/>
      </w:pPr>
      <w:r>
        <w:rPr/>
        <w:t>tSNE embeddingów najlepszego modelu (Rys. 6) nie pokazuje czytelnych klastrów per cyfra - sieć nie nauczyła się reprezentacji wyraźnie separującej klasy, co jest spójne z wynikiem bliskim losowemu. Macierz pomyłek i analiza par (m.in. 4-&gt;7, 2-&gt;7, 3-&gt;7) potwierdzają, że model nie wykształcił czytelnej struktury klasyfikacyjnej.</w:t>
      </w:r>
    </w:p>
    <w:p>
      <w:pPr>
        <w:pStyle w:val="Heading2"/>
        <w:rPr/>
      </w:pPr>
      <w:r>
        <w:rPr/>
        <w:t>7</w:t>
      </w:r>
      <w:r>
        <w:rPr/>
        <w:t>.1. Porównanie z literaturą - czego dotyczą wyniki ≥90%</w:t>
      </w:r>
    </w:p>
    <w:p>
      <w:pPr>
        <w:pStyle w:val="Normal"/>
        <w:rPr/>
      </w:pPr>
      <w:r>
        <w:rPr/>
        <w:t>Dokładności rzędu 90-99% bywają cytowane jako stan wiedzy dla MindBigData, ale wymagają kontekstu w dwóch wymiarach: rodzaju zadania oraz reprodukowalności. Tabela 2 zestawia reprezentatywne wyniki wraz z informacją o dostępności publicznego kodu.</w:t>
      </w:r>
    </w:p>
    <w:tbl>
      <w:tblPr>
        <w:tblStyle w:val="LightGrid-Accent1"/>
        <w:tblW w:w="11267" w:type="dxa"/>
        <w:jc w:val="start"/>
        <w:tblInd w:w="-104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2618"/>
        <w:gridCol w:w="1702"/>
        <w:gridCol w:w="3735"/>
      </w:tblGrid>
      <w:tr>
        <w:trPr/>
        <w:tc>
          <w:tcPr>
            <w:tcW w:w="321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iCs w:val="false"/>
                <w:kern w:val="0"/>
                <w:szCs w:val="24"/>
                <w:lang w:eastAsia="en-US" w:bidi="ar-SA"/>
              </w:rPr>
              <w:t>Źródło</w:t>
            </w:r>
          </w:p>
        </w:tc>
        <w:tc>
          <w:tcPr>
            <w:tcW w:w="261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Style w:val="Strong"/>
                <w:rFonts w:eastAsia="ＭＳ ゴシック" w:cs=""/>
                <w:iCs w:val="false"/>
                <w:kern w:val="0"/>
                <w:szCs w:val="24"/>
                <w:lang w:eastAsia="en-US" w:bidi="ar-SA"/>
              </w:rPr>
              <w:t>Sprzęt / zadanie / metoda</w:t>
            </w:r>
          </w:p>
        </w:tc>
        <w:tc>
          <w:tcPr>
            <w:tcW w:w="1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iCs w:val="false"/>
                <w:kern w:val="0"/>
                <w:szCs w:val="24"/>
                <w:lang w:eastAsia="en-US" w:bidi="ar-SA"/>
              </w:rPr>
              <w:t>Accuracy</w:t>
            </w:r>
          </w:p>
        </w:tc>
        <w:tc>
          <w:tcPr>
            <w:tcW w:w="37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Style w:val="Strong"/>
                <w:rFonts w:eastAsia="ＭＳ ゴシック" w:cs=""/>
                <w:iCs w:val="false"/>
                <w:kern w:val="0"/>
                <w:szCs w:val="24"/>
                <w:lang w:eastAsia="en-US" w:bidi="ar-SA"/>
              </w:rPr>
              <w:t>Kod publiczny</w:t>
            </w:r>
          </w:p>
        </w:tc>
      </w:tr>
      <w:tr>
        <w:trPr/>
        <w:tc>
          <w:tcPr>
            <w:tcW w:w="321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 w:val="false"/>
                <w:iCs w:val="false"/>
                <w:kern w:val="0"/>
                <w:szCs w:val="24"/>
                <w:lang w:eastAsia="en-US" w:bidi="ar-SA"/>
              </w:rPr>
              <w:t>Tiwari et al. 2023</w:t>
            </w:r>
          </w:p>
        </w:tc>
        <w:tc>
          <w:tcPr>
            <w:tcW w:w="26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MindBigData, 10-kl. visual, cechy HHT</w:t>
            </w:r>
          </w:p>
        </w:tc>
        <w:tc>
          <w:tcPr>
            <w:tcW w:w="1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98.97%</w:t>
            </w:r>
          </w:p>
        </w:tc>
        <w:tc>
          <w:tcPr>
            <w:tcW w:w="37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nie znaleziono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 w:val="false"/>
                <w:iCs w:val="false"/>
                <w:kern w:val="0"/>
                <w:szCs w:val="24"/>
                <w:lang w:eastAsia="en-US" w:bidi="ar-SA"/>
              </w:rPr>
              <w:t>RNN 2023 [3]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MUSE 4-kan., imagined, 10-kl.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96.18%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nie znaleziono</w:t>
            </w:r>
          </w:p>
        </w:tc>
      </w:tr>
      <w:tr>
        <w:trPr/>
        <w:tc>
          <w:tcPr>
            <w:tcW w:w="321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 w:val="false"/>
                <w:iCs w:val="false"/>
                <w:kern w:val="0"/>
                <w:szCs w:val="24"/>
                <w:lang w:eastAsia="en-US" w:bidi="ar-SA"/>
              </w:rPr>
              <w:t>Khaleghi et al. 2023 [8]</w:t>
            </w:r>
          </w:p>
        </w:tc>
        <w:tc>
          <w:tcPr>
            <w:tcW w:w="26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EPOC 14-kan., visual 10-kl. (podzbiór 9120), CNN-GAN</w:t>
            </w:r>
          </w:p>
        </w:tc>
        <w:tc>
          <w:tcPr>
            <w:tcW w:w="1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95.4%</w:t>
            </w:r>
          </w:p>
        </w:tc>
        <w:tc>
          <w:tcPr>
            <w:tcW w:w="37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nie znaleziono</w:t>
            </w:r>
          </w:p>
        </w:tc>
      </w:tr>
      <w:tr>
        <w:trPr>
          <w:trHeight w:val="370" w:hRule="atLeast"/>
        </w:trPr>
        <w:tc>
          <w:tcPr>
            <w:tcW w:w="3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 w:val="false"/>
                <w:iCs w:val="false"/>
                <w:kern w:val="0"/>
                <w:szCs w:val="24"/>
                <w:lang w:eastAsia="en-US" w:bidi="ar-SA"/>
              </w:rPr>
              <w:t>dxganta 2023 [2]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MUSE 4-kan., binarna (cyfra/nie)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~95%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częściowo</w:t>
            </w:r>
          </w:p>
        </w:tc>
      </w:tr>
      <w:tr>
        <w:trPr>
          <w:trHeight w:val="733" w:hRule="atLeast"/>
        </w:trPr>
        <w:tc>
          <w:tcPr>
            <w:tcW w:w="321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 w:val="false"/>
                <w:iCs w:val="false"/>
                <w:kern w:val="0"/>
                <w:szCs w:val="24"/>
                <w:lang w:eastAsia="en-US" w:bidi="ar-SA"/>
              </w:rPr>
              <w:t>Kumari et al. 2021 [1]</w:t>
            </w:r>
          </w:p>
        </w:tc>
        <w:tc>
          <w:tcPr>
            <w:tcW w:w="26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MindBigData, visual 10-kl., cechy STFT</w:t>
            </w:r>
          </w:p>
        </w:tc>
        <w:tc>
          <w:tcPr>
            <w:tcW w:w="1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 w:val="false"/>
                <w:iCs w:val="false"/>
                <w:kern w:val="0"/>
                <w:szCs w:val="24"/>
                <w:lang w:eastAsia="en-US" w:bidi="ar-SA"/>
              </w:rPr>
              <w:t>91.29%</w:t>
            </w:r>
          </w:p>
        </w:tc>
        <w:tc>
          <w:tcPr>
            <w:tcW w:w="37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nie znaleziono</w:t>
            </w:r>
          </w:p>
        </w:tc>
      </w:tr>
      <w:tr>
        <w:trPr>
          <w:trHeight w:val="733" w:hRule="atLeast"/>
        </w:trPr>
        <w:tc>
          <w:tcPr>
            <w:tcW w:w="321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iCs w:val="false"/>
                <w:kern w:val="0"/>
                <w:szCs w:val="24"/>
                <w:lang w:eastAsia="en-US" w:bidi="ar-SA"/>
              </w:rPr>
              <w:t>Reportowane SOTA multiclass (cyt. wtórnie) [5]</w:t>
            </w:r>
          </w:p>
        </w:tc>
        <w:tc>
          <w:tcPr>
            <w:tcW w:w="2618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MUSE 4-kan., 11-kl., cechy częstotliw.</w:t>
            </w:r>
          </w:p>
        </w:tc>
        <w:tc>
          <w:tcPr>
            <w:tcW w:w="170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31.35%</w:t>
            </w:r>
          </w:p>
        </w:tc>
        <w:tc>
          <w:tcPr>
            <w:tcW w:w="373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n/d</w:t>
            </w:r>
          </w:p>
        </w:tc>
      </w:tr>
      <w:tr>
        <w:trPr>
          <w:trHeight w:val="733" w:hRule="atLeast"/>
        </w:trPr>
        <w:tc>
          <w:tcPr>
            <w:tcW w:w="321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iCs w:val="false"/>
                <w:kern w:val="0"/>
                <w:szCs w:val="24"/>
                <w:lang w:eastAsia="en-US" w:bidi="ar-SA"/>
              </w:rPr>
              <w:t>mhamzai (GitHub) [10]</w:t>
            </w:r>
          </w:p>
        </w:tc>
        <w:tc>
          <w:tcPr>
            <w:tcW w:w="2618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MindWave 1-kan., 11-kl. / binarna</w:t>
            </w:r>
          </w:p>
        </w:tc>
        <w:tc>
          <w:tcPr>
            <w:tcW w:w="170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26-27% / 92-95%</w:t>
            </w:r>
          </w:p>
        </w:tc>
        <w:tc>
          <w:tcPr>
            <w:tcW w:w="373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tak</w:t>
            </w:r>
          </w:p>
        </w:tc>
      </w:tr>
      <w:tr>
        <w:trPr>
          <w:trHeight w:val="733" w:hRule="atLeast"/>
        </w:trPr>
        <w:tc>
          <w:tcPr>
            <w:tcW w:w="321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iCs w:val="false"/>
                <w:kern w:val="0"/>
                <w:szCs w:val="24"/>
                <w:lang w:eastAsia="en-US" w:bidi="ar-SA"/>
              </w:rPr>
              <w:t>NitzanBar (Technion, GitHub) [9]</w:t>
            </w:r>
          </w:p>
        </w:tc>
        <w:tc>
          <w:tcPr>
            <w:tcW w:w="2618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EPOC 14-kan., visual 10-kl., CNN</w:t>
            </w:r>
          </w:p>
        </w:tc>
        <w:tc>
          <w:tcPr>
            <w:tcW w:w="170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~21.5%</w:t>
            </w:r>
          </w:p>
        </w:tc>
        <w:tc>
          <w:tcPr>
            <w:tcW w:w="373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tak</w:t>
            </w:r>
          </w:p>
        </w:tc>
      </w:tr>
      <w:tr>
        <w:trPr>
          <w:trHeight w:val="733" w:hRule="atLeast"/>
        </w:trPr>
        <w:tc>
          <w:tcPr>
            <w:tcW w:w="321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ゴシック" w:cs=""/>
                <w:b/>
                <w:bCs/>
                <w:iCs w:val="false"/>
                <w:kern w:val="0"/>
                <w:szCs w:val="24"/>
                <w:lang w:eastAsia="en-US" w:bidi="ar-SA"/>
              </w:rPr>
              <w:t>Nasz eksperyment</w:t>
            </w:r>
          </w:p>
        </w:tc>
        <w:tc>
          <w:tcPr>
            <w:tcW w:w="2618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EPOC 14-kan., visual 10-kl.</w:t>
            </w:r>
          </w:p>
        </w:tc>
        <w:tc>
          <w:tcPr>
            <w:tcW w:w="1702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i w:val="false"/>
                <w:iCs w:val="false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ＭＳ 明朝" w:cs=""/>
                <w:bCs/>
                <w:iCs w:val="false"/>
                <w:kern w:val="0"/>
                <w:szCs w:val="24"/>
                <w:lang w:eastAsia="en-US" w:bidi="ar-SA"/>
              </w:rPr>
              <w:t>14.5%  / 20.4%</w:t>
            </w:r>
          </w:p>
        </w:tc>
        <w:tc>
          <w:tcPr>
            <w:tcW w:w="373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t>tak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</w:rPr>
        <w:t>Tabela 2. Wyniki z literatury vs nasz eksperyment.</w:t>
      </w:r>
    </w:p>
    <w:p>
      <w:pPr>
        <w:pStyle w:val="Normal"/>
        <w:rPr/>
      </w:pPr>
      <w:r>
        <w:rPr/>
        <w:t xml:space="preserve">Z tabeli wyłania się wyraźny wzorzec. Wszystkie odnalezione próby z </w:t>
      </w:r>
      <w:r>
        <w:rPr>
          <w:rStyle w:val="Strong"/>
          <w:b w:val="false"/>
          <w:bCs w:val="false"/>
        </w:rPr>
        <w:t>publicznie dostępnym kodem</w:t>
      </w:r>
      <w:r>
        <w:rPr/>
        <w:t xml:space="preserve"> na rzeczywistym zadaniu wieloklasowym mieszczą się w przedziale ~20–27% (EPOC/CNN, Technion: 21,5%; MindWave 1-kan.: 26–27%). Szerzej, publikowane wyniki multiclass - także bez kodu, oparte na cechach częstotliwościowych - sięgają ~31–36% (m.in. 31.35% raportowane dla wariantu MUSE w klasyfikacji 11-klasowej, ~36% dla cyfr 0–9 metodą pasm częstotliwości). Z kolei wyniki ≥90% - w tym na DOKŁADNIE naszym zadaniu (EPOC, 14 kanałów, widziane cyfry: Kumari 91,29%, Khaleghi 95,4%) - opierają się na ręcznie projektowanej ekstrakcji cech (STFT, HHT, CNN-GAN) i nie udało się dla nich odnaleźć ani publicznego kodu, ani niezależnej reprodukcji.</w:t>
      </w:r>
    </w:p>
    <w:p>
      <w:pPr>
        <w:pStyle w:val="Normal"/>
        <w:rPr/>
      </w:pPr>
      <w:r>
        <w:rPr/>
        <w:t>Część wysokich wyników dotyczy dodatkowo zadania jakościowo łatwiejszego: klasyfikacji binarnej (cyfra vs nie-cyfra, ~92-98%) lub cyfr WYOBRAŻONYCH (imagined), które generują silniejszą i spójniejszą aktywność niż pasywne oglądanie obrazka. Ale nawet po odjęciu tych przypadków pozostają prace podające ≥90% na zadaniu identycznym z naszym - i to właśnie one nie mają dostępnego kodu.</w:t>
      </w:r>
    </w:p>
    <w:p>
      <w:pPr>
        <w:pStyle w:val="Normal"/>
        <w:rPr/>
      </w:pPr>
      <w:r>
        <w:rPr/>
        <w:t>Biorąc pod uwagę charakterystykę sygnału udokumentowaną w sekcji 4 (znikome różnice klasowe, dominacja kanałów artefaktowych) oraz reprodukowalny/publikowany reżim rzędu ~20-36%, dokładności ≥90% przy klasyfikacji pojedynczego trialu z konsumenckiego EEG są mało prawdopodobne i najpewniej wynikają z problemów metodologicznych (np. wyciek danych na etapie ekstrakcji cech lub podziału train/test), a nie z rzeczywistego dekodowania widzianej cyfry. Brak publicznego kodu uniemożliwia ich niezależną weryfikację. W tym świetle nasze ~14.5-20.4% nie jest słabym rezultatem względem reprodukowalnego stanu wiedzy - mieści się w tym samym, realistycznym reżimie.</w:t>
      </w:r>
    </w:p>
    <w:p>
      <w:pPr>
        <w:pStyle w:val="Heading1"/>
        <w:rPr/>
      </w:pPr>
      <w:r>
        <w:rPr/>
        <w:t>8</w:t>
      </w:r>
      <w:r>
        <w:rPr/>
        <w:t>. Wnioski</w:t>
      </w:r>
    </w:p>
    <w:p>
      <w:pPr>
        <w:pStyle w:val="Normal"/>
        <w:rPr/>
      </w:pPr>
      <w:r>
        <w:rPr/>
        <w:t>Zbudowaliśmy działający, szybki pipeline klasyfikacji cyfr z EEG i przetestowaliśmy cztery modele o różnej charakterystyce. Najważniejszy wniosek: w porównaniu kontrolowanym czterech modeli skuteczność nie przekracza ~14.5%, a dodatkowy run eksploracyjny (sekcja 6.1, preprocessing MNE + większy model + dłuższy trening) sięga ~20.4% - około dwukrotności poziomu losowego, wciąż jednak daleko od skuteczności sugerującej czytelne dekodowanie cyfry. Podstawowym ograniczeniem pozostaje niski SNR pojedynczego trialu, a nie liczba przykładów: duży zbiór (~52 tys. trialów) nie zmienia obrazu. Eksploracyjna analiza sygnału (sekcja 4) niezależnie potwierdza ten wniosek już przed modelowaniem: różnice między cyframi w przebiegach (DTW) i w łączności funkcjonalnej (wPLI) są znikome, a wariancja między klasami koncentruje się na kanałach artefaktowych, nie w korze wzrokowej. Drugi wniosek: kompaktowy EEGNet z odpowiednim inductive bias bije znacznie większy EEGNet1D - w EEG architektura ma większe znaczenie niż surowa pojemność modelu.</w:t>
      </w:r>
    </w:p>
    <w:p>
      <w:pPr>
        <w:pStyle w:val="Normal"/>
        <w:rPr/>
      </w:pPr>
      <w:r>
        <w:rPr/>
        <w:t>Kierunki dalszej pracy:</w:t>
      </w:r>
    </w:p>
    <w:p>
      <w:pPr>
        <w:pStyle w:val="ListBullet"/>
        <w:numPr>
          <w:ilvl w:val="0"/>
          <w:numId w:val="1"/>
        </w:numPr>
        <w:rPr/>
      </w:pPr>
      <w:r>
        <w:rPr/>
        <w:t>ICA do usuwania artefaktów ocznych i mięśniowych (typowo +2–5 pkt%);</w:t>
      </w:r>
    </w:p>
    <w:p>
      <w:pPr>
        <w:pStyle w:val="ListBullet"/>
        <w:numPr>
          <w:ilvl w:val="0"/>
          <w:numId w:val="1"/>
        </w:numPr>
        <w:rPr/>
      </w:pPr>
      <w:r>
        <w:rPr/>
        <w:t>uśrednianie wielu trialów tej samej klasy zamiast klasyfikacji single-trial;</w:t>
      </w:r>
    </w:p>
    <w:p>
      <w:pPr>
        <w:pStyle w:val="ListBullet"/>
        <w:numPr>
          <w:ilvl w:val="0"/>
          <w:numId w:val="1"/>
        </w:numPr>
        <w:rPr/>
      </w:pPr>
      <w:r>
        <w:rPr/>
        <w:t>walidacja krzyżowa i raportowanie średniej z odchyleniem zamiast pojedynczego splitu;</w:t>
      </w:r>
    </w:p>
    <w:p>
      <w:pPr>
        <w:pStyle w:val="ListBullet"/>
        <w:numPr>
          <w:ilvl w:val="0"/>
          <w:numId w:val="1"/>
        </w:numPr>
        <w:rPr/>
      </w:pPr>
      <w:r>
        <w:rPr/>
        <w:t>transfer learning / pretrenowanie reprezentacji i ensembling kilku seedów;</w:t>
      </w:r>
    </w:p>
    <w:p>
      <w:pPr>
        <w:pStyle w:val="ListBullet"/>
        <w:numPr>
          <w:ilvl w:val="0"/>
          <w:numId w:val="1"/>
        </w:numPr>
        <w:rPr/>
      </w:pPr>
      <w:r>
        <w:rPr/>
        <w:t>reprezentacja czas-częstotliwość (spektrogramy) jako wejście CNN obrazowego.</w:t>
      </w:r>
    </w:p>
    <w:p>
      <w:pPr>
        <w:pStyle w:val="ListBullet"/>
        <w:numPr>
          <w:ilvl w:val="0"/>
          <w:numId w:val="1"/>
        </w:numPr>
        <w:rPr/>
      </w:pPr>
      <w:r>
        <w:rPr/>
        <w:t>Cechy oparte na łączności funkcjonalnej (wPLI) jako dodatkowe wejście do klasyfikatora.</w:t>
      </w:r>
    </w:p>
    <w:p>
      <w:pPr>
        <w:pStyle w:val="Heading1"/>
        <w:rPr/>
      </w:pPr>
      <w:r>
        <w:rPr/>
        <w:t>Literatura</w:t>
      </w:r>
    </w:p>
    <w:p>
      <w:pPr>
        <w:pStyle w:val="BodyText"/>
        <w:spacing w:before="0" w:after="80"/>
        <w:rPr/>
      </w:pPr>
      <w:r>
        <w:rPr/>
        <w:t>[1] Kumari, N. et al. (2021). Convolutional Neural Network-Based Visually Evoked EEG Classification Model on MindBigData. Springer LNEE. DOI: 10.1007/978-981-16-1543-6_22.</w:t>
      </w:r>
    </w:p>
    <w:p>
      <w:pPr>
        <w:pStyle w:val="BodyText"/>
        <w:spacing w:before="0" w:after="80"/>
        <w:rPr/>
      </w:pPr>
      <w:r>
        <w:rPr/>
        <w:t>[2] Kalita, D. (2023). EEG-Based Digit Detection using CNNs. Medium.</w:t>
      </w:r>
    </w:p>
    <w:p>
      <w:pPr>
        <w:pStyle w:val="BodyText"/>
        <w:spacing w:before="0" w:after="80"/>
        <w:rPr/>
      </w:pPr>
      <w:r>
        <w:rPr/>
        <w:t>[3] EEG-based classification of imagined digits using a recurrent neural network (2023). PubMed 37001511.</w:t>
      </w:r>
    </w:p>
    <w:p>
      <w:pPr>
        <w:pStyle w:val="BodyText"/>
        <w:spacing w:before="0" w:after="80"/>
        <w:rPr/>
      </w:pPr>
      <w:r>
        <w:rPr/>
        <w:t>[4] Lawhern, V. J. et al. (2018). EEGNet: A Compact Convolutional Neural Network for EEG-based Brain-Computer Interfaces. Journal of Neural Engineering 15(5).</w:t>
      </w:r>
    </w:p>
    <w:p>
      <w:pPr>
        <w:pStyle w:val="BodyText"/>
        <w:spacing w:before="0" w:after="80"/>
        <w:rPr/>
      </w:pPr>
      <w:r>
        <w:rPr/>
        <w:t>[5] Vivancos, D., Cuesta, F. (2022). MindBigData 2022: A Large Dataset of Brain Signals. arXiv:2212.14746.</w:t>
      </w:r>
    </w:p>
    <w:p>
      <w:pPr>
        <w:pStyle w:val="BodyText"/>
        <w:spacing w:before="0" w:after="80"/>
        <w:rPr/>
      </w:pPr>
      <w:r>
        <w:rPr/>
        <w:t>[6] Vivancos, D. (2022). MindBigData2022_MNIST_EP. Hugging Face Dataset.</w:t>
      </w:r>
    </w:p>
    <w:p>
      <w:pPr>
        <w:pStyle w:val="BodyText"/>
        <w:spacing w:before="0" w:after="80"/>
        <w:rPr/>
      </w:pPr>
      <w:r>
        <w:rPr/>
        <w:t>[7] MindBigData Leaderboard. Hugging Face Space.</w:t>
      </w:r>
    </w:p>
    <w:p>
      <w:pPr>
        <w:pStyle w:val="BodyText"/>
        <w:spacing w:before="0" w:after="80"/>
        <w:rPr/>
      </w:pPr>
      <w:r>
        <w:rPr/>
        <w:t>[8] Khaleghi, N. et al. (2023). Salient Arithmetic Data Extraction from Brain Activity via an Improved Deep Network. Sensors 23(23):9351. DOI: 10.3390/s23239351.</w:t>
      </w:r>
    </w:p>
    <w:p>
      <w:pPr>
        <w:pStyle w:val="BodyText"/>
        <w:spacing w:before="0" w:after="80"/>
        <w:rPr/>
      </w:pPr>
      <w:r>
        <w:rPr/>
        <w:t>[9] Bar, N. EEGClassification — Classification of EEG signals from MindBigData MNIST dataset. GitHub (projekt kursowy EE046211, Technion).</w:t>
      </w:r>
    </w:p>
    <w:p>
      <w:pPr>
        <w:pStyle w:val="BodyText"/>
        <w:spacing w:before="0" w:after="80"/>
        <w:rPr/>
      </w:pPr>
      <w:r>
        <w:rPr/>
        <w:t>[10] mhamzai. MindBigData_MindWaves_Classification_NN. GitHub.</w:t>
      </w:r>
    </w:p>
    <w:p>
      <w:pPr>
        <w:pStyle w:val="BodyText"/>
        <w:spacing w:before="0" w:after="80"/>
        <w:rPr/>
      </w:pPr>
      <w:r>
        <w:rPr/>
        <w:t>[11] Tiwari, S. et al. (2023). Klasyfikacja MindBigData z ekstrakcją cech metodą Hilberta-Huanga (HHT) — wynik cytowany za przeglądem MindBigData 2022.</w:t>
      </w:r>
    </w:p>
    <w:p>
      <w:pPr>
        <w:pStyle w:val="Normal"/>
        <w:spacing w:before="0" w:after="8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enlo">
    <w:altName w:val="Monaco"/>
    <w:charset w:val="01" w:characterSet="utf-8"/>
    <w:family w:val="auto"/>
    <w:pitch w:val="default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l-PL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l-PL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ure">
    <w:name w:val="Figure"/>
    <w:basedOn w:val="Caption"/>
    <w:qFormat/>
    <w:pPr/>
    <w:rPr/>
  </w:style>
  <w:style w:type="paragraph" w:styleId="Rys">
    <w:name w:val="Rys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LibreOffice/26.2.4.2$MacOSX_AARCH64 LibreOffice_project/0229ac93fcf0d7cbc6376066c6f35021cef002dc</Application>
  <AppVersion>15.0000</AppVersion>
  <Pages>14</Pages>
  <Words>2582</Words>
  <Characters>16219</Characters>
  <CharactersWithSpaces>18629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2026-06-07T23:56:25Z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