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Fundamental Operational Flow of UART, I2C, and SPI</w:t>
      </w:r>
    </w:p>
    <w:p>
      <w:pPr>
        <w:pStyle w:val="Subtitle"/>
      </w:pPr>
      <w:r>
        <w:t>A concise functional overview with minimal implementation detail</w:t>
      </w:r>
    </w:p>
    <w:p>
      <w:pPr>
        <w:pStyle w:val="Scope"/>
      </w:pPr>
      <w:r>
        <w:t>UART, I2C, and SPI allow the processor to exchange information with external devices. The processor supplies or receives data in parallel form, while each communication block performs the timing, framing, and serial transfer required by its protocol.</w:t>
      </w:r>
    </w:p>
    <w:p>
      <w:pPr>
        <w:pStyle w:val="Heading1"/>
      </w:pPr>
      <w:r>
        <w:t>1. UART Communication Flow</w:t>
      </w:r>
    </w:p>
    <w:p>
      <w:r>
        <w:t>UART provides asynchronous point-to-point communication using separate transmit and receive lines. Because no clock is shared between the two devices, both sides must use the same baud rate and frame format.</w:t>
      </w:r>
    </w:p>
    <w:p>
      <w:r>
        <w:t>For transmission, one parallel byte is placed into a frame containing a start bit, eight data bits, and a stop bit. The frame is sent one bit at a time, beginning with the least-significant data bit. For reception, the falling start bit is detected, the following data bits are sampled at the baud-rate timing, and the completed byte is reconstructed for the processor.</w:t>
      </w:r>
    </w:p>
    <w:p>
      <w:pPr>
        <w:pStyle w:val="Flow"/>
      </w:pPr>
      <w:r>
        <w:t>Parallel byte -&gt; start bit + 8 data bits + stop bit -&gt; serial TX line</w:t>
        <w:br/>
        <w:t>Serial RX line -&gt; start detection -&gt; bit sampling -&gt; reconstructed byte</w:t>
      </w:r>
    </w:p>
    <w:p>
      <w:pPr>
        <w:pStyle w:val="Heading1"/>
      </w:pPr>
      <w:r>
        <w:t>2. I2C Communication Flow</w:t>
      </w:r>
    </w:p>
    <w:p>
      <w:r>
        <w:t>I2C is a synchronous two-wire bus using SCL for timing and SDA for bidirectional data. Multiple devices may share the same bus because each transaction begins with a slave address. The lines use open-drain signaling, so devices actively pull a line low and release it to represent a high level.</w:t>
      </w:r>
    </w:p>
    <w:p>
      <w:r>
        <w:t>A transfer begins when the controller generates a START condition. It then sends the seven-bit device address, the transfer-direction bit, and the data byte MSB-first. After every byte, the receiver returns an ACK or NACK on the ninth clock. The controller completes the transaction with a STOP condition. The presented block focuses on write transfers and acknowledgement checking.</w:t>
      </w:r>
    </w:p>
    <w:p>
      <w:pPr>
        <w:pStyle w:val="Flow"/>
      </w:pPr>
      <w:r>
        <w:t>START -&gt; device address + direction -&gt; ACK -&gt; data byte -&gt; ACK -&gt; STOP</w:t>
      </w:r>
    </w:p>
    <w:p>
      <w:pPr>
        <w:pStyle w:val="Heading1"/>
      </w:pPr>
      <w:r>
        <w:t>3. SPI Communication Flow</w:t>
      </w:r>
    </w:p>
    <w:p>
      <w:r>
        <w:t>SPI is a synchronous master-slave interface using a serial clock, chip-select, and separate data lines for transmission and reception. The master selects one slave by activating its chip-select signal and then generates the transfer clock.</w:t>
      </w:r>
    </w:p>
    <w:p>
      <w:r>
        <w:t>During each clock cycle, one bit is sent on MOSI while one bit is received on MISO, allowing full-duplex communication. In the presented Mode 0 operation, the clock rests low, incoming data is sampled on the rising edge, and the next outgoing bit is prepared after the falling edge. After eight clock cycles, one transmitted byte and one received byte have been exchanged.</w:t>
      </w:r>
    </w:p>
    <w:p>
      <w:pPr>
        <w:pStyle w:val="Flow"/>
      </w:pPr>
      <w:r>
        <w:t>Activate chip select -&gt; generate clock -&gt; shift MOSI and sample MISO -&gt; complete 8 bits -&gt; release chip select</w:t>
      </w:r>
    </w:p>
    <w:p>
      <w:pPr>
        <w:pStyle w:val="Heading1"/>
      </w:pPr>
      <w:r>
        <w:t>Overall Comparison</w:t>
      </w:r>
    </w:p>
    <w:tbl>
      <w:tblPr>
        <w:tblStyle w:val="TableGrid"/>
        <w:tblW w:w="0" w:type="auto"/>
        <w:tblLayout w:type="fixed"/>
      </w:tblPr>
      <w:tblGrid>
        <w:gridCol w:w="1300"/>
        <w:gridCol w:w="2200"/>
        <w:gridCol w:w="2100"/>
        <w:gridCol w:w="3900"/>
      </w:tblGrid>
      <w:tr>
        <w:tc>
          <w:tcPr>
            <w:shd w:val="clear" w:fill="1F4E78"/>
          </w:tcPr>
          <w:p>
            <w:r>
              <w:b/>
              <w:color w:val="FFFFFF"/>
              <w:t>Protocol</w:t>
            </w:r>
          </w:p>
        </w:tc>
        <w:tc>
          <w:tcPr>
            <w:shd w:val="clear" w:fill="1F4E78"/>
          </w:tcPr>
          <w:p>
            <w:r>
              <w:b/>
              <w:color w:val="FFFFFF"/>
              <w:t>Main signals</w:t>
            </w:r>
          </w:p>
        </w:tc>
        <w:tc>
          <w:tcPr>
            <w:shd w:val="clear" w:fill="1F4E78"/>
          </w:tcPr>
          <w:p>
            <w:r>
              <w:b/>
              <w:color w:val="FFFFFF"/>
              <w:t>Timing</w:t>
            </w:r>
          </w:p>
        </w:tc>
        <w:tc>
          <w:tcPr>
            <w:shd w:val="clear" w:fill="1F4E78"/>
          </w:tcPr>
          <w:p>
            <w:r>
              <w:b/>
              <w:color w:val="FFFFFF"/>
              <w:t>Typical characteristic</w:t>
            </w:r>
          </w:p>
        </w:tc>
      </w:tr>
      <w:tr>
        <w:tc>
          <w:p>
            <w:r>
              <w:t>UART</w:t>
            </w:r>
          </w:p>
        </w:tc>
        <w:tc>
          <w:p>
            <w:r>
              <w:t>TX, RX</w:t>
            </w:r>
          </w:p>
        </w:tc>
        <w:tc>
          <w:p>
            <w:r>
              <w:t>Asynchronous</w:t>
            </w:r>
          </w:p>
        </w:tc>
        <w:tc>
          <w:p>
            <w:r>
              <w:t>Simple point-to-point communication</w:t>
            </w:r>
          </w:p>
        </w:tc>
      </w:tr>
      <w:tr>
        <w:tc>
          <w:p>
            <w:r>
              <w:t>I2C</w:t>
            </w:r>
          </w:p>
        </w:tc>
        <w:tc>
          <w:p>
            <w:r>
              <w:t>SCL, SDA</w:t>
            </w:r>
          </w:p>
        </w:tc>
        <w:tc>
          <w:p>
            <w:r>
              <w:t>Synchronous</w:t>
            </w:r>
          </w:p>
        </w:tc>
        <w:tc>
          <w:p>
            <w:r>
              <w:t>Addressed multi-device two-wire bus</w:t>
            </w:r>
          </w:p>
        </w:tc>
      </w:tr>
      <w:tr>
        <w:tc>
          <w:p>
            <w:r>
              <w:t>SPI</w:t>
            </w:r>
          </w:p>
        </w:tc>
        <w:tc>
          <w:p>
            <w:r>
              <w:t>SCLK, CS, MOSI, MISO</w:t>
            </w:r>
          </w:p>
        </w:tc>
        <w:tc>
          <w:p>
            <w:r>
              <w:t>Synchronous</w:t>
            </w:r>
          </w:p>
        </w:tc>
        <w:tc>
          <w:p>
            <w:r>
              <w:t>High-speed full-duplex transfer</w:t>
            </w:r>
          </w:p>
        </w:tc>
      </w:tr>
    </w:tbl>
    <w:p>
      <w:pPr>
        <w:pStyle w:val="SourceNote"/>
      </w:pPr>
      <w:r>
        <w:t>Prepared from the three fundamental-theory diagrams and the observable behavior of the corresponding communication blocks.</w:t>
      </w:r>
    </w:p>
    <w:sectPr>
      <w:pgSz w:w="11906" w:h="16838"/>
      <w:pgMar w:top="1247" w:right="1247" w:bottom="1247" w:left="1247" w:header="720" w:footer="720" w:gutter="0"/>
    </w:sectPr>
  </w:body>
</w:document>
</file>

<file path=word/styles.xml><?xml version="1.0" encoding="utf-8"?>
<w:styles xmlns:w="http://schemas.openxmlformats.org/wordprocessingml/2006/main">
  <w:docDefaults>
    <w:rPrDefault>
      <w:rPr>
        <w:rFonts w:ascii="Calibri" w:hAnsi="Calibri"/>
        <w:sz w:val="22"/>
        <w:szCs w:val="22"/>
        <w:color w:val="1F2937"/>
      </w:rPr>
    </w:rPrDefault>
    <w:pPrDefault>
      <w:pPr>
        <w:spacing w:after="100" w:line="300" w:lineRule="auto"/>
      </w:pPr>
    </w:pPrDefault>
  </w:docDefaults>
  <w:style w:type="paragraph" w:default="1" w:styleId="Normal">
    <w:name w:val="Normal"/>
    <w:qFormat/>
  </w:style>
  <w:style w:type="paragraph" w:styleId="Title">
    <w:name w:val="Title"/>
    <w:basedOn w:val="Normal"/>
    <w:next w:val="Subtitle"/>
    <w:qFormat/>
    <w:pPr>
      <w:jc w:val="center"/>
      <w:spacing w:before="100" w:after="80"/>
    </w:pPr>
    <w:rPr>
      <w:b/>
      <w:color w:val="17365D"/>
      <w:sz w:val="42"/>
      <w:szCs w:val="42"/>
    </w:rPr>
  </w:style>
  <w:style w:type="paragraph" w:styleId="Subtitle">
    <w:name w:val="Subtitle"/>
    <w:basedOn w:val="Normal"/>
    <w:next w:val="Normal"/>
    <w:qFormat/>
    <w:pPr>
      <w:jc w:val="center"/>
      <w:spacing w:after="280"/>
    </w:pPr>
    <w:rPr>
      <w:i/>
      <w:color w:val="5B6573"/>
      <w:sz w:val="20"/>
      <w:szCs w:val="20"/>
    </w:rPr>
  </w:style>
  <w:style w:type="paragraph" w:styleId="Heading1">
    <w:name w:val="heading 1"/>
    <w:basedOn w:val="Normal"/>
    <w:next w:val="Normal"/>
    <w:qFormat/>
    <w:pPr>
      <w:keepNext/>
      <w:spacing w:before="260" w:after="80"/>
      <w:pBdr>
        <w:bottom w:val="single" w:sz="6" w:space="4" w:color="9FBAD0"/>
      </w:pBdr>
    </w:pPr>
    <w:rPr>
      <w:b/>
      <w:color w:val="1F4E78"/>
      <w:sz w:val="30"/>
      <w:szCs w:val="30"/>
    </w:rPr>
  </w:style>
  <w:style w:type="paragraph" w:styleId="Scope">
    <w:name w:val="Scope"/>
    <w:basedOn w:val="Normal"/>
    <w:pPr>
      <w:spacing w:before="80" w:after="120"/>
      <w:shd w:val="clear" w:color="auto" w:fill="EEF4F8"/>
      <w:ind w:left="160" w:right="160"/>
    </w:pPr>
  </w:style>
  <w:style w:type="paragraph" w:styleId="Flow">
    <w:name w:val="Flow"/>
    <w:basedOn w:val="Normal"/>
    <w:pPr>
      <w:spacing w:before="100" w:after="100"/>
      <w:shd w:val="clear" w:color="auto" w:fill="F3F4F6"/>
      <w:ind w:left="220" w:right="120"/>
    </w:pPr>
    <w:rPr>
      <w:rFonts w:ascii="Consolas" w:hAnsi="Consolas"/>
      <w:sz w:val="19"/>
      <w:szCs w:val="19"/>
    </w:rPr>
  </w:style>
  <w:style w:type="paragraph" w:styleId="Note">
    <w:name w:val="Note"/>
    <w:basedOn w:val="Normal"/>
    <w:pPr>
      <w:spacing w:before="80" w:after="100"/>
      <w:shd w:val="clear" w:color="auto" w:fill="FFF7DF"/>
      <w:ind w:left="180" w:right="120"/>
    </w:pPr>
  </w:style>
  <w:style w:type="paragraph" w:styleId="SourceNote">
    <w:name w:val="Source Note"/>
    <w:basedOn w:val="Normal"/>
    <w:pPr>
      <w:spacing w:before="220"/>
    </w:pPr>
    <w:rPr>
      <w:color w:val="667085"/>
      <w:sz w:val="18"/>
      <w:szCs w:val="18"/>
    </w:rPr>
  </w:style>
  <w:style w:type="table" w:styleId="TableGrid">
    <w:name w:val="Table Grid"/>
    <w:uiPriority w:val="59"/>
    <w:qFormat/>
    <w:tblPr>
      <w:tblBorders>
        <w:top w:val="single" w:sz="4" w:color="AEBDCA"/>
        <w:left w:val="single" w:sz="4" w:color="AEBDCA"/>
        <w:bottom w:val="single" w:sz="4" w:color="AEBDCA"/>
        <w:right w:val="single" w:sz="4" w:color="AEBDCA"/>
        <w:insideH w:val="single" w:sz="4" w:color="AEBDCA"/>
        <w:insideV w:val="single" w:sz="4" w:color="AEBDCA"/>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Flow of APB UART, I2C, and SPI Blocks</dc:title>
  <dc:subject>Descriptions based on RTL and fundamental-theory diagrams</dc:subject>
  <dc:creator>Codex</dc:creator>
  <cp:lastModifiedBy>Codex</cp:lastModifiedBy>
  <dcterms:created xsi:type="dcterms:W3CDTF">2026-07-15T09:18:08Z</dcterms:created>
  <dcterms:modified xsi:type="dcterms:W3CDTF">2026-07-15T09:18:08Z</dcterms:modified>
</cp:coreProperties>
</file>