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431FE" w14:textId="1B794374" w:rsidR="002C551E" w:rsidRDefault="00CE6BB0">
      <w:r w:rsidRPr="008A524C">
        <w:t>Data sources and datasets</w:t>
      </w:r>
    </w:p>
    <w:p w14:paraId="75261086" w14:textId="77777777" w:rsidR="00CE6BB0" w:rsidRDefault="00CE6BB0"/>
    <w:p w14:paraId="2601017B" w14:textId="75309A49" w:rsidR="00CE6BB0" w:rsidRDefault="00CE6BB0">
      <w:r>
        <w:t>Table 1</w:t>
      </w:r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555"/>
        <w:gridCol w:w="2071"/>
        <w:gridCol w:w="1472"/>
        <w:gridCol w:w="2155"/>
        <w:gridCol w:w="1814"/>
      </w:tblGrid>
      <w:tr w:rsidR="00CE6BB0" w:rsidRPr="008A524C" w14:paraId="0E3EA751" w14:textId="77777777" w:rsidTr="00895015">
        <w:trPr>
          <w:trHeight w:val="642"/>
        </w:trPr>
        <w:tc>
          <w:tcPr>
            <w:tcW w:w="1555" w:type="dxa"/>
            <w:vAlign w:val="center"/>
          </w:tcPr>
          <w:p w14:paraId="21040207" w14:textId="77777777" w:rsidR="00CE6BB0" w:rsidRPr="008A524C" w:rsidRDefault="00CE6BB0" w:rsidP="00895015">
            <w:pPr>
              <w:jc w:val="center"/>
            </w:pPr>
            <w:r w:rsidRPr="008A524C">
              <w:t>Dataset</w:t>
            </w:r>
          </w:p>
        </w:tc>
        <w:tc>
          <w:tcPr>
            <w:tcW w:w="2071" w:type="dxa"/>
            <w:vAlign w:val="center"/>
          </w:tcPr>
          <w:p w14:paraId="31CE857C" w14:textId="77777777" w:rsidR="00CE6BB0" w:rsidRPr="008A524C" w:rsidRDefault="00CE6BB0" w:rsidP="00895015">
            <w:pPr>
              <w:jc w:val="center"/>
            </w:pPr>
            <w:r w:rsidRPr="008A524C">
              <w:t xml:space="preserve">Purpose </w:t>
            </w:r>
          </w:p>
        </w:tc>
        <w:tc>
          <w:tcPr>
            <w:tcW w:w="1472" w:type="dxa"/>
            <w:vAlign w:val="center"/>
          </w:tcPr>
          <w:p w14:paraId="5AE3AFB3" w14:textId="77777777" w:rsidR="00CE6BB0" w:rsidRPr="008A524C" w:rsidRDefault="00CE6BB0" w:rsidP="00895015">
            <w:pPr>
              <w:jc w:val="center"/>
            </w:pPr>
            <w:r w:rsidRPr="008A524C">
              <w:t>Access date</w:t>
            </w:r>
          </w:p>
        </w:tc>
        <w:tc>
          <w:tcPr>
            <w:tcW w:w="2155" w:type="dxa"/>
            <w:vAlign w:val="center"/>
          </w:tcPr>
          <w:p w14:paraId="6BD85512" w14:textId="77777777" w:rsidR="00CE6BB0" w:rsidRPr="008A524C" w:rsidRDefault="00CE6BB0" w:rsidP="00895015">
            <w:pPr>
              <w:jc w:val="center"/>
            </w:pPr>
            <w:r w:rsidRPr="008A524C">
              <w:t>Filtering</w:t>
            </w:r>
          </w:p>
        </w:tc>
        <w:tc>
          <w:tcPr>
            <w:tcW w:w="1814" w:type="dxa"/>
            <w:vAlign w:val="center"/>
          </w:tcPr>
          <w:p w14:paraId="654474B8" w14:textId="77777777" w:rsidR="00CE6BB0" w:rsidRPr="008A524C" w:rsidRDefault="00CE6BB0" w:rsidP="00895015">
            <w:pPr>
              <w:jc w:val="center"/>
            </w:pPr>
            <w:r w:rsidRPr="008A524C">
              <w:t>source</w:t>
            </w:r>
          </w:p>
        </w:tc>
      </w:tr>
      <w:tr w:rsidR="00CE6BB0" w:rsidRPr="008A524C" w14:paraId="36E307FB" w14:textId="77777777" w:rsidTr="00895015">
        <w:trPr>
          <w:trHeight w:val="310"/>
        </w:trPr>
        <w:tc>
          <w:tcPr>
            <w:tcW w:w="1555" w:type="dxa"/>
            <w:vAlign w:val="center"/>
          </w:tcPr>
          <w:p w14:paraId="14A57431" w14:textId="77777777" w:rsidR="00CE6BB0" w:rsidRPr="008A524C" w:rsidRDefault="00CE6BB0" w:rsidP="00895015">
            <w:pPr>
              <w:jc w:val="center"/>
            </w:pPr>
            <w:r w:rsidRPr="008A524C">
              <w:t xml:space="preserve">Uniprot </w:t>
            </w:r>
          </w:p>
        </w:tc>
        <w:tc>
          <w:tcPr>
            <w:tcW w:w="2071" w:type="dxa"/>
            <w:vAlign w:val="center"/>
          </w:tcPr>
          <w:p w14:paraId="2A674442" w14:textId="77777777" w:rsidR="00CE6BB0" w:rsidRPr="008A524C" w:rsidRDefault="00CE6BB0" w:rsidP="00895015">
            <w:pPr>
              <w:jc w:val="center"/>
            </w:pPr>
            <w:r w:rsidRPr="008A524C">
              <w:t xml:space="preserve">Human Protein sequences + protein annotation </w:t>
            </w:r>
          </w:p>
        </w:tc>
        <w:tc>
          <w:tcPr>
            <w:tcW w:w="1472" w:type="dxa"/>
            <w:vAlign w:val="center"/>
          </w:tcPr>
          <w:p w14:paraId="56B26441" w14:textId="77777777" w:rsidR="00CE6BB0" w:rsidRPr="008A524C" w:rsidRDefault="00CE6BB0" w:rsidP="00895015">
            <w:pPr>
              <w:jc w:val="center"/>
            </w:pPr>
            <w:r w:rsidRPr="008A524C">
              <w:t>Feb 2025</w:t>
            </w:r>
          </w:p>
        </w:tc>
        <w:tc>
          <w:tcPr>
            <w:tcW w:w="2155" w:type="dxa"/>
            <w:vAlign w:val="center"/>
          </w:tcPr>
          <w:p w14:paraId="14BCE802" w14:textId="77777777" w:rsidR="00CE6BB0" w:rsidRPr="008A524C" w:rsidRDefault="00CE6BB0" w:rsidP="00895015">
            <w:pPr>
              <w:jc w:val="center"/>
            </w:pPr>
            <w:r>
              <w:t>Reviewed sequences + proteins with valid Uniprot ids</w:t>
            </w:r>
          </w:p>
        </w:tc>
        <w:tc>
          <w:tcPr>
            <w:tcW w:w="1814" w:type="dxa"/>
            <w:vAlign w:val="center"/>
          </w:tcPr>
          <w:p w14:paraId="2E1D58C3" w14:textId="77777777" w:rsidR="00CE6BB0" w:rsidRPr="008A524C" w:rsidRDefault="00CE6BB0" w:rsidP="00895015">
            <w:pPr>
              <w:jc w:val="center"/>
            </w:pPr>
            <w:r w:rsidRPr="008A524C">
              <w:t>https://www.uniprot.org/</w:t>
            </w:r>
          </w:p>
        </w:tc>
      </w:tr>
      <w:tr w:rsidR="00CE6BB0" w:rsidRPr="008A524C" w14:paraId="66276DAD" w14:textId="77777777" w:rsidTr="00895015">
        <w:trPr>
          <w:trHeight w:val="310"/>
        </w:trPr>
        <w:tc>
          <w:tcPr>
            <w:tcW w:w="1555" w:type="dxa"/>
            <w:vAlign w:val="center"/>
          </w:tcPr>
          <w:p w14:paraId="3EB60B8A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gnomAD</w:t>
            </w:r>
            <w:proofErr w:type="spellEnd"/>
            <w:r>
              <w:t xml:space="preserve"> v2.1.1 leftover to </w:t>
            </w:r>
            <w:proofErr w:type="spellStart"/>
            <w:r>
              <w:t>GRCh</w:t>
            </w:r>
            <w:proofErr w:type="spellEnd"/>
            <w:r>
              <w:t xml:space="preserve"> 38</w:t>
            </w:r>
          </w:p>
        </w:tc>
        <w:tc>
          <w:tcPr>
            <w:tcW w:w="2071" w:type="dxa"/>
            <w:vAlign w:val="center"/>
          </w:tcPr>
          <w:p w14:paraId="68E5816D" w14:textId="77777777" w:rsidR="00CE6BB0" w:rsidRPr="008A524C" w:rsidRDefault="00CE6BB0" w:rsidP="00895015">
            <w:pPr>
              <w:jc w:val="center"/>
            </w:pPr>
            <w:r w:rsidRPr="008A524C">
              <w:t>SNPs</w:t>
            </w:r>
            <w:r>
              <w:t xml:space="preserve"> </w:t>
            </w:r>
          </w:p>
        </w:tc>
        <w:tc>
          <w:tcPr>
            <w:tcW w:w="1472" w:type="dxa"/>
            <w:vAlign w:val="center"/>
          </w:tcPr>
          <w:p w14:paraId="47A319B3" w14:textId="77777777" w:rsidR="00CE6BB0" w:rsidRPr="008A524C" w:rsidRDefault="00CE6BB0" w:rsidP="00895015">
            <w:pPr>
              <w:jc w:val="center"/>
            </w:pPr>
            <w:r w:rsidRPr="008A524C">
              <w:t>2025</w:t>
            </w:r>
          </w:p>
        </w:tc>
        <w:tc>
          <w:tcPr>
            <w:tcW w:w="2155" w:type="dxa"/>
            <w:vAlign w:val="center"/>
          </w:tcPr>
          <w:p w14:paraId="571DBF78" w14:textId="77777777" w:rsidR="00CE6BB0" w:rsidRPr="008A524C" w:rsidRDefault="00CE6BB0" w:rsidP="00895015">
            <w:pPr>
              <w:jc w:val="center"/>
            </w:pPr>
            <w:r w:rsidRPr="008A524C">
              <w:t>SNPs in exon regions</w:t>
            </w:r>
            <w:r>
              <w:t>; coding SNPs; AF &gt;0.1; Filter = PASS; population = EUR*</w:t>
            </w:r>
          </w:p>
        </w:tc>
        <w:tc>
          <w:tcPr>
            <w:tcW w:w="1814" w:type="dxa"/>
            <w:vAlign w:val="center"/>
          </w:tcPr>
          <w:p w14:paraId="2B473776" w14:textId="77777777" w:rsidR="00CE6BB0" w:rsidRPr="008A524C" w:rsidRDefault="00CE6BB0" w:rsidP="00895015">
            <w:pPr>
              <w:jc w:val="center"/>
            </w:pPr>
            <w:r w:rsidRPr="008A524C">
              <w:t>https://gnomad.broadinstitute.org/</w:t>
            </w:r>
          </w:p>
        </w:tc>
      </w:tr>
      <w:tr w:rsidR="00CE6BB0" w:rsidRPr="008A524C" w14:paraId="493EF927" w14:textId="77777777" w:rsidTr="00895015">
        <w:trPr>
          <w:trHeight w:val="310"/>
        </w:trPr>
        <w:tc>
          <w:tcPr>
            <w:tcW w:w="1555" w:type="dxa"/>
            <w:vAlign w:val="center"/>
          </w:tcPr>
          <w:p w14:paraId="11A76E73" w14:textId="77777777" w:rsidR="00CE6BB0" w:rsidRPr="008A524C" w:rsidRDefault="00CE6BB0" w:rsidP="00895015">
            <w:pPr>
              <w:jc w:val="center"/>
            </w:pPr>
            <w:r w:rsidRPr="008A524C">
              <w:t>Ensembl</w:t>
            </w:r>
            <w:r>
              <w:t xml:space="preserve"> v110</w:t>
            </w:r>
          </w:p>
        </w:tc>
        <w:tc>
          <w:tcPr>
            <w:tcW w:w="2071" w:type="dxa"/>
            <w:vAlign w:val="center"/>
          </w:tcPr>
          <w:p w14:paraId="5F44FB21" w14:textId="77777777" w:rsidR="00CE6BB0" w:rsidRPr="008A524C" w:rsidRDefault="00CE6BB0" w:rsidP="00895015">
            <w:pPr>
              <w:jc w:val="center"/>
            </w:pPr>
            <w:r w:rsidRPr="008A524C">
              <w:t>VEP indexed cache</w:t>
            </w:r>
          </w:p>
        </w:tc>
        <w:tc>
          <w:tcPr>
            <w:tcW w:w="1472" w:type="dxa"/>
            <w:vAlign w:val="center"/>
          </w:tcPr>
          <w:p w14:paraId="74631A85" w14:textId="77777777" w:rsidR="00CE6BB0" w:rsidRPr="008A524C" w:rsidRDefault="00CE6BB0" w:rsidP="00895015">
            <w:pPr>
              <w:jc w:val="center"/>
            </w:pPr>
            <w:r w:rsidRPr="008A524C">
              <w:t>2025</w:t>
            </w:r>
          </w:p>
        </w:tc>
        <w:tc>
          <w:tcPr>
            <w:tcW w:w="3969" w:type="dxa"/>
            <w:gridSpan w:val="2"/>
            <w:vAlign w:val="center"/>
          </w:tcPr>
          <w:p w14:paraId="18FD51FC" w14:textId="77777777" w:rsidR="00CE6BB0" w:rsidRPr="008A524C" w:rsidRDefault="00CE6BB0" w:rsidP="00895015">
            <w:pPr>
              <w:jc w:val="center"/>
            </w:pPr>
            <w:r w:rsidRPr="008A524C">
              <w:t>https://ftp.ensembl.org/pub/release-110/variation/indexed_vep_cache/homo_sapiens_vep_110_GRCh38.tar.gz</w:t>
            </w:r>
          </w:p>
        </w:tc>
      </w:tr>
      <w:tr w:rsidR="00CE6BB0" w:rsidRPr="008A524C" w14:paraId="4035D864" w14:textId="77777777" w:rsidTr="00895015">
        <w:trPr>
          <w:trHeight w:val="310"/>
        </w:trPr>
        <w:tc>
          <w:tcPr>
            <w:tcW w:w="1555" w:type="dxa"/>
            <w:vAlign w:val="center"/>
          </w:tcPr>
          <w:p w14:paraId="0FE92763" w14:textId="77777777" w:rsidR="00CE6BB0" w:rsidRPr="008A524C" w:rsidRDefault="00CE6BB0" w:rsidP="00895015">
            <w:pPr>
              <w:jc w:val="center"/>
            </w:pPr>
            <w:r w:rsidRPr="008A524C">
              <w:t>HPA</w:t>
            </w:r>
            <w:r>
              <w:t xml:space="preserve"> v24</w:t>
            </w:r>
          </w:p>
        </w:tc>
        <w:tc>
          <w:tcPr>
            <w:tcW w:w="2071" w:type="dxa"/>
            <w:vAlign w:val="center"/>
          </w:tcPr>
          <w:p w14:paraId="7E98A8C0" w14:textId="77777777" w:rsidR="00CE6BB0" w:rsidRPr="008A524C" w:rsidRDefault="00CE6BB0" w:rsidP="00895015">
            <w:pPr>
              <w:jc w:val="center"/>
            </w:pPr>
            <w:r>
              <w:t xml:space="preserve">HPA </w:t>
            </w:r>
            <w:r w:rsidRPr="008A524C">
              <w:t xml:space="preserve">RNA dataset </w:t>
            </w:r>
          </w:p>
        </w:tc>
        <w:tc>
          <w:tcPr>
            <w:tcW w:w="1472" w:type="dxa"/>
            <w:vAlign w:val="center"/>
          </w:tcPr>
          <w:p w14:paraId="418EB8E6" w14:textId="77777777" w:rsidR="00CE6BB0" w:rsidRPr="008A524C" w:rsidRDefault="00CE6BB0" w:rsidP="00895015">
            <w:pPr>
              <w:jc w:val="center"/>
            </w:pPr>
            <w:r w:rsidRPr="008A524C">
              <w:t>2025</w:t>
            </w:r>
          </w:p>
        </w:tc>
        <w:tc>
          <w:tcPr>
            <w:tcW w:w="2155" w:type="dxa"/>
            <w:vMerge w:val="restart"/>
            <w:vAlign w:val="center"/>
          </w:tcPr>
          <w:p w14:paraId="1B581FA8" w14:textId="77777777" w:rsidR="00CE6BB0" w:rsidRPr="008A524C" w:rsidRDefault="00CE6BB0" w:rsidP="00895015">
            <w:pPr>
              <w:jc w:val="center"/>
            </w:pPr>
            <w:r>
              <w:t>Valid cross-reference with Uniprot</w:t>
            </w:r>
          </w:p>
        </w:tc>
        <w:tc>
          <w:tcPr>
            <w:tcW w:w="1814" w:type="dxa"/>
            <w:vAlign w:val="center"/>
          </w:tcPr>
          <w:p w14:paraId="1EC32A2E" w14:textId="77777777" w:rsidR="00CE6BB0" w:rsidRPr="008A524C" w:rsidRDefault="00CE6BB0" w:rsidP="00895015">
            <w:pPr>
              <w:jc w:val="center"/>
            </w:pPr>
            <w:r>
              <w:rPr>
                <w:rStyle w:val="HTMLCode"/>
                <w:rFonts w:eastAsiaTheme="majorEastAsia"/>
              </w:rPr>
              <w:t>https://www.proteinatlas.org/download/rna_tissue_hpa.tsv.zip</w:t>
            </w:r>
          </w:p>
        </w:tc>
      </w:tr>
      <w:tr w:rsidR="00CE6BB0" w:rsidRPr="008A524C" w14:paraId="46A6A381" w14:textId="77777777" w:rsidTr="00895015">
        <w:trPr>
          <w:trHeight w:val="310"/>
        </w:trPr>
        <w:tc>
          <w:tcPr>
            <w:tcW w:w="1555" w:type="dxa"/>
            <w:vAlign w:val="center"/>
          </w:tcPr>
          <w:p w14:paraId="6CBB3836" w14:textId="77777777" w:rsidR="00CE6BB0" w:rsidRPr="008A524C" w:rsidRDefault="00CE6BB0" w:rsidP="00895015">
            <w:pPr>
              <w:jc w:val="center"/>
            </w:pPr>
            <w:r w:rsidRPr="008A524C">
              <w:t>GTEx</w:t>
            </w:r>
            <w:r>
              <w:t xml:space="preserve"> v8</w:t>
            </w:r>
          </w:p>
        </w:tc>
        <w:tc>
          <w:tcPr>
            <w:tcW w:w="2071" w:type="dxa"/>
            <w:vAlign w:val="center"/>
          </w:tcPr>
          <w:p w14:paraId="65685F2F" w14:textId="77777777" w:rsidR="00CE6BB0" w:rsidRPr="008A524C" w:rsidRDefault="00CE6BB0" w:rsidP="00895015">
            <w:pPr>
              <w:jc w:val="center"/>
            </w:pPr>
            <w:r w:rsidRPr="008A524C">
              <w:t xml:space="preserve">Transcript level </w:t>
            </w:r>
            <w:proofErr w:type="spellStart"/>
            <w:r w:rsidRPr="008A524C">
              <w:t>gxp</w:t>
            </w:r>
            <w:proofErr w:type="spellEnd"/>
          </w:p>
        </w:tc>
        <w:tc>
          <w:tcPr>
            <w:tcW w:w="1472" w:type="dxa"/>
            <w:vAlign w:val="center"/>
          </w:tcPr>
          <w:p w14:paraId="701879BE" w14:textId="77777777" w:rsidR="00CE6BB0" w:rsidRPr="008A524C" w:rsidRDefault="00CE6BB0" w:rsidP="00895015">
            <w:pPr>
              <w:jc w:val="center"/>
            </w:pPr>
            <w:r w:rsidRPr="008A524C">
              <w:t>2025</w:t>
            </w:r>
          </w:p>
        </w:tc>
        <w:tc>
          <w:tcPr>
            <w:tcW w:w="2155" w:type="dxa"/>
            <w:vMerge/>
            <w:vAlign w:val="center"/>
          </w:tcPr>
          <w:p w14:paraId="76036EE6" w14:textId="77777777" w:rsidR="00CE6BB0" w:rsidRPr="008A524C" w:rsidRDefault="00CE6BB0" w:rsidP="00895015">
            <w:pPr>
              <w:jc w:val="center"/>
            </w:pPr>
          </w:p>
        </w:tc>
        <w:tc>
          <w:tcPr>
            <w:tcW w:w="1814" w:type="dxa"/>
            <w:vAlign w:val="center"/>
          </w:tcPr>
          <w:p w14:paraId="7CC25793" w14:textId="77777777" w:rsidR="00CE6BB0" w:rsidRPr="008A524C" w:rsidRDefault="00CE6BB0" w:rsidP="00895015">
            <w:pPr>
              <w:jc w:val="center"/>
            </w:pPr>
            <w:r>
              <w:rPr>
                <w:rStyle w:val="HTMLCode"/>
                <w:rFonts w:eastAsiaTheme="majorEastAsia"/>
              </w:rPr>
              <w:t>https://storage.googleapis.com/adult-gtex/bulk-gex/v8/rna-seq/GTEx_Analysis_2017-06-05_v8_RSEMv1.3.0_transcript_tpm.gct.gz</w:t>
            </w:r>
          </w:p>
        </w:tc>
      </w:tr>
      <w:tr w:rsidR="00CE6BB0" w:rsidRPr="008A524C" w14:paraId="408E1A93" w14:textId="77777777" w:rsidTr="00895015">
        <w:trPr>
          <w:trHeight w:val="292"/>
        </w:trPr>
        <w:tc>
          <w:tcPr>
            <w:tcW w:w="1555" w:type="dxa"/>
            <w:vAlign w:val="center"/>
          </w:tcPr>
          <w:p w14:paraId="01DB6482" w14:textId="77777777" w:rsidR="00CE6BB0" w:rsidRPr="008A524C" w:rsidRDefault="00CE6BB0" w:rsidP="00895015">
            <w:pPr>
              <w:jc w:val="center"/>
            </w:pPr>
            <w:r w:rsidRPr="008A524C">
              <w:t>IEDB</w:t>
            </w:r>
          </w:p>
        </w:tc>
        <w:tc>
          <w:tcPr>
            <w:tcW w:w="2071" w:type="dxa"/>
            <w:vAlign w:val="center"/>
          </w:tcPr>
          <w:p w14:paraId="58AB7E21" w14:textId="77777777" w:rsidR="00CE6BB0" w:rsidRPr="008A524C" w:rsidRDefault="00CE6BB0" w:rsidP="00895015">
            <w:pPr>
              <w:jc w:val="center"/>
            </w:pPr>
            <w:r w:rsidRPr="008A524C">
              <w:t xml:space="preserve">Peptide annotation </w:t>
            </w:r>
          </w:p>
        </w:tc>
        <w:tc>
          <w:tcPr>
            <w:tcW w:w="1472" w:type="dxa"/>
            <w:vAlign w:val="center"/>
          </w:tcPr>
          <w:p w14:paraId="4612ACF4" w14:textId="77777777" w:rsidR="00CE6BB0" w:rsidRPr="008A524C" w:rsidRDefault="00CE6BB0" w:rsidP="00895015">
            <w:pPr>
              <w:jc w:val="center"/>
            </w:pPr>
            <w:r w:rsidRPr="008A524C">
              <w:t>2025</w:t>
            </w:r>
          </w:p>
        </w:tc>
        <w:tc>
          <w:tcPr>
            <w:tcW w:w="2155" w:type="dxa"/>
            <w:vAlign w:val="center"/>
          </w:tcPr>
          <w:p w14:paraId="5581EBE0" w14:textId="77777777" w:rsidR="00CE6BB0" w:rsidRPr="008A524C" w:rsidRDefault="00CE6BB0" w:rsidP="00895015">
            <w:pPr>
              <w:jc w:val="center"/>
            </w:pPr>
            <w:r w:rsidRPr="008A524C">
              <w:t xml:space="preserve">Human; linear peptide; peptide sequence </w:t>
            </w:r>
          </w:p>
        </w:tc>
        <w:tc>
          <w:tcPr>
            <w:tcW w:w="1814" w:type="dxa"/>
            <w:vAlign w:val="center"/>
          </w:tcPr>
          <w:p w14:paraId="7442C50B" w14:textId="77777777" w:rsidR="00CE6BB0" w:rsidRPr="008A524C" w:rsidRDefault="00CE6BB0" w:rsidP="00895015">
            <w:pPr>
              <w:jc w:val="center"/>
            </w:pPr>
            <w:r w:rsidRPr="008A524C">
              <w:t>https://www.iedb.org/</w:t>
            </w:r>
          </w:p>
        </w:tc>
      </w:tr>
      <w:tr w:rsidR="00CE6BB0" w:rsidRPr="008A524C" w14:paraId="777E6434" w14:textId="77777777" w:rsidTr="00895015">
        <w:trPr>
          <w:trHeight w:val="292"/>
        </w:trPr>
        <w:tc>
          <w:tcPr>
            <w:tcW w:w="1555" w:type="dxa"/>
            <w:vAlign w:val="center"/>
          </w:tcPr>
          <w:p w14:paraId="269E62AE" w14:textId="77777777" w:rsidR="00CE6BB0" w:rsidRPr="008A524C" w:rsidRDefault="00CE6BB0" w:rsidP="00895015">
            <w:pPr>
              <w:jc w:val="center"/>
            </w:pPr>
            <w:r w:rsidRPr="008A524C">
              <w:t>PEPREP</w:t>
            </w:r>
          </w:p>
        </w:tc>
        <w:tc>
          <w:tcPr>
            <w:tcW w:w="2071" w:type="dxa"/>
            <w:vAlign w:val="center"/>
          </w:tcPr>
          <w:p w14:paraId="253C688E" w14:textId="77777777" w:rsidR="00CE6BB0" w:rsidRPr="008A524C" w:rsidRDefault="00CE6BB0" w:rsidP="00895015">
            <w:pPr>
              <w:jc w:val="center"/>
            </w:pPr>
            <w:r w:rsidRPr="008A524C">
              <w:t>Peptide annotation</w:t>
            </w:r>
          </w:p>
        </w:tc>
        <w:tc>
          <w:tcPr>
            <w:tcW w:w="1472" w:type="dxa"/>
            <w:vAlign w:val="center"/>
          </w:tcPr>
          <w:p w14:paraId="1983E408" w14:textId="77777777" w:rsidR="00CE6BB0" w:rsidRPr="008A524C" w:rsidRDefault="00CE6BB0" w:rsidP="00895015">
            <w:pPr>
              <w:jc w:val="center"/>
            </w:pPr>
            <w:r w:rsidRPr="008A524C">
              <w:t>2025</w:t>
            </w:r>
          </w:p>
        </w:tc>
        <w:tc>
          <w:tcPr>
            <w:tcW w:w="2155" w:type="dxa"/>
            <w:vAlign w:val="center"/>
          </w:tcPr>
          <w:p w14:paraId="73CFD594" w14:textId="77777777" w:rsidR="00CE6BB0" w:rsidRPr="008A524C" w:rsidRDefault="00CE6BB0" w:rsidP="00895015">
            <w:pPr>
              <w:jc w:val="center"/>
            </w:pPr>
            <w:r>
              <w:t>Human; peptide sequence</w:t>
            </w:r>
          </w:p>
        </w:tc>
        <w:tc>
          <w:tcPr>
            <w:tcW w:w="1814" w:type="dxa"/>
            <w:vAlign w:val="center"/>
          </w:tcPr>
          <w:p w14:paraId="07418455" w14:textId="77777777" w:rsidR="00CE6BB0" w:rsidRPr="008A524C" w:rsidRDefault="00CE6BB0" w:rsidP="00895015">
            <w:pPr>
              <w:jc w:val="center"/>
            </w:pPr>
            <w:r w:rsidRPr="008A524C">
              <w:t>BioCopy</w:t>
            </w:r>
          </w:p>
        </w:tc>
      </w:tr>
    </w:tbl>
    <w:p w14:paraId="1E759C90" w14:textId="77777777" w:rsidR="00CE6BB0" w:rsidRDefault="00CE6BB0"/>
    <w:p w14:paraId="485067AB" w14:textId="44AC5D10" w:rsidR="00CE6BB0" w:rsidRDefault="00CE6BB0">
      <w:r>
        <w:t>Table 2</w:t>
      </w:r>
    </w:p>
    <w:p w14:paraId="48C718C1" w14:textId="77777777" w:rsidR="00CE6BB0" w:rsidRDefault="00CE6BB0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1806"/>
        <w:gridCol w:w="5214"/>
      </w:tblGrid>
      <w:tr w:rsidR="00CE6BB0" w:rsidRPr="008A524C" w14:paraId="005B5101" w14:textId="77777777" w:rsidTr="00895015">
        <w:trPr>
          <w:jc w:val="center"/>
        </w:trPr>
        <w:tc>
          <w:tcPr>
            <w:tcW w:w="2042" w:type="dxa"/>
            <w:vAlign w:val="center"/>
          </w:tcPr>
          <w:p w14:paraId="7549EA60" w14:textId="77777777" w:rsidR="00CE6BB0" w:rsidRPr="008A524C" w:rsidRDefault="00CE6BB0" w:rsidP="00895015">
            <w:pPr>
              <w:jc w:val="center"/>
            </w:pPr>
            <w:r w:rsidRPr="008A524C">
              <w:t>Tools/package</w:t>
            </w:r>
          </w:p>
        </w:tc>
        <w:tc>
          <w:tcPr>
            <w:tcW w:w="1806" w:type="dxa"/>
            <w:vAlign w:val="center"/>
          </w:tcPr>
          <w:p w14:paraId="2FB15232" w14:textId="77777777" w:rsidR="00CE6BB0" w:rsidRPr="008A524C" w:rsidRDefault="00CE6BB0" w:rsidP="00895015">
            <w:pPr>
              <w:jc w:val="center"/>
            </w:pPr>
            <w:r w:rsidRPr="008A524C">
              <w:t xml:space="preserve">Purpose </w:t>
            </w:r>
          </w:p>
        </w:tc>
        <w:tc>
          <w:tcPr>
            <w:tcW w:w="5214" w:type="dxa"/>
            <w:vAlign w:val="center"/>
          </w:tcPr>
          <w:p w14:paraId="40AB229A" w14:textId="77777777" w:rsidR="00CE6BB0" w:rsidRPr="008A524C" w:rsidRDefault="00CE6BB0" w:rsidP="00895015">
            <w:pPr>
              <w:jc w:val="center"/>
            </w:pPr>
            <w:r w:rsidRPr="008A524C">
              <w:t xml:space="preserve">Reference </w:t>
            </w:r>
          </w:p>
        </w:tc>
      </w:tr>
      <w:tr w:rsidR="00CE6BB0" w:rsidRPr="008A524C" w14:paraId="0BCB2A6E" w14:textId="77777777" w:rsidTr="00895015">
        <w:trPr>
          <w:jc w:val="center"/>
        </w:trPr>
        <w:tc>
          <w:tcPr>
            <w:tcW w:w="2042" w:type="dxa"/>
            <w:vAlign w:val="center"/>
          </w:tcPr>
          <w:p w14:paraId="4A3F4BC9" w14:textId="77777777" w:rsidR="00CE6BB0" w:rsidRPr="008A524C" w:rsidRDefault="00CE6BB0" w:rsidP="00895015">
            <w:pPr>
              <w:jc w:val="center"/>
            </w:pPr>
            <w:r w:rsidRPr="008A524C">
              <w:t>BLASTp</w:t>
            </w:r>
          </w:p>
        </w:tc>
        <w:tc>
          <w:tcPr>
            <w:tcW w:w="1806" w:type="dxa"/>
            <w:vAlign w:val="center"/>
          </w:tcPr>
          <w:p w14:paraId="794B2F3D" w14:textId="77777777" w:rsidR="00CE6BB0" w:rsidRPr="008A524C" w:rsidRDefault="00CE6BB0" w:rsidP="00895015">
            <w:pPr>
              <w:jc w:val="center"/>
            </w:pPr>
            <w:r>
              <w:t>Sequence search</w:t>
            </w:r>
          </w:p>
        </w:tc>
        <w:tc>
          <w:tcPr>
            <w:tcW w:w="5214" w:type="dxa"/>
            <w:vAlign w:val="center"/>
          </w:tcPr>
          <w:p w14:paraId="546041DA" w14:textId="77777777" w:rsidR="00CE6BB0" w:rsidRPr="008A524C" w:rsidRDefault="00CE6BB0" w:rsidP="00895015"/>
        </w:tc>
      </w:tr>
      <w:tr w:rsidR="00CE6BB0" w:rsidRPr="008A524C" w14:paraId="7FDAF05F" w14:textId="77777777" w:rsidTr="00895015">
        <w:trPr>
          <w:jc w:val="center"/>
        </w:trPr>
        <w:tc>
          <w:tcPr>
            <w:tcW w:w="2042" w:type="dxa"/>
            <w:vAlign w:val="center"/>
          </w:tcPr>
          <w:p w14:paraId="0C277676" w14:textId="77777777" w:rsidR="00CE6BB0" w:rsidRPr="008A524C" w:rsidRDefault="00CE6BB0" w:rsidP="00895015">
            <w:pPr>
              <w:jc w:val="center"/>
            </w:pPr>
            <w:r w:rsidRPr="008A524C">
              <w:t>PEPMatch</w:t>
            </w:r>
          </w:p>
        </w:tc>
        <w:tc>
          <w:tcPr>
            <w:tcW w:w="1806" w:type="dxa"/>
            <w:vAlign w:val="center"/>
          </w:tcPr>
          <w:p w14:paraId="60F83EB1" w14:textId="77777777" w:rsidR="00CE6BB0" w:rsidRPr="008A524C" w:rsidRDefault="00CE6BB0" w:rsidP="00895015">
            <w:pPr>
              <w:jc w:val="center"/>
            </w:pPr>
            <w:r>
              <w:t>Sequence search</w:t>
            </w:r>
          </w:p>
        </w:tc>
        <w:tc>
          <w:tcPr>
            <w:tcW w:w="5214" w:type="dxa"/>
            <w:vAlign w:val="center"/>
          </w:tcPr>
          <w:p w14:paraId="2E8A047D" w14:textId="77777777" w:rsidR="00CE6BB0" w:rsidRPr="008A524C" w:rsidRDefault="00CE6BB0" w:rsidP="00895015"/>
        </w:tc>
      </w:tr>
      <w:tr w:rsidR="00CE6BB0" w:rsidRPr="008A524C" w14:paraId="52484D71" w14:textId="77777777" w:rsidTr="00895015">
        <w:trPr>
          <w:jc w:val="center"/>
        </w:trPr>
        <w:tc>
          <w:tcPr>
            <w:tcW w:w="2042" w:type="dxa"/>
            <w:vAlign w:val="center"/>
          </w:tcPr>
          <w:p w14:paraId="0D4458DD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tabix</w:t>
            </w:r>
            <w:proofErr w:type="spellEnd"/>
            <w:r w:rsidRPr="008A524C">
              <w:t xml:space="preserve"> 1.9</w:t>
            </w:r>
          </w:p>
        </w:tc>
        <w:tc>
          <w:tcPr>
            <w:tcW w:w="1806" w:type="dxa"/>
            <w:vMerge w:val="restart"/>
            <w:vAlign w:val="center"/>
          </w:tcPr>
          <w:p w14:paraId="1211BC6D" w14:textId="77777777" w:rsidR="00CE6BB0" w:rsidRPr="008A524C" w:rsidRDefault="00CE6BB0" w:rsidP="00895015">
            <w:pPr>
              <w:jc w:val="center"/>
            </w:pPr>
            <w:r>
              <w:t>SNPs extraction</w:t>
            </w:r>
          </w:p>
        </w:tc>
        <w:tc>
          <w:tcPr>
            <w:tcW w:w="5214" w:type="dxa"/>
            <w:vAlign w:val="center"/>
          </w:tcPr>
          <w:p w14:paraId="4D766688" w14:textId="77777777" w:rsidR="00CE6BB0" w:rsidRPr="008A524C" w:rsidRDefault="00CE6BB0" w:rsidP="00895015"/>
        </w:tc>
      </w:tr>
      <w:tr w:rsidR="00CE6BB0" w:rsidRPr="008A524C" w14:paraId="055F90CD" w14:textId="77777777" w:rsidTr="00895015">
        <w:trPr>
          <w:jc w:val="center"/>
        </w:trPr>
        <w:tc>
          <w:tcPr>
            <w:tcW w:w="2042" w:type="dxa"/>
            <w:vAlign w:val="center"/>
          </w:tcPr>
          <w:p w14:paraId="3ACFC051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Bcftools</w:t>
            </w:r>
            <w:proofErr w:type="spellEnd"/>
          </w:p>
        </w:tc>
        <w:tc>
          <w:tcPr>
            <w:tcW w:w="1806" w:type="dxa"/>
            <w:vMerge/>
            <w:vAlign w:val="center"/>
          </w:tcPr>
          <w:p w14:paraId="4F11BC37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766E6D2F" w14:textId="77777777" w:rsidR="00CE6BB0" w:rsidRPr="008A524C" w:rsidRDefault="00CE6BB0" w:rsidP="00895015"/>
        </w:tc>
      </w:tr>
      <w:tr w:rsidR="00CE6BB0" w:rsidRPr="008A524C" w14:paraId="1AD391EE" w14:textId="77777777" w:rsidTr="00895015">
        <w:trPr>
          <w:jc w:val="center"/>
        </w:trPr>
        <w:tc>
          <w:tcPr>
            <w:tcW w:w="2042" w:type="dxa"/>
            <w:vAlign w:val="center"/>
          </w:tcPr>
          <w:p w14:paraId="3E42AB2A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vep</w:t>
            </w:r>
            <w:proofErr w:type="spellEnd"/>
          </w:p>
        </w:tc>
        <w:tc>
          <w:tcPr>
            <w:tcW w:w="1806" w:type="dxa"/>
            <w:vAlign w:val="center"/>
          </w:tcPr>
          <w:p w14:paraId="1EAD47EC" w14:textId="77777777" w:rsidR="00CE6BB0" w:rsidRPr="008A524C" w:rsidRDefault="00CE6BB0" w:rsidP="00895015">
            <w:pPr>
              <w:jc w:val="center"/>
            </w:pPr>
            <w:r>
              <w:t>SNPs annotation</w:t>
            </w:r>
          </w:p>
        </w:tc>
        <w:tc>
          <w:tcPr>
            <w:tcW w:w="5214" w:type="dxa"/>
            <w:vAlign w:val="center"/>
          </w:tcPr>
          <w:p w14:paraId="78ACDE28" w14:textId="77777777" w:rsidR="00CE6BB0" w:rsidRPr="008A524C" w:rsidRDefault="00CE6BB0" w:rsidP="00895015"/>
        </w:tc>
      </w:tr>
      <w:tr w:rsidR="00CE6BB0" w:rsidRPr="008A524C" w14:paraId="44324690" w14:textId="77777777" w:rsidTr="00895015">
        <w:trPr>
          <w:jc w:val="center"/>
        </w:trPr>
        <w:tc>
          <w:tcPr>
            <w:tcW w:w="2042" w:type="dxa"/>
            <w:vAlign w:val="center"/>
          </w:tcPr>
          <w:p w14:paraId="4192126E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lastRenderedPageBreak/>
              <w:t>NetMHCpan</w:t>
            </w:r>
            <w:proofErr w:type="spellEnd"/>
          </w:p>
        </w:tc>
        <w:tc>
          <w:tcPr>
            <w:tcW w:w="1806" w:type="dxa"/>
            <w:vMerge w:val="restart"/>
            <w:vAlign w:val="center"/>
          </w:tcPr>
          <w:p w14:paraId="1BD9DDEE" w14:textId="77777777" w:rsidR="00CE6BB0" w:rsidRPr="008A524C" w:rsidRDefault="00CE6BB0" w:rsidP="00895015">
            <w:pPr>
              <w:jc w:val="center"/>
            </w:pPr>
            <w:r>
              <w:t xml:space="preserve">HLA binding predictions </w:t>
            </w:r>
          </w:p>
        </w:tc>
        <w:tc>
          <w:tcPr>
            <w:tcW w:w="5214" w:type="dxa"/>
            <w:vAlign w:val="center"/>
          </w:tcPr>
          <w:p w14:paraId="1023B062" w14:textId="77777777" w:rsidR="00CE6BB0" w:rsidRPr="008A524C" w:rsidRDefault="00CE6BB0" w:rsidP="00895015"/>
        </w:tc>
      </w:tr>
      <w:tr w:rsidR="00CE6BB0" w:rsidRPr="008A524C" w14:paraId="066AAF7C" w14:textId="77777777" w:rsidTr="00895015">
        <w:trPr>
          <w:jc w:val="center"/>
        </w:trPr>
        <w:tc>
          <w:tcPr>
            <w:tcW w:w="2042" w:type="dxa"/>
            <w:vAlign w:val="center"/>
          </w:tcPr>
          <w:p w14:paraId="57C9ED89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MHCflurry</w:t>
            </w:r>
            <w:proofErr w:type="spellEnd"/>
          </w:p>
        </w:tc>
        <w:tc>
          <w:tcPr>
            <w:tcW w:w="1806" w:type="dxa"/>
            <w:vMerge/>
            <w:vAlign w:val="center"/>
          </w:tcPr>
          <w:p w14:paraId="78AA77D5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3EC42921" w14:textId="77777777" w:rsidR="00CE6BB0" w:rsidRPr="008A524C" w:rsidRDefault="00CE6BB0" w:rsidP="00895015"/>
        </w:tc>
      </w:tr>
      <w:tr w:rsidR="00CE6BB0" w:rsidRPr="008A524C" w14:paraId="43C6AC17" w14:textId="77777777" w:rsidTr="00895015">
        <w:trPr>
          <w:jc w:val="center"/>
        </w:trPr>
        <w:tc>
          <w:tcPr>
            <w:tcW w:w="3848" w:type="dxa"/>
            <w:gridSpan w:val="2"/>
            <w:vAlign w:val="center"/>
          </w:tcPr>
          <w:p w14:paraId="45DAC904" w14:textId="77777777" w:rsidR="00CE6BB0" w:rsidRPr="008A524C" w:rsidRDefault="00CE6BB0" w:rsidP="00895015">
            <w:r w:rsidRPr="008A524C">
              <w:t>R packages</w:t>
            </w:r>
          </w:p>
        </w:tc>
        <w:tc>
          <w:tcPr>
            <w:tcW w:w="5214" w:type="dxa"/>
            <w:vAlign w:val="center"/>
          </w:tcPr>
          <w:p w14:paraId="755E754B" w14:textId="77777777" w:rsidR="00CE6BB0" w:rsidRPr="008A524C" w:rsidRDefault="00CE6BB0" w:rsidP="00895015"/>
        </w:tc>
      </w:tr>
      <w:tr w:rsidR="00CE6BB0" w:rsidRPr="008A524C" w14:paraId="6427F22E" w14:textId="77777777" w:rsidTr="00895015">
        <w:trPr>
          <w:jc w:val="center"/>
        </w:trPr>
        <w:tc>
          <w:tcPr>
            <w:tcW w:w="2042" w:type="dxa"/>
            <w:vAlign w:val="center"/>
          </w:tcPr>
          <w:p w14:paraId="37C4D323" w14:textId="77777777" w:rsidR="00CE6BB0" w:rsidRPr="008A524C" w:rsidRDefault="00CE6BB0" w:rsidP="00895015">
            <w:pPr>
              <w:jc w:val="center"/>
            </w:pPr>
            <w:r w:rsidRPr="008A524C">
              <w:t>ggplot2</w:t>
            </w:r>
          </w:p>
        </w:tc>
        <w:tc>
          <w:tcPr>
            <w:tcW w:w="1806" w:type="dxa"/>
            <w:vAlign w:val="center"/>
          </w:tcPr>
          <w:p w14:paraId="14E4A4F5" w14:textId="77777777" w:rsidR="00CE6BB0" w:rsidRPr="008A524C" w:rsidRDefault="00CE6BB0" w:rsidP="00895015">
            <w:pPr>
              <w:jc w:val="center"/>
            </w:pPr>
            <w:r>
              <w:t>Visualization</w:t>
            </w:r>
          </w:p>
        </w:tc>
        <w:tc>
          <w:tcPr>
            <w:tcW w:w="5214" w:type="dxa"/>
            <w:vAlign w:val="center"/>
          </w:tcPr>
          <w:p w14:paraId="22990A2C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lang w:val="en-US"/>
              </w:rPr>
              <w:t>H. Wickham. ggplot2: Elegant Graphics for Data Analysis. Springer-Verlag New York, 2016.</w:t>
            </w:r>
          </w:p>
        </w:tc>
      </w:tr>
      <w:tr w:rsidR="00CE6BB0" w:rsidRPr="008A524C" w14:paraId="7D59A03D" w14:textId="77777777" w:rsidTr="00895015">
        <w:trPr>
          <w:jc w:val="center"/>
        </w:trPr>
        <w:tc>
          <w:tcPr>
            <w:tcW w:w="2042" w:type="dxa"/>
            <w:vAlign w:val="center"/>
          </w:tcPr>
          <w:p w14:paraId="6B82B164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lessR</w:t>
            </w:r>
            <w:proofErr w:type="spellEnd"/>
          </w:p>
        </w:tc>
        <w:tc>
          <w:tcPr>
            <w:tcW w:w="1806" w:type="dxa"/>
            <w:vAlign w:val="center"/>
          </w:tcPr>
          <w:p w14:paraId="0FDC2BA3" w14:textId="77777777" w:rsidR="00CE6BB0" w:rsidRPr="008A524C" w:rsidRDefault="00CE6BB0" w:rsidP="00895015">
            <w:pPr>
              <w:jc w:val="center"/>
            </w:pPr>
            <w:r>
              <w:t>Visualization</w:t>
            </w:r>
          </w:p>
        </w:tc>
        <w:tc>
          <w:tcPr>
            <w:tcW w:w="5214" w:type="dxa"/>
            <w:vAlign w:val="center"/>
          </w:tcPr>
          <w:p w14:paraId="0C82CBAF" w14:textId="77777777" w:rsidR="00CE6BB0" w:rsidRPr="00A02F1C" w:rsidRDefault="00CE6BB0" w:rsidP="00895015">
            <w:pPr>
              <w:pStyle w:val="StandardWeb"/>
            </w:pPr>
            <w:r w:rsidRPr="004F002F">
              <w:rPr>
                <w:lang w:val="en-US"/>
              </w:rPr>
              <w:t xml:space="preserve">Gerbing D (2025). </w:t>
            </w:r>
            <w:proofErr w:type="spellStart"/>
            <w:r w:rsidRPr="004F002F">
              <w:rPr>
                <w:rStyle w:val="Hervorhebung"/>
                <w:rFonts w:eastAsiaTheme="majorEastAsia"/>
                <w:lang w:val="en-US"/>
              </w:rPr>
              <w:t>lessR</w:t>
            </w:r>
            <w:proofErr w:type="spellEnd"/>
            <w:r w:rsidRPr="004F002F">
              <w:rPr>
                <w:rStyle w:val="Hervorhebung"/>
                <w:rFonts w:eastAsiaTheme="majorEastAsia"/>
                <w:lang w:val="en-US"/>
              </w:rPr>
              <w:t>: Less Code, More Results</w:t>
            </w:r>
            <w:r w:rsidRPr="004F002F">
              <w:rPr>
                <w:lang w:val="en-US"/>
              </w:rPr>
              <w:t xml:space="preserve">. </w:t>
            </w:r>
            <w:r w:rsidRPr="00A02F1C">
              <w:t xml:space="preserve">R </w:t>
            </w:r>
            <w:proofErr w:type="spellStart"/>
            <w:r w:rsidRPr="00A02F1C">
              <w:t>package</w:t>
            </w:r>
            <w:proofErr w:type="spellEnd"/>
            <w:r w:rsidRPr="00A02F1C">
              <w:t xml:space="preserve"> </w:t>
            </w:r>
            <w:proofErr w:type="spellStart"/>
            <w:r w:rsidRPr="00A02F1C">
              <w:t>version</w:t>
            </w:r>
            <w:proofErr w:type="spellEnd"/>
            <w:r w:rsidRPr="00A02F1C">
              <w:t xml:space="preserve"> 4.4.5, &lt;https://CRAN.R-project.org/package=lessR&gt;.</w:t>
            </w:r>
          </w:p>
          <w:p w14:paraId="10CCA649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lang w:val="en-US"/>
              </w:rPr>
              <w:t>Gerbing DW (2021). “Enhancement of the Command-Line Environment for use in the Introductory Statistics Course and Beyond.”</w:t>
            </w:r>
          </w:p>
          <w:p w14:paraId="1613EA5B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rStyle w:val="Hervorhebung"/>
                <w:rFonts w:eastAsiaTheme="majorEastAsia"/>
                <w:lang w:val="en-US"/>
              </w:rPr>
              <w:t>Journal of Statistics and Data Science Education</w:t>
            </w:r>
            <w:r w:rsidRPr="004F002F">
              <w:rPr>
                <w:lang w:val="en-US"/>
              </w:rPr>
              <w:t xml:space="preserve">, </w:t>
            </w:r>
            <w:r w:rsidRPr="004F002F">
              <w:rPr>
                <w:rStyle w:val="Hervorhebung"/>
                <w:rFonts w:eastAsiaTheme="majorEastAsia"/>
                <w:lang w:val="en-US"/>
              </w:rPr>
              <w:t>29</w:t>
            </w:r>
            <w:r w:rsidRPr="004F002F">
              <w:rPr>
                <w:lang w:val="en-US"/>
              </w:rPr>
              <w:t>(3), 251-256. doi:10.1080/26939169.2021.1999871</w:t>
            </w:r>
          </w:p>
          <w:p w14:paraId="15126281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lang w:val="en-US"/>
              </w:rPr>
              <w:t>&lt;https://doi.org/10.1080/26939169.2021.1999871&gt;.</w:t>
            </w:r>
          </w:p>
        </w:tc>
      </w:tr>
      <w:tr w:rsidR="00CE6BB0" w:rsidRPr="008A524C" w14:paraId="36D024F0" w14:textId="77777777" w:rsidTr="00895015">
        <w:trPr>
          <w:jc w:val="center"/>
        </w:trPr>
        <w:tc>
          <w:tcPr>
            <w:tcW w:w="2042" w:type="dxa"/>
            <w:vAlign w:val="center"/>
          </w:tcPr>
          <w:p w14:paraId="726538E5" w14:textId="77777777" w:rsidR="00CE6BB0" w:rsidRPr="008A524C" w:rsidRDefault="00CE6BB0" w:rsidP="00895015">
            <w:pPr>
              <w:jc w:val="center"/>
            </w:pPr>
            <w:r w:rsidRPr="008A524C">
              <w:t>biomaRt</w:t>
            </w:r>
          </w:p>
        </w:tc>
        <w:tc>
          <w:tcPr>
            <w:tcW w:w="1806" w:type="dxa"/>
            <w:vAlign w:val="center"/>
          </w:tcPr>
          <w:p w14:paraId="3044A93F" w14:textId="77777777" w:rsidR="00CE6BB0" w:rsidRPr="008A524C" w:rsidRDefault="00CE6BB0" w:rsidP="00895015">
            <w:pPr>
              <w:jc w:val="center"/>
            </w:pPr>
            <w:r>
              <w:t>Cross-reference and gene annotation</w:t>
            </w:r>
          </w:p>
        </w:tc>
        <w:tc>
          <w:tcPr>
            <w:tcW w:w="5214" w:type="dxa"/>
            <w:vAlign w:val="center"/>
          </w:tcPr>
          <w:p w14:paraId="551D99B2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lang w:val="en-US"/>
              </w:rPr>
              <w:t>Mapping identifiers for the integration of genomic datasets with the R/Bioconductor package biomaRt. Steffen Durinck, Paul</w:t>
            </w:r>
          </w:p>
          <w:p w14:paraId="6B9E2A43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lang w:val="en-US"/>
              </w:rPr>
              <w:t>T. Spellman, Ewan Birney and Wolfgang Huber, Nature Protocols 4, 1184-1191 (2009).</w:t>
            </w:r>
          </w:p>
          <w:p w14:paraId="2DC83C0F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proofErr w:type="spellStart"/>
            <w:r w:rsidRPr="004F002F">
              <w:rPr>
                <w:lang w:val="en-US"/>
              </w:rPr>
              <w:t>BioMart</w:t>
            </w:r>
            <w:proofErr w:type="spellEnd"/>
            <w:r w:rsidRPr="004F002F">
              <w:rPr>
                <w:lang w:val="en-US"/>
              </w:rPr>
              <w:t xml:space="preserve"> and Bioconductor: a powerful link between biological databases and microarray data analysis. Steffen Durinck, Yves</w:t>
            </w:r>
          </w:p>
          <w:p w14:paraId="75B4DEB1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lang w:val="en-US"/>
              </w:rPr>
              <w:t xml:space="preserve">Moreau, Arek Kasprzyk, Sean Davis, Bart De Moor, Alvis </w:t>
            </w:r>
            <w:proofErr w:type="spellStart"/>
            <w:r w:rsidRPr="004F002F">
              <w:rPr>
                <w:lang w:val="en-US"/>
              </w:rPr>
              <w:t>Brazma</w:t>
            </w:r>
            <w:proofErr w:type="spellEnd"/>
            <w:r w:rsidRPr="004F002F">
              <w:rPr>
                <w:lang w:val="en-US"/>
              </w:rPr>
              <w:t xml:space="preserve"> and Wolfgang Huber, Bioinformatics 21, 3439-3440 (2005).</w:t>
            </w:r>
          </w:p>
        </w:tc>
      </w:tr>
      <w:tr w:rsidR="00CE6BB0" w:rsidRPr="008A524C" w14:paraId="6D197EE1" w14:textId="77777777" w:rsidTr="00895015">
        <w:trPr>
          <w:jc w:val="center"/>
        </w:trPr>
        <w:tc>
          <w:tcPr>
            <w:tcW w:w="2042" w:type="dxa"/>
            <w:vAlign w:val="center"/>
          </w:tcPr>
          <w:p w14:paraId="6A25CF98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rmarkdown</w:t>
            </w:r>
            <w:proofErr w:type="spellEnd"/>
          </w:p>
        </w:tc>
        <w:tc>
          <w:tcPr>
            <w:tcW w:w="1806" w:type="dxa"/>
            <w:vAlign w:val="center"/>
          </w:tcPr>
          <w:p w14:paraId="4799F434" w14:textId="77777777" w:rsidR="00CE6BB0" w:rsidRPr="008A524C" w:rsidRDefault="00CE6BB0" w:rsidP="00895015">
            <w:pPr>
              <w:jc w:val="center"/>
            </w:pPr>
            <w:r>
              <w:t>Report generation</w:t>
            </w:r>
          </w:p>
        </w:tc>
        <w:tc>
          <w:tcPr>
            <w:tcW w:w="5214" w:type="dxa"/>
            <w:vAlign w:val="center"/>
          </w:tcPr>
          <w:p w14:paraId="783A3DA3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r w:rsidRPr="004F002F">
              <w:rPr>
                <w:lang w:val="en-US"/>
              </w:rPr>
              <w:t xml:space="preserve">Allaire J, Xie Y, </w:t>
            </w:r>
            <w:proofErr w:type="spellStart"/>
            <w:r w:rsidRPr="004F002F">
              <w:rPr>
                <w:lang w:val="en-US"/>
              </w:rPr>
              <w:t>Dervieux</w:t>
            </w:r>
            <w:proofErr w:type="spellEnd"/>
            <w:r w:rsidRPr="004F002F">
              <w:rPr>
                <w:lang w:val="en-US"/>
              </w:rPr>
              <w:t xml:space="preserve"> C, McPherson J, </w:t>
            </w:r>
            <w:proofErr w:type="spellStart"/>
            <w:r w:rsidRPr="004F002F">
              <w:rPr>
                <w:lang w:val="en-US"/>
              </w:rPr>
              <w:t>Luraschi</w:t>
            </w:r>
            <w:proofErr w:type="spellEnd"/>
            <w:r w:rsidRPr="004F002F">
              <w:rPr>
                <w:lang w:val="en-US"/>
              </w:rPr>
              <w:t xml:space="preserve"> J, </w:t>
            </w:r>
            <w:proofErr w:type="spellStart"/>
            <w:r w:rsidRPr="004F002F">
              <w:rPr>
                <w:lang w:val="en-US"/>
              </w:rPr>
              <w:t>Ushey</w:t>
            </w:r>
            <w:proofErr w:type="spellEnd"/>
            <w:r w:rsidRPr="004F002F">
              <w:rPr>
                <w:lang w:val="en-US"/>
              </w:rPr>
              <w:t xml:space="preserve"> K, Atkins A, Wickham H, Cheng J, Chang W, Iannone R (2024).</w:t>
            </w:r>
          </w:p>
          <w:p w14:paraId="6D5B92BE" w14:textId="77777777" w:rsidR="00CE6BB0" w:rsidRPr="004F002F" w:rsidRDefault="00CE6BB0" w:rsidP="00895015">
            <w:pPr>
              <w:pStyle w:val="StandardWeb"/>
              <w:rPr>
                <w:lang w:val="en-US"/>
              </w:rPr>
            </w:pPr>
            <w:proofErr w:type="spellStart"/>
            <w:r w:rsidRPr="004F002F">
              <w:rPr>
                <w:rStyle w:val="Hervorhebung"/>
                <w:rFonts w:eastAsiaTheme="majorEastAsia"/>
                <w:lang w:val="en-US"/>
              </w:rPr>
              <w:t>rmarkdown</w:t>
            </w:r>
            <w:proofErr w:type="spellEnd"/>
            <w:r w:rsidRPr="004F002F">
              <w:rPr>
                <w:rStyle w:val="Hervorhebung"/>
                <w:rFonts w:eastAsiaTheme="majorEastAsia"/>
                <w:lang w:val="en-US"/>
              </w:rPr>
              <w:t>: Dynamic Documents for R</w:t>
            </w:r>
            <w:r w:rsidRPr="004F002F">
              <w:rPr>
                <w:lang w:val="en-US"/>
              </w:rPr>
              <w:t>. R package version 2.29, &lt;https://github.com/rstudio/rmarkdown&gt;.</w:t>
            </w:r>
          </w:p>
        </w:tc>
      </w:tr>
      <w:tr w:rsidR="00CE6BB0" w:rsidRPr="00A02F1C" w14:paraId="288708C6" w14:textId="77777777" w:rsidTr="00895015">
        <w:trPr>
          <w:jc w:val="center"/>
        </w:trPr>
        <w:tc>
          <w:tcPr>
            <w:tcW w:w="2042" w:type="dxa"/>
            <w:vAlign w:val="center"/>
          </w:tcPr>
          <w:p w14:paraId="06256152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tidyr</w:t>
            </w:r>
            <w:proofErr w:type="spellEnd"/>
          </w:p>
        </w:tc>
        <w:tc>
          <w:tcPr>
            <w:tcW w:w="1806" w:type="dxa"/>
            <w:vAlign w:val="center"/>
          </w:tcPr>
          <w:p w14:paraId="631349B3" w14:textId="77777777" w:rsidR="00CE6BB0" w:rsidRPr="008A524C" w:rsidRDefault="00CE6BB0" w:rsidP="00895015">
            <w:pPr>
              <w:jc w:val="center"/>
            </w:pPr>
            <w:r>
              <w:t>Data manipulation</w:t>
            </w:r>
          </w:p>
        </w:tc>
        <w:tc>
          <w:tcPr>
            <w:tcW w:w="5214" w:type="dxa"/>
            <w:vAlign w:val="center"/>
          </w:tcPr>
          <w:p w14:paraId="75FF39BB" w14:textId="77777777" w:rsidR="00CE6BB0" w:rsidRPr="00A02F1C" w:rsidRDefault="00CE6BB0" w:rsidP="00895015">
            <w:pPr>
              <w:pStyle w:val="StandardWeb"/>
            </w:pPr>
            <w:r w:rsidRPr="004F002F">
              <w:rPr>
                <w:lang w:val="en-US"/>
              </w:rPr>
              <w:t xml:space="preserve">Wickham H, Vaughan D, </w:t>
            </w:r>
            <w:proofErr w:type="spellStart"/>
            <w:r w:rsidRPr="004F002F">
              <w:rPr>
                <w:lang w:val="en-US"/>
              </w:rPr>
              <w:t>Girlich</w:t>
            </w:r>
            <w:proofErr w:type="spellEnd"/>
            <w:r w:rsidRPr="004F002F">
              <w:rPr>
                <w:lang w:val="en-US"/>
              </w:rPr>
              <w:t xml:space="preserve"> M (2024). </w:t>
            </w:r>
            <w:proofErr w:type="spellStart"/>
            <w:r w:rsidRPr="004F002F">
              <w:rPr>
                <w:rStyle w:val="Hervorhebung"/>
                <w:rFonts w:eastAsiaTheme="majorEastAsia"/>
                <w:lang w:val="en-US"/>
              </w:rPr>
              <w:t>tidyr</w:t>
            </w:r>
            <w:proofErr w:type="spellEnd"/>
            <w:r w:rsidRPr="004F002F">
              <w:rPr>
                <w:rStyle w:val="Hervorhebung"/>
                <w:rFonts w:eastAsiaTheme="majorEastAsia"/>
                <w:lang w:val="en-US"/>
              </w:rPr>
              <w:t>: Tidy Messy Data</w:t>
            </w:r>
            <w:r w:rsidRPr="004F002F">
              <w:rPr>
                <w:lang w:val="en-US"/>
              </w:rPr>
              <w:t xml:space="preserve">. </w:t>
            </w:r>
            <w:r w:rsidRPr="00A02F1C">
              <w:t xml:space="preserve">R </w:t>
            </w:r>
            <w:proofErr w:type="spellStart"/>
            <w:r w:rsidRPr="00A02F1C">
              <w:t>package</w:t>
            </w:r>
            <w:proofErr w:type="spellEnd"/>
            <w:r w:rsidRPr="00A02F1C">
              <w:t xml:space="preserve"> </w:t>
            </w:r>
            <w:proofErr w:type="spellStart"/>
            <w:r w:rsidRPr="00A02F1C">
              <w:t>version</w:t>
            </w:r>
            <w:proofErr w:type="spellEnd"/>
            <w:r w:rsidRPr="00A02F1C">
              <w:t xml:space="preserve"> 1.3.1,</w:t>
            </w:r>
          </w:p>
          <w:p w14:paraId="5B56B5BD" w14:textId="77777777" w:rsidR="00CE6BB0" w:rsidRPr="00A02F1C" w:rsidRDefault="00CE6BB0" w:rsidP="00895015">
            <w:pPr>
              <w:pStyle w:val="StandardWeb"/>
            </w:pPr>
            <w:r w:rsidRPr="00A02F1C">
              <w:t>&lt;https://CRAN.R-project.org/package=tidyr&gt;.</w:t>
            </w:r>
          </w:p>
        </w:tc>
      </w:tr>
      <w:tr w:rsidR="00CE6BB0" w:rsidRPr="008A524C" w14:paraId="7B5DE8E7" w14:textId="77777777" w:rsidTr="00895015">
        <w:trPr>
          <w:jc w:val="center"/>
        </w:trPr>
        <w:tc>
          <w:tcPr>
            <w:tcW w:w="3848" w:type="dxa"/>
            <w:gridSpan w:val="2"/>
            <w:vAlign w:val="center"/>
          </w:tcPr>
          <w:p w14:paraId="5F686A18" w14:textId="77777777" w:rsidR="00CE6BB0" w:rsidRPr="008A524C" w:rsidRDefault="00CE6BB0" w:rsidP="00895015">
            <w:pPr>
              <w:jc w:val="center"/>
            </w:pPr>
            <w:r w:rsidRPr="008A524C">
              <w:t>Python module</w:t>
            </w:r>
          </w:p>
        </w:tc>
        <w:tc>
          <w:tcPr>
            <w:tcW w:w="5214" w:type="dxa"/>
            <w:vAlign w:val="center"/>
          </w:tcPr>
          <w:p w14:paraId="43BB1693" w14:textId="77777777" w:rsidR="00CE6BB0" w:rsidRPr="008A524C" w:rsidRDefault="00CE6BB0" w:rsidP="00895015"/>
        </w:tc>
      </w:tr>
      <w:tr w:rsidR="00CE6BB0" w:rsidRPr="008A524C" w14:paraId="38DC72CF" w14:textId="77777777" w:rsidTr="00895015">
        <w:trPr>
          <w:jc w:val="center"/>
        </w:trPr>
        <w:tc>
          <w:tcPr>
            <w:tcW w:w="2042" w:type="dxa"/>
            <w:vAlign w:val="center"/>
          </w:tcPr>
          <w:p w14:paraId="5CBCEE83" w14:textId="77777777" w:rsidR="00CE6BB0" w:rsidRPr="008A524C" w:rsidRDefault="00CE6BB0" w:rsidP="00895015">
            <w:pPr>
              <w:jc w:val="center"/>
            </w:pPr>
            <w:r w:rsidRPr="008A524C">
              <w:t>Panda</w:t>
            </w:r>
          </w:p>
        </w:tc>
        <w:tc>
          <w:tcPr>
            <w:tcW w:w="1806" w:type="dxa"/>
            <w:vAlign w:val="center"/>
          </w:tcPr>
          <w:p w14:paraId="5716F686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26FC51D7" w14:textId="77777777" w:rsidR="00CE6BB0" w:rsidRPr="008A524C" w:rsidRDefault="00CE6BB0" w:rsidP="00895015"/>
        </w:tc>
      </w:tr>
      <w:tr w:rsidR="00CE6BB0" w:rsidRPr="008A524C" w14:paraId="18E5E670" w14:textId="77777777" w:rsidTr="00895015">
        <w:trPr>
          <w:jc w:val="center"/>
        </w:trPr>
        <w:tc>
          <w:tcPr>
            <w:tcW w:w="2042" w:type="dxa"/>
            <w:vAlign w:val="center"/>
          </w:tcPr>
          <w:p w14:paraId="7C2D3089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sklearn</w:t>
            </w:r>
            <w:proofErr w:type="spellEnd"/>
          </w:p>
        </w:tc>
        <w:tc>
          <w:tcPr>
            <w:tcW w:w="1806" w:type="dxa"/>
            <w:vAlign w:val="center"/>
          </w:tcPr>
          <w:p w14:paraId="6CABE098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18D4058E" w14:textId="77777777" w:rsidR="00CE6BB0" w:rsidRPr="008A524C" w:rsidRDefault="00CE6BB0" w:rsidP="00895015"/>
        </w:tc>
      </w:tr>
      <w:tr w:rsidR="00CE6BB0" w:rsidRPr="008A524C" w14:paraId="103279A6" w14:textId="77777777" w:rsidTr="00895015">
        <w:trPr>
          <w:jc w:val="center"/>
        </w:trPr>
        <w:tc>
          <w:tcPr>
            <w:tcW w:w="2042" w:type="dxa"/>
            <w:vAlign w:val="center"/>
          </w:tcPr>
          <w:p w14:paraId="46C625F6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Numpy</w:t>
            </w:r>
            <w:proofErr w:type="spellEnd"/>
          </w:p>
        </w:tc>
        <w:tc>
          <w:tcPr>
            <w:tcW w:w="1806" w:type="dxa"/>
            <w:vAlign w:val="center"/>
          </w:tcPr>
          <w:p w14:paraId="3AAB2EF3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5434FF49" w14:textId="77777777" w:rsidR="00CE6BB0" w:rsidRPr="008A524C" w:rsidRDefault="00CE6BB0" w:rsidP="00895015"/>
        </w:tc>
      </w:tr>
      <w:tr w:rsidR="00CE6BB0" w:rsidRPr="008A524C" w14:paraId="5C0C7331" w14:textId="77777777" w:rsidTr="00895015">
        <w:trPr>
          <w:jc w:val="center"/>
        </w:trPr>
        <w:tc>
          <w:tcPr>
            <w:tcW w:w="2042" w:type="dxa"/>
            <w:vAlign w:val="center"/>
          </w:tcPr>
          <w:p w14:paraId="7B719EE2" w14:textId="77777777" w:rsidR="00CE6BB0" w:rsidRPr="004F002F" w:rsidRDefault="00CE6BB0" w:rsidP="00895015">
            <w:pPr>
              <w:jc w:val="center"/>
            </w:pPr>
            <w:proofErr w:type="spellStart"/>
            <w:r w:rsidRPr="008A524C">
              <w:t>Bio.SeqUtils</w:t>
            </w:r>
            <w:proofErr w:type="spellEnd"/>
          </w:p>
        </w:tc>
        <w:tc>
          <w:tcPr>
            <w:tcW w:w="1806" w:type="dxa"/>
            <w:vAlign w:val="center"/>
          </w:tcPr>
          <w:p w14:paraId="50E92C2D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1C509FBA" w14:textId="77777777" w:rsidR="00CE6BB0" w:rsidRPr="008A524C" w:rsidRDefault="00CE6BB0" w:rsidP="00895015"/>
        </w:tc>
      </w:tr>
      <w:tr w:rsidR="00CE6BB0" w:rsidRPr="008A524C" w14:paraId="36ECA509" w14:textId="77777777" w:rsidTr="00895015">
        <w:trPr>
          <w:jc w:val="center"/>
        </w:trPr>
        <w:tc>
          <w:tcPr>
            <w:tcW w:w="2042" w:type="dxa"/>
            <w:vAlign w:val="center"/>
          </w:tcPr>
          <w:p w14:paraId="64AC09B9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t>Scipy</w:t>
            </w:r>
            <w:proofErr w:type="spellEnd"/>
          </w:p>
        </w:tc>
        <w:tc>
          <w:tcPr>
            <w:tcW w:w="1806" w:type="dxa"/>
            <w:vAlign w:val="center"/>
          </w:tcPr>
          <w:p w14:paraId="36FDDFC4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447E28B6" w14:textId="77777777" w:rsidR="00CE6BB0" w:rsidRPr="008A524C" w:rsidRDefault="00CE6BB0" w:rsidP="00895015"/>
        </w:tc>
      </w:tr>
      <w:tr w:rsidR="00CE6BB0" w:rsidRPr="008A524C" w14:paraId="1DBC3167" w14:textId="77777777" w:rsidTr="00895015">
        <w:trPr>
          <w:jc w:val="center"/>
        </w:trPr>
        <w:tc>
          <w:tcPr>
            <w:tcW w:w="2042" w:type="dxa"/>
            <w:vAlign w:val="center"/>
          </w:tcPr>
          <w:p w14:paraId="2F8418B9" w14:textId="77777777" w:rsidR="00CE6BB0" w:rsidRPr="008A524C" w:rsidRDefault="00CE6BB0" w:rsidP="00895015">
            <w:pPr>
              <w:jc w:val="center"/>
            </w:pPr>
            <w:r w:rsidRPr="008A524C">
              <w:t>peptides</w:t>
            </w:r>
          </w:p>
        </w:tc>
        <w:tc>
          <w:tcPr>
            <w:tcW w:w="1806" w:type="dxa"/>
            <w:vAlign w:val="center"/>
          </w:tcPr>
          <w:p w14:paraId="79B52B80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3652B37A" w14:textId="77777777" w:rsidR="00CE6BB0" w:rsidRPr="008A524C" w:rsidRDefault="00CE6BB0" w:rsidP="00895015"/>
        </w:tc>
      </w:tr>
      <w:tr w:rsidR="00CE6BB0" w:rsidRPr="008A524C" w14:paraId="063DF2C4" w14:textId="77777777" w:rsidTr="00895015">
        <w:trPr>
          <w:jc w:val="center"/>
        </w:trPr>
        <w:tc>
          <w:tcPr>
            <w:tcW w:w="2042" w:type="dxa"/>
            <w:vAlign w:val="center"/>
          </w:tcPr>
          <w:p w14:paraId="57C00D57" w14:textId="77777777" w:rsidR="00CE6BB0" w:rsidRPr="008A524C" w:rsidRDefault="00CE6BB0" w:rsidP="00895015">
            <w:pPr>
              <w:jc w:val="center"/>
            </w:pPr>
            <w:proofErr w:type="spellStart"/>
            <w:r w:rsidRPr="008A524C">
              <w:lastRenderedPageBreak/>
              <w:t>CrossDome</w:t>
            </w:r>
            <w:proofErr w:type="spellEnd"/>
          </w:p>
        </w:tc>
        <w:tc>
          <w:tcPr>
            <w:tcW w:w="1806" w:type="dxa"/>
            <w:vAlign w:val="center"/>
          </w:tcPr>
          <w:p w14:paraId="7DCCA309" w14:textId="77777777" w:rsidR="00CE6BB0" w:rsidRPr="008A524C" w:rsidRDefault="00CE6BB0" w:rsidP="00895015">
            <w:pPr>
              <w:pStyle w:val="StandardWeb"/>
              <w:rPr>
                <w:lang w:val="en-US"/>
              </w:rPr>
            </w:pPr>
            <w:r w:rsidRPr="008A524C">
              <w:rPr>
                <w:lang w:val="en-US"/>
              </w:rPr>
              <w:t>An R package to measure cross-reactivity risk in the sequence-space</w:t>
            </w:r>
          </w:p>
        </w:tc>
        <w:tc>
          <w:tcPr>
            <w:tcW w:w="5214" w:type="dxa"/>
            <w:vAlign w:val="center"/>
          </w:tcPr>
          <w:p w14:paraId="2E9787B5" w14:textId="77777777" w:rsidR="00CE6BB0" w:rsidRPr="008A524C" w:rsidRDefault="00CE6BB0" w:rsidP="00895015">
            <w:pPr>
              <w:pStyle w:val="StandardWeb"/>
              <w:rPr>
                <w:lang w:val="en-US"/>
              </w:rPr>
            </w:pPr>
            <w:r w:rsidRPr="008A524C">
              <w:rPr>
                <w:lang w:val="en-US"/>
              </w:rPr>
              <w:t xml:space="preserve">Fonseca A (2025). </w:t>
            </w:r>
            <w:proofErr w:type="spellStart"/>
            <w:r w:rsidRPr="008A524C">
              <w:rPr>
                <w:rStyle w:val="Hervorhebung"/>
                <w:rFonts w:eastAsiaTheme="majorEastAsia"/>
                <w:lang w:val="en-US"/>
              </w:rPr>
              <w:t>crossdome</w:t>
            </w:r>
            <w:proofErr w:type="spellEnd"/>
            <w:r w:rsidRPr="008A524C">
              <w:rPr>
                <w:rStyle w:val="Hervorhebung"/>
                <w:rFonts w:eastAsiaTheme="majorEastAsia"/>
                <w:lang w:val="en-US"/>
              </w:rPr>
              <w:t>: An R package to measure cross-reactivity risk in the sequence-space</w:t>
            </w:r>
            <w:r w:rsidRPr="008A524C">
              <w:rPr>
                <w:lang w:val="en-US"/>
              </w:rPr>
              <w:t>. R package version &lt;https://github.com/antuneslab/crossdome&gt;.</w:t>
            </w:r>
          </w:p>
        </w:tc>
      </w:tr>
      <w:tr w:rsidR="00CE6BB0" w:rsidRPr="008A524C" w14:paraId="414F8250" w14:textId="77777777" w:rsidTr="00895015">
        <w:trPr>
          <w:jc w:val="center"/>
        </w:trPr>
        <w:tc>
          <w:tcPr>
            <w:tcW w:w="3848" w:type="dxa"/>
            <w:gridSpan w:val="2"/>
            <w:vAlign w:val="center"/>
          </w:tcPr>
          <w:p w14:paraId="1196EBAC" w14:textId="77777777" w:rsidR="00CE6BB0" w:rsidRPr="008A524C" w:rsidRDefault="00CE6BB0" w:rsidP="00895015">
            <w:pPr>
              <w:jc w:val="center"/>
            </w:pPr>
          </w:p>
        </w:tc>
        <w:tc>
          <w:tcPr>
            <w:tcW w:w="5214" w:type="dxa"/>
            <w:vAlign w:val="center"/>
          </w:tcPr>
          <w:p w14:paraId="65DBEE3D" w14:textId="77777777" w:rsidR="00CE6BB0" w:rsidRPr="008A524C" w:rsidRDefault="00CE6BB0" w:rsidP="00895015">
            <w:pPr>
              <w:jc w:val="center"/>
            </w:pPr>
          </w:p>
        </w:tc>
      </w:tr>
      <w:tr w:rsidR="00CE6BB0" w:rsidRPr="008A524C" w14:paraId="09664423" w14:textId="77777777" w:rsidTr="00895015">
        <w:trPr>
          <w:jc w:val="center"/>
        </w:trPr>
        <w:tc>
          <w:tcPr>
            <w:tcW w:w="2042" w:type="dxa"/>
            <w:vAlign w:val="center"/>
          </w:tcPr>
          <w:p w14:paraId="2246FCF9" w14:textId="77777777" w:rsidR="00CE6BB0" w:rsidRPr="008A524C" w:rsidRDefault="00CE6BB0" w:rsidP="00895015">
            <w:pPr>
              <w:jc w:val="center"/>
            </w:pPr>
            <w:r w:rsidRPr="008A524C">
              <w:t>R 4.4.1</w:t>
            </w:r>
          </w:p>
        </w:tc>
        <w:tc>
          <w:tcPr>
            <w:tcW w:w="7020" w:type="dxa"/>
            <w:gridSpan w:val="2"/>
            <w:vAlign w:val="center"/>
          </w:tcPr>
          <w:p w14:paraId="1863A1FE" w14:textId="77777777" w:rsidR="00CE6BB0" w:rsidRDefault="00CE6BB0" w:rsidP="00895015">
            <w:r>
              <w:t>R Core Team (2024). _R: A Language and Environment for Statistical Computing_. R</w:t>
            </w:r>
          </w:p>
          <w:p w14:paraId="414A5654" w14:textId="77777777" w:rsidR="00CE6BB0" w:rsidRDefault="00CE6BB0" w:rsidP="00895015">
            <w:r>
              <w:t xml:space="preserve">  Foundation for Statistical Computing, Vienna, Austria.</w:t>
            </w:r>
          </w:p>
          <w:p w14:paraId="5BDEB22D" w14:textId="77777777" w:rsidR="00CE6BB0" w:rsidRPr="008A524C" w:rsidRDefault="00CE6BB0" w:rsidP="00895015">
            <w:r>
              <w:t xml:space="preserve">  &lt;https://www.R-project.org/&gt;.</w:t>
            </w:r>
          </w:p>
        </w:tc>
      </w:tr>
      <w:tr w:rsidR="00CE6BB0" w:rsidRPr="008A524C" w14:paraId="0C322BD0" w14:textId="77777777" w:rsidTr="00895015">
        <w:trPr>
          <w:jc w:val="center"/>
        </w:trPr>
        <w:tc>
          <w:tcPr>
            <w:tcW w:w="2042" w:type="dxa"/>
            <w:vAlign w:val="center"/>
          </w:tcPr>
          <w:p w14:paraId="3350B9BF" w14:textId="77777777" w:rsidR="00CE6BB0" w:rsidRPr="008A524C" w:rsidRDefault="00CE6BB0" w:rsidP="00895015">
            <w:pPr>
              <w:jc w:val="center"/>
            </w:pPr>
            <w:r w:rsidRPr="008A524C">
              <w:t>Python 3.9.16</w:t>
            </w:r>
          </w:p>
        </w:tc>
        <w:tc>
          <w:tcPr>
            <w:tcW w:w="7020" w:type="dxa"/>
            <w:gridSpan w:val="2"/>
            <w:vAlign w:val="center"/>
          </w:tcPr>
          <w:p w14:paraId="3AF2B5B8" w14:textId="77777777" w:rsidR="00CE6BB0" w:rsidRPr="008A524C" w:rsidRDefault="00CE6BB0" w:rsidP="00895015">
            <w:r>
              <w:t xml:space="preserve">Van Rossum, G., &amp; Drake, F. L. (2009). </w:t>
            </w:r>
            <w:r>
              <w:rPr>
                <w:i/>
                <w:iCs/>
              </w:rPr>
              <w:t>Python 3 Reference Manual</w:t>
            </w:r>
            <w:r>
              <w:t>. Scotts Valley, CA: CreateSpace.</w:t>
            </w:r>
          </w:p>
        </w:tc>
      </w:tr>
      <w:tr w:rsidR="00CE6BB0" w:rsidRPr="008A524C" w14:paraId="4FA202F3" w14:textId="77777777" w:rsidTr="00895015">
        <w:trPr>
          <w:jc w:val="center"/>
        </w:trPr>
        <w:tc>
          <w:tcPr>
            <w:tcW w:w="2042" w:type="dxa"/>
            <w:vAlign w:val="center"/>
          </w:tcPr>
          <w:p w14:paraId="7BC7877A" w14:textId="77777777" w:rsidR="00CE6BB0" w:rsidRPr="008A524C" w:rsidRDefault="00CE6BB0" w:rsidP="00895015">
            <w:pPr>
              <w:jc w:val="center"/>
            </w:pPr>
            <w:r>
              <w:t>Conda</w:t>
            </w:r>
          </w:p>
        </w:tc>
        <w:tc>
          <w:tcPr>
            <w:tcW w:w="7020" w:type="dxa"/>
            <w:gridSpan w:val="2"/>
            <w:vAlign w:val="center"/>
          </w:tcPr>
          <w:p w14:paraId="30A54703" w14:textId="77777777" w:rsidR="00CE6BB0" w:rsidRDefault="00CE6BB0" w:rsidP="00895015"/>
        </w:tc>
      </w:tr>
      <w:tr w:rsidR="00CE6BB0" w:rsidRPr="008A524C" w14:paraId="4CBBEA79" w14:textId="77777777" w:rsidTr="00895015">
        <w:trPr>
          <w:jc w:val="center"/>
        </w:trPr>
        <w:tc>
          <w:tcPr>
            <w:tcW w:w="2042" w:type="dxa"/>
            <w:vAlign w:val="center"/>
          </w:tcPr>
          <w:p w14:paraId="1557FB59" w14:textId="77777777" w:rsidR="00CE6BB0" w:rsidRDefault="00CE6BB0" w:rsidP="00895015">
            <w:pPr>
              <w:jc w:val="center"/>
            </w:pPr>
            <w:proofErr w:type="spellStart"/>
            <w:r w:rsidRPr="008A524C">
              <w:t>snakemake</w:t>
            </w:r>
            <w:proofErr w:type="spellEnd"/>
            <w:r w:rsidRPr="008A524C">
              <w:t xml:space="preserve"> </w:t>
            </w:r>
            <w:r w:rsidRPr="008A524C">
              <w:rPr>
                <w:rFonts w:ascii="Menlo" w:hAnsi="Menlo" w:cs="Menlo"/>
                <w:color w:val="000000"/>
                <w:sz w:val="22"/>
                <w:szCs w:val="22"/>
              </w:rPr>
              <w:t>7.24.2</w:t>
            </w:r>
          </w:p>
        </w:tc>
        <w:tc>
          <w:tcPr>
            <w:tcW w:w="7020" w:type="dxa"/>
            <w:gridSpan w:val="2"/>
            <w:vAlign w:val="center"/>
          </w:tcPr>
          <w:p w14:paraId="6B523B5A" w14:textId="77777777" w:rsidR="00CE6BB0" w:rsidRDefault="00CE6BB0" w:rsidP="00895015">
            <w:hyperlink r:id="rId4" w:history="1">
              <w:r>
                <w:rPr>
                  <w:rStyle w:val="Hyperlink"/>
                </w:rPr>
                <w:t xml:space="preserve">Mölder, F., Jablonski, K.P., Letcher, B., Hall, M.B., Tomkins-Tinch, C.H., </w:t>
              </w:r>
              <w:proofErr w:type="spellStart"/>
              <w:r>
                <w:rPr>
                  <w:rStyle w:val="Hyperlink"/>
                </w:rPr>
                <w:t>Sochat</w:t>
              </w:r>
              <w:proofErr w:type="spellEnd"/>
              <w:r>
                <w:rPr>
                  <w:rStyle w:val="Hyperlink"/>
                </w:rPr>
                <w:t xml:space="preserve">, V., Forster, J., Lee, S., </w:t>
              </w:r>
              <w:proofErr w:type="spellStart"/>
              <w:r>
                <w:rPr>
                  <w:rStyle w:val="Hyperlink"/>
                </w:rPr>
                <w:t>Twardziok</w:t>
              </w:r>
              <w:proofErr w:type="spellEnd"/>
              <w:r>
                <w:rPr>
                  <w:rStyle w:val="Hyperlink"/>
                </w:rPr>
                <w:t xml:space="preserve">, S.O., Kanitz, A., Wilm, A., Holtgrewe, M., </w:t>
              </w:r>
              <w:proofErr w:type="spellStart"/>
              <w:r>
                <w:rPr>
                  <w:rStyle w:val="Hyperlink"/>
                </w:rPr>
                <w:t>Rahmann</w:t>
              </w:r>
              <w:proofErr w:type="spellEnd"/>
              <w:r>
                <w:rPr>
                  <w:rStyle w:val="Hyperlink"/>
                </w:rPr>
                <w:t xml:space="preserve">, S., </w:t>
              </w:r>
              <w:proofErr w:type="spellStart"/>
              <w:r>
                <w:rPr>
                  <w:rStyle w:val="Hyperlink"/>
                </w:rPr>
                <w:t>Nahnsen</w:t>
              </w:r>
              <w:proofErr w:type="spellEnd"/>
              <w:r>
                <w:rPr>
                  <w:rStyle w:val="Hyperlink"/>
                </w:rPr>
                <w:t>, S., Köster, J., 2021. Sustainable data analysis with Snakemake. F1000Res 10, 33.</w:t>
              </w:r>
            </w:hyperlink>
          </w:p>
        </w:tc>
      </w:tr>
    </w:tbl>
    <w:p w14:paraId="5CEE4883" w14:textId="77777777" w:rsidR="00CE6BB0" w:rsidRPr="008A524C" w:rsidRDefault="00CE6BB0" w:rsidP="00CE6BB0">
      <w:r>
        <w:t xml:space="preserve">*: we followed </w:t>
      </w:r>
      <w:proofErr w:type="spellStart"/>
      <w:r>
        <w:t>gnomAD</w:t>
      </w:r>
      <w:proofErr w:type="spellEnd"/>
      <w:r>
        <w:t xml:space="preserve"> population’s description for selection (see </w:t>
      </w:r>
      <w:r w:rsidRPr="00D43C38">
        <w:t>https://gnomad.broadinstitute.org/news/2017-02-the-genome-aggregation-database/</w:t>
      </w:r>
      <w:r>
        <w:t>)</w:t>
      </w:r>
    </w:p>
    <w:p w14:paraId="36946094" w14:textId="77777777" w:rsidR="00CE6BB0" w:rsidRDefault="00CE6BB0"/>
    <w:p w14:paraId="32FE0B33" w14:textId="77777777" w:rsidR="00CE6BB0" w:rsidRDefault="00CE6BB0"/>
    <w:p w14:paraId="4552994D" w14:textId="77777777" w:rsidR="00CE6BB0" w:rsidRDefault="00CE6BB0"/>
    <w:p w14:paraId="1F4D0EF9" w14:textId="77777777" w:rsidR="00CE6BB0" w:rsidRDefault="00CE6BB0"/>
    <w:p w14:paraId="53BD3F50" w14:textId="77777777" w:rsidR="00CE6BB0" w:rsidRDefault="00CE6BB0"/>
    <w:p w14:paraId="1A800B30" w14:textId="77777777" w:rsidR="00CE6BB0" w:rsidRDefault="00CE6BB0"/>
    <w:sectPr w:rsidR="00CE6B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C4"/>
    <w:rsid w:val="002C551E"/>
    <w:rsid w:val="00723445"/>
    <w:rsid w:val="008E0C7D"/>
    <w:rsid w:val="00B12AC4"/>
    <w:rsid w:val="00CE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F8CB"/>
  <w15:chartTrackingRefBased/>
  <w15:docId w15:val="{681B0C09-EE0F-AB4C-8067-47470A34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1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1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1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1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1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12A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12A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12A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12A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2AC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12AC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12AC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12AC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12AC4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12AC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12AC4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12AC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12AC4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B12A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12AC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2A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2AC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B12A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12AC4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B12AC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12AC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1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12AC4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B12AC4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E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CE6BB0"/>
    <w:rPr>
      <w:rFonts w:ascii="Courier New" w:eastAsia="Times New Roman" w:hAnsi="Courier New" w:cs="Courier New"/>
      <w:sz w:val="20"/>
      <w:szCs w:val="20"/>
    </w:rPr>
  </w:style>
  <w:style w:type="paragraph" w:styleId="StandardWeb">
    <w:name w:val="Normal (Web)"/>
    <w:basedOn w:val="Standard"/>
    <w:uiPriority w:val="99"/>
    <w:unhideWhenUsed/>
    <w:rsid w:val="00CE6B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CE6BB0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CE6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2688/f1000research.29032.1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Hoor Al-Hasani</dc:creator>
  <cp:keywords/>
  <dc:description/>
  <cp:lastModifiedBy>Hoor Al-Hasani</cp:lastModifiedBy>
  <cp:revision>2</cp:revision>
  <dcterms:created xsi:type="dcterms:W3CDTF">2025-10-13T14:43:00Z</dcterms:created>
  <dcterms:modified xsi:type="dcterms:W3CDTF">2025-10-13T14:46:00Z</dcterms:modified>
</cp:coreProperties>
</file>