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2F693" w14:textId="77777777" w:rsidR="00934DA0" w:rsidRPr="00DA3410" w:rsidRDefault="00934DA0" w:rsidP="00934DA0">
      <w:pPr>
        <w:rPr>
          <w:lang w:val="en-US"/>
        </w:rPr>
      </w:pPr>
      <w:commentRangeStart w:id="0"/>
      <w:r w:rsidRPr="00DA3410">
        <w:rPr>
          <w:lang w:val="en-US"/>
        </w:rPr>
        <w:t xml:space="preserve">A major challenge in developing safe and effective TCR and TCRm therapeutics lies in the prospective identification of off-tumor, off-target pHLA complexes. Existing preclinical assays, such as alanine or X-scanning mutagenesis, can reveal critical peptide residues and guide proteome-wide similarity searches but cannot directly pinpoint specific off-targets. Over the past decade, several computational tools have been developed to predict TCR cross-reactivity based on sequence or biochemical similarity. Sequence-based methods, including Expitope and iCrossR, rely on peptide identity and HLA-binding predictions to identify related epitopes, whereas biochemical-similarity frameworks such as dGraph and sCRAP leverage physico-chemical descriptors to detect structurally related peptides. These predictions can be refined using biological context, such as mRNA expression, HLA presentation, and peptide processing data, but often lack comprehensive integration. Structure-based approaches attempt to in-corporate three-dimensional TCR-pHLA interaction data, yet their utility remains constrained by limited structural information and the high computational cost of proteome-scale modeling. To overcome some of these limitations, CrossDome was introduced as a next-generation framework for predicting T-cell cross-reactivity and off-target toxicity. Unlike traditional sequence-based tools, CrossDome leverages experimentally derived immunopeptidomics data from healthy tissues, thereby reducing reliance on in silico peptide predictions. It integrates peptide biochemical properties, structural features, and functional annotations including tissue expression, HLA restriction, and immunogenicity to identify biochemically similar targets independent of strict sequence identity thresholds. This integrative approach enables systematic prioritization of candidate off-targets for experimental validation within TCR discovery pipelines. However, CrossDome is optimized for annotating known off-targets and peptides rather than discovering novel ones, as its search space is constrained to the experimental dataset, i.e., a fixed predefined pool of candidates. Despite these advances, current prediction frameworks still exhibit key limitations. Most state-of-the-art tools fail to account for population-specific genetic variation (e.g., sCRAP, CrossDome), while those that do either focus on disease-associated mutations or only include common SNPs (e.g., ARDiTox). Others impose restrictive similarity thresholds (e.g., ARDiTox requires </w:t>
      </w:r>
      <m:oMath>
        <m:r>
          <m:rPr>
            <m:sty m:val="p"/>
          </m:rPr>
          <w:rPr>
            <w:rFonts w:ascii="Cambria Math" w:hAnsi="Cambria Math"/>
            <w:lang w:val="en-US"/>
          </w:rPr>
          <m:t>≥</m:t>
        </m:r>
        <m:r>
          <w:rPr>
            <w:rFonts w:ascii="Cambria Math" w:hAnsi="Cambria Math"/>
            <w:lang w:val="en-US"/>
          </w:rPr>
          <m:t>5</m:t>
        </m:r>
      </m:oMath>
      <w:r w:rsidRPr="00DA3410">
        <w:rPr>
          <w:lang w:val="en-US"/>
        </w:rPr>
        <w:t xml:space="preserve"> shared amino acids), limited search spaces (e.g., CrossDome includes only experimentally validated peptides), or fixed peptide lengths (e.g., restriction to 9-mers). Additionally, some tools operate within constrained peptide pools derived from proprietary or pre-validated datasets, which enhances known off-target ranking but limits the discovery of novel cross-reactivities. Consequently, a comprehensive, proteome-wide interrogation of potential off-target pHLA complexes remains elusive. To address these challenges, we developed EpiTox (Epitope Toxicity), a multimodal computational platform for systematic off-target assessment in TCR and particularly TCRm development. EpiTox integrates multiple layers of biological and computational information, including peptide sequence similarity with customizable thresholds, biophysical descriptors, predicted HLA processing and binding, experimental evidence, and tissue-specific expression, to generate ranked lists of physiologically relevant candidate off-targets. The framework broadens the search space by incorporating population-specific single-nucleotide polymorphisms (SNPs), non-human viral peptides, and patent-derived sequences, ensuring comprehensive proteomic coverage. Each identified peptide is automatically annotated with gene identity, tissue expression, HLA affinity, and experimental validation status, including available mass spectrometric (MS) evidence.  </w:t>
      </w:r>
    </w:p>
    <w:p w14:paraId="1BFA3C19" w14:textId="77777777" w:rsidR="00934DA0" w:rsidRPr="00DA3410" w:rsidRDefault="00934DA0" w:rsidP="00934DA0">
      <w:pPr>
        <w:rPr>
          <w:lang w:val="en-US"/>
        </w:rPr>
      </w:pPr>
      <w:r w:rsidRPr="00DA3410">
        <w:rPr>
          <w:lang w:val="en-US"/>
        </w:rPr>
        <w:t xml:space="preserve">To quantitatively evaluate the strength of supporting data, we apply a Bayesian statistical model combined with machine learning (ML) to integrate evidence sources such as the number of supporting studies, HLA allele match, reported binding affinity, and tissue relevance. The resulting confidence estimates are incorporated into a multi-feature ranking model that integrates predicted HLA presentation, biophysical similarity, and complex stability to prioritize high-confidence off-target candidates. We demonstrate that EpiTox </w:t>
      </w:r>
      <w:r w:rsidRPr="00DA3410">
        <w:rPr>
          <w:lang w:val="en-US"/>
        </w:rPr>
        <w:lastRenderedPageBreak/>
        <w:t>accurately predicts and prioritizes physiologically meaningful candidate peptides for kinetic off-target screening of TCRms. In an anti-MAGE-A3 TCRm discovery campaign, EpiTox successfully identified previously known lethal off-targets and novel, unrecognized ones, validating its predictive power and practical utility in preclinical safety assessment. Furthermore, kinetic datasets derived from EpiTox-prioritized off-targets provide physiologically relevant information that can be used to train ML models for proteome-wide prediction of off-target interactions, enabling identification of sequence-divergent yet biophysically similar pHLA complexes.</w:t>
      </w:r>
    </w:p>
    <w:p w14:paraId="69E044A0" w14:textId="77777777" w:rsidR="00934DA0" w:rsidRPr="009044EC" w:rsidRDefault="00934DA0" w:rsidP="00934DA0">
      <w:pPr>
        <w:pStyle w:val="Textkrper"/>
      </w:pPr>
      <w:commentRangeStart w:id="1"/>
      <w:r w:rsidRPr="009044EC">
        <w:t>In conclusion, EpiTox provides a comprehensive, data-driven framework for identifying and prioritizing physiologically relevant off-targets for any given pHLA target. The resulting off-target sets enable high-throughput kinetic validation screening, while the derived kinetic landscapes support training of neural networks for proteome-wide prediction of sequence-unrelated off-targets, thereby advancing both the safety and precision of TCR-mimic (TCRm) therapeutic discovery.</w:t>
      </w:r>
      <w:commentRangeEnd w:id="1"/>
      <w:r>
        <w:rPr>
          <w:rStyle w:val="Kommentarzeichen"/>
          <w:sz w:val="24"/>
          <w:szCs w:val="24"/>
        </w:rPr>
        <w:commentReference w:id="1"/>
      </w:r>
      <w:commentRangeEnd w:id="0"/>
      <w:r>
        <w:rPr>
          <w:rStyle w:val="Kommentarzeichen"/>
          <w:sz w:val="24"/>
          <w:szCs w:val="24"/>
        </w:rPr>
        <w:commentReference w:id="0"/>
      </w:r>
    </w:p>
    <w:p w14:paraId="769F6661" w14:textId="77777777" w:rsidR="002C551E" w:rsidRDefault="002C551E"/>
    <w:p w14:paraId="30E00D0C" w14:textId="77777777" w:rsidR="00B65F0E" w:rsidRDefault="00B65F0E"/>
    <w:sectPr w:rsidR="00B65F0E">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örg Birkenfeld" w:date="2025-11-12T17:17:00Z" w:initials="JB">
    <w:p w14:paraId="5BB59B25" w14:textId="77777777" w:rsidR="00934DA0" w:rsidRDefault="00934DA0" w:rsidP="002E6DFF">
      <w:pPr>
        <w:pStyle w:val="Kommentartext"/>
      </w:pPr>
      <w:r>
        <w:rPr>
          <w:rStyle w:val="Kommentarzeichen"/>
        </w:rPr>
        <w:annotationRef/>
      </w:r>
      <w:r>
        <w:t>Slightly modified.</w:t>
      </w:r>
    </w:p>
  </w:comment>
  <w:comment w:id="0" w:author="Hoor Al-Hasani" w:date="2025-11-21T12:41:00Z" w:initials="HAH">
    <w:p w14:paraId="610DBF4B" w14:textId="77777777" w:rsidR="00934DA0" w:rsidRDefault="00934DA0" w:rsidP="006A393E">
      <w:r>
        <w:rPr>
          <w:rStyle w:val="Kommentarzeichen"/>
        </w:rPr>
        <w:annotationRef/>
      </w:r>
      <w:r>
        <w:rPr>
          <w:rFonts w:asciiTheme="minorHAnsi" w:eastAsiaTheme="minorEastAsia" w:hAnsiTheme="minorHAnsi" w:cstheme="minorBidi"/>
          <w:sz w:val="20"/>
          <w:szCs w:val="20"/>
          <w:lang w:val="en-US" w:eastAsia="zh-CN"/>
        </w:rPr>
        <w:t>this part needs to be replaced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B59B25" w15:done="0"/>
  <w15:commentEx w15:paraId="610DBF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2FF912" w16cex:dateUtc="2025-11-12T16:17:00Z"/>
  <w16cex:commentExtensible w16cex:durableId="7FDE8CA1" w16cex:dateUtc="2025-11-21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B59B25" w16cid:durableId="022FF912"/>
  <w16cid:commentId w16cid:paraId="610DBF4B" w16cid:durableId="7FDE8C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örg Birkenfeld">
    <w15:presenceInfo w15:providerId="AD" w15:userId="S::Joerg.birkenfeld@biocopy.com::dac1aaf7-e987-49c4-b604-bfaef821f2c0"/>
  </w15:person>
  <w15:person w15:author="Hoor Al-Hasani">
    <w15:presenceInfo w15:providerId="AD" w15:userId="S::hoor.alhasani@biocopy.com::87f0a585-4217-4a76-af93-45315ad23e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A0"/>
    <w:rsid w:val="002C551E"/>
    <w:rsid w:val="004A52DD"/>
    <w:rsid w:val="008E0C7D"/>
    <w:rsid w:val="00934DA0"/>
    <w:rsid w:val="00AF7675"/>
    <w:rsid w:val="00B65F0E"/>
    <w:rsid w:val="00B94C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936E6"/>
  <w15:chartTrackingRefBased/>
  <w15:docId w15:val="{DB11611B-94F8-F042-A33B-67907CD99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34DA0"/>
    <w:rPr>
      <w:rFonts w:ascii="Times New Roman" w:eastAsia="Times New Roman" w:hAnsi="Times New Roman" w:cs="Times New Roman"/>
      <w:lang w:eastAsia="de-DE"/>
    </w:rPr>
  </w:style>
  <w:style w:type="paragraph" w:styleId="berschrift1">
    <w:name w:val="heading 1"/>
    <w:basedOn w:val="Standard"/>
    <w:next w:val="Standard"/>
    <w:link w:val="berschrift1Zchn"/>
    <w:uiPriority w:val="9"/>
    <w:qFormat/>
    <w:rsid w:val="00934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34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34DA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34DA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4DA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4DA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4DA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4DA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4DA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34DA0"/>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934DA0"/>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934DA0"/>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934DA0"/>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934DA0"/>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934DA0"/>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934DA0"/>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934DA0"/>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934DA0"/>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934DA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4DA0"/>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934DA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4DA0"/>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934DA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34DA0"/>
    <w:rPr>
      <w:i/>
      <w:iCs/>
      <w:color w:val="404040" w:themeColor="text1" w:themeTint="BF"/>
      <w:lang w:val="en-US"/>
    </w:rPr>
  </w:style>
  <w:style w:type="paragraph" w:styleId="Listenabsatz">
    <w:name w:val="List Paragraph"/>
    <w:basedOn w:val="Standard"/>
    <w:uiPriority w:val="34"/>
    <w:qFormat/>
    <w:rsid w:val="00934DA0"/>
    <w:pPr>
      <w:ind w:left="720"/>
      <w:contextualSpacing/>
    </w:pPr>
  </w:style>
  <w:style w:type="character" w:styleId="IntensiveHervorhebung">
    <w:name w:val="Intense Emphasis"/>
    <w:basedOn w:val="Absatz-Standardschriftart"/>
    <w:uiPriority w:val="21"/>
    <w:qFormat/>
    <w:rsid w:val="00934DA0"/>
    <w:rPr>
      <w:i/>
      <w:iCs/>
      <w:color w:val="0F4761" w:themeColor="accent1" w:themeShade="BF"/>
    </w:rPr>
  </w:style>
  <w:style w:type="paragraph" w:styleId="IntensivesZitat">
    <w:name w:val="Intense Quote"/>
    <w:basedOn w:val="Standard"/>
    <w:next w:val="Standard"/>
    <w:link w:val="IntensivesZitatZchn"/>
    <w:uiPriority w:val="30"/>
    <w:qFormat/>
    <w:rsid w:val="00934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34DA0"/>
    <w:rPr>
      <w:i/>
      <w:iCs/>
      <w:color w:val="0F4761" w:themeColor="accent1" w:themeShade="BF"/>
      <w:lang w:val="en-US"/>
    </w:rPr>
  </w:style>
  <w:style w:type="character" w:styleId="IntensiverVerweis">
    <w:name w:val="Intense Reference"/>
    <w:basedOn w:val="Absatz-Standardschriftart"/>
    <w:uiPriority w:val="32"/>
    <w:qFormat/>
    <w:rsid w:val="00934DA0"/>
    <w:rPr>
      <w:b/>
      <w:bCs/>
      <w:smallCaps/>
      <w:color w:val="0F4761" w:themeColor="accent1" w:themeShade="BF"/>
      <w:spacing w:val="5"/>
    </w:rPr>
  </w:style>
  <w:style w:type="paragraph" w:styleId="Textkrper">
    <w:name w:val="Body Text"/>
    <w:basedOn w:val="Standard"/>
    <w:link w:val="TextkrperZchn"/>
    <w:qFormat/>
    <w:rsid w:val="00934DA0"/>
    <w:pPr>
      <w:spacing w:before="180" w:after="180"/>
    </w:pPr>
    <w:rPr>
      <w:rFonts w:asciiTheme="minorHAnsi" w:eastAsiaTheme="minorEastAsia" w:hAnsiTheme="minorHAnsi" w:cstheme="minorBidi"/>
      <w:lang w:val="en-US" w:eastAsia="zh-CN"/>
    </w:rPr>
  </w:style>
  <w:style w:type="character" w:customStyle="1" w:styleId="TextkrperZchn">
    <w:name w:val="Textkörper Zchn"/>
    <w:basedOn w:val="Absatz-Standardschriftart"/>
    <w:link w:val="Textkrper"/>
    <w:rsid w:val="00934DA0"/>
    <w:rPr>
      <w:rFonts w:eastAsiaTheme="minorEastAsia"/>
      <w:lang w:val="en-US" w:eastAsia="zh-CN"/>
    </w:rPr>
  </w:style>
  <w:style w:type="character" w:styleId="Kommentarzeichen">
    <w:name w:val="annotation reference"/>
    <w:basedOn w:val="Absatz-Standardschriftart"/>
    <w:uiPriority w:val="99"/>
    <w:rsid w:val="00934DA0"/>
    <w:rPr>
      <w:sz w:val="16"/>
      <w:szCs w:val="16"/>
    </w:rPr>
  </w:style>
  <w:style w:type="paragraph" w:styleId="Kommentartext">
    <w:name w:val="annotation text"/>
    <w:basedOn w:val="Standard"/>
    <w:link w:val="KommentartextZchn"/>
    <w:uiPriority w:val="99"/>
    <w:rsid w:val="00934DA0"/>
    <w:pPr>
      <w:spacing w:after="200"/>
    </w:pPr>
    <w:rPr>
      <w:rFonts w:asciiTheme="minorHAnsi" w:eastAsiaTheme="minorEastAsia" w:hAnsiTheme="minorHAnsi" w:cstheme="minorBidi"/>
      <w:sz w:val="20"/>
      <w:szCs w:val="20"/>
      <w:lang w:val="en-US" w:eastAsia="zh-CN"/>
    </w:rPr>
  </w:style>
  <w:style w:type="character" w:customStyle="1" w:styleId="KommentartextZchn">
    <w:name w:val="Kommentartext Zchn"/>
    <w:basedOn w:val="Absatz-Standardschriftart"/>
    <w:link w:val="Kommentartext"/>
    <w:uiPriority w:val="99"/>
    <w:rsid w:val="00934DA0"/>
    <w:rPr>
      <w:rFonts w:eastAsiaTheme="minorEastAsia"/>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772</Words>
  <Characters>4869</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Hoor Al-Hasani</dc:creator>
  <cp:keywords/>
  <dc:description/>
  <cp:lastModifiedBy>Hoor Al-Hasani</cp:lastModifiedBy>
  <cp:revision>1</cp:revision>
  <dcterms:created xsi:type="dcterms:W3CDTF">2025-11-24T01:03:00Z</dcterms:created>
  <dcterms:modified xsi:type="dcterms:W3CDTF">2025-11-26T10:58:00Z</dcterms:modified>
</cp:coreProperties>
</file>