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2E5C8A"/>
          <w:spacing w:val="20"/>
          <w:sz w:val="26"/>
          <w:szCs w:val="26"/>
        </w:rPr>
        <w:t xml:space="preserve">DOSSIER DE VEILLE STRATÉGIQUE</w:t>
      </w:r>
    </w:p>
    <w:p>
      <w:pPr>
        <w:spacing w:after="100" w:before="200"/>
        <w:jc w:val="center"/>
      </w:pPr>
      <w:r>
        <w:rPr>
          <w:b/>
          <w:bCs/>
          <w:color w:val="1F3864"/>
          <w:sz w:val="44"/>
          <w:szCs w:val="44"/>
        </w:rPr>
        <w:t xml:space="preserve">L'INTELLIGENCE ARTIFICIELLE EN SANTÉ</w:t>
      </w:r>
    </w:p>
    <w:p>
      <w:pPr>
        <w:spacing w:after="500" w:before="0"/>
        <w:jc w:val="center"/>
      </w:pPr>
      <w:r>
        <w:rPr>
          <w:i/>
          <w:iCs/>
          <w:color w:val="595959"/>
          <w:sz w:val="26"/>
          <w:szCs w:val="26"/>
        </w:rPr>
        <w:t xml:space="preserve">Comparatif des solutions d'IA médicale, toutes pathologies confondues</w:t>
      </w:r>
    </w:p>
    <w:p>
      <w:pPr>
        <w:pBdr>
          <w:top w:val="single" w:color="BFBFBF" w:sz="4" w:space="8"/>
        </w:pBdr>
        <w:spacing w:after="100" w:before="200"/>
        <w:jc w:val="center"/>
      </w:pPr>
      <w:r>
        <w:rPr>
          <w:color w:val="595959"/>
          <w:sz w:val="22"/>
          <w:szCs w:val="22"/>
        </w:rPr>
        <w:t xml:space="preserve">Septembre 2026</w:t>
      </w:r>
    </w:p>
    <w:p>
      <w:pPr>
        <w:spacing w:after="1200" w:before="100"/>
        <w:jc w:val="center"/>
      </w:pPr>
      <w:r>
        <w:rPr>
          <w:color w:val="595959"/>
          <w:sz w:val="20"/>
          <w:szCs w:val="20"/>
        </w:rPr>
        <w:t xml:space="preserve">Volet marché — imagerie, oncologie, découverte de médicaments, documentation clinique</w:t>
      </w:r>
    </w:p>
    <w:p>
      <w:pPr>
        <w:spacing w:after="100" w:before="1000"/>
        <w:jc w:val="center"/>
      </w:pPr>
      <w:r>
        <w:rPr>
          <w:b/>
          <w:bCs/>
          <w:color w:val="1F3864"/>
          <w:sz w:val="22"/>
          <w:szCs w:val="2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ectPr>
          <w:pgSz w:w="11906" w:h="16838" w:orient="portrait"/>
          <w:pgMar w:top="1400" w:right="1300" w:bottom="1400" w:left="1300" w:header="708" w:footer="708" w:gutter="0"/>
          <w:pgNumType/>
          <w:docGrid w:linePitch="360"/>
        </w:sectPr>
      </w:pPr>
    </w:p>
    <w:p>
      <w:pPr>
        <w:pStyle w:val="Heading1"/>
        <w:spacing w:after="200" w:before="400"/>
        <w:outlineLvl w:val="0"/>
      </w:pPr>
      <w:r>
        <w:t xml:space="preserve">1. Cadrage du dossier</w:t>
      </w:r>
    </w:p>
    <w:p>
      <w:pPr>
        <w:spacing w:after="160" w:line="300"/>
      </w:pPr>
      <w:r>
        <w:rPr>
          <w:color w:val="262626"/>
          <w:sz w:val="22"/>
          <w:szCs w:val="22"/>
        </w:rPr>
        <w:t xml:space="preserve">Ce dossier applique la méthodologie de veille stratégique définie dans le volet précédent à un nouveau domaine : l'intelligence artificielle appliquée à la santé. Il adopte une entrée transversale par outils et éditeurs plutôt que par pathologie : plutôt que de dérouler maladie par maladie, il cartographie les grandes familles de solutions d'IA médicale aujourd'hui commercialisées ou en développement clinique — imagerie et radiologie, anatomopathologie et oncologie numérique, découverte de médicaments, documentation clinique, triage des symptômes — en positionnant, pour chacune, les principaux éditeurs, leurs chiffres clés et leur niveau de validation clinique et réglementaire.</w:t>
      </w:r>
    </w:p>
    <w:p>
      <w:pPr>
        <w:spacing w:after="160" w:line="300"/>
      </w:pPr>
      <w:r>
        <w:rPr>
          <w:color w:val="262626"/>
          <w:sz w:val="22"/>
          <w:szCs w:val="22"/>
        </w:rPr>
        <w:t xml:space="preserve">Ce périmètre transversal permet de répondre à la question stratégique centrale pour une organisation qui investirait dans ce secteur ou chercherait à s'équiper : quels outils existent, qui les édite, sur quelles pathologies portent-ils, avec quel niveau de preuve et quel statut réglementaire.</w:t>
      </w:r>
    </w:p>
    <w:p>
      <w:pPr>
        <w:pStyle w:val="Heading1"/>
        <w:spacing w:after="200" w:before="400"/>
        <w:outlineLvl w:val="0"/>
      </w:pPr>
      <w:r>
        <w:t xml:space="preserve">2. Panorama du marché de l'IA en santé</w:t>
      </w:r>
    </w:p>
    <w:p>
      <w:pPr>
        <w:pStyle w:val="Heading2"/>
        <w:spacing w:after="150" w:before="300"/>
        <w:outlineLvl w:val="1"/>
      </w:pPr>
      <w:r>
        <w:t xml:space="preserve">2.1 Taille de marché et croissance</w:t>
      </w:r>
    </w:p>
    <w:tbl>
      <w:tblPr>
        <w:tblW w:type="pct" w:w="100%"/>
        <w:tblBorders>
          <w:top w:val="single" w:color="BFBFBF" w:sz="2"/>
          <w:left w:val="single" w:color="BFBFBF" w:sz="2"/>
          <w:bottom w:val="single" w:color="BFBFBF" w:sz="2"/>
          <w:right w:val="single" w:color="BFBFBF" w:sz="2"/>
          <w:insideH w:val="single" w:color="D9D9D9" w:sz="2"/>
          <w:insideV w:val="single" w:color="D9D9D9" w:sz="2"/>
        </w:tblBorders>
      </w:tblPr>
      <w:tblGrid>
        <w:gridCol w:w="4050"/>
        <w:gridCol w:w="4950"/>
      </w:tblGrid>
      <w:tr>
        <w:trPr>
          <w:tblHeader/>
        </w:trPr>
        <w:tc>
          <w:tcPr>
            <w:tcW w:type="pct" w:w="45%"/>
            <w:shd w:fill="1F3864" w:val="clear"/>
            <w:tcMar>
              <w:top w:type="dxa" w:w="100"/>
              <w:left w:type="dxa" w:w="120"/>
              <w:bottom w:type="dxa" w:w="100"/>
              <w:right w:type="dxa" w:w="120"/>
            </w:tcMar>
            <w:vAlign w:val="center"/>
          </w:tcPr>
          <w:p>
            <w:pPr>
              <w:jc w:val="left"/>
            </w:pPr>
            <w:r>
              <w:rPr>
                <w:b/>
                <w:bCs/>
                <w:color w:val="FFFFFF"/>
                <w:sz w:val="18"/>
                <w:szCs w:val="18"/>
              </w:rPr>
              <w:t xml:space="preserve">Indicateur</w:t>
            </w:r>
          </w:p>
        </w:tc>
        <w:tc>
          <w:tcPr>
            <w:tcW w:type="pct" w:w="55%"/>
            <w:shd w:fill="1F3864" w:val="clear"/>
            <w:tcMar>
              <w:top w:type="dxa" w:w="100"/>
              <w:left w:type="dxa" w:w="120"/>
              <w:bottom w:type="dxa" w:w="100"/>
              <w:right w:type="dxa" w:w="120"/>
            </w:tcMar>
            <w:vAlign w:val="center"/>
          </w:tcPr>
          <w:p>
            <w:pPr>
              <w:jc w:val="left"/>
            </w:pPr>
            <w:r>
              <w:rPr>
                <w:b/>
                <w:bCs/>
                <w:color w:val="FFFFFF"/>
                <w:sz w:val="18"/>
                <w:szCs w:val="18"/>
              </w:rPr>
              <w:t xml:space="preserve">Valeur</w:t>
            </w:r>
          </w:p>
        </w:tc>
      </w:tr>
      <w:tr>
        <w:tc>
          <w:tcPr>
            <w:tcW w:type="pct" w:w="45%"/>
            <w:shd w:fill="FFFFFF" w:val="clear"/>
            <w:tcMar>
              <w:top w:type="dxa" w:w="100"/>
              <w:left w:type="dxa" w:w="120"/>
              <w:bottom w:type="dxa" w:w="100"/>
              <w:right w:type="dxa" w:w="120"/>
            </w:tcMar>
            <w:vAlign w:val="center"/>
          </w:tcPr>
          <w:p>
            <w:pPr>
              <w:jc w:val="left"/>
            </w:pPr>
            <w:r>
              <w:rPr>
                <w:color w:val="262626"/>
                <w:sz w:val="18"/>
                <w:szCs w:val="18"/>
              </w:rPr>
              <w:t xml:space="preserve">Marché mondial IA en santé — 2025</w:t>
            </w:r>
          </w:p>
        </w:tc>
        <w:tc>
          <w:tcPr>
            <w:tcW w:type="pct" w:w="55%"/>
            <w:shd w:fill="FFFFFF" w:val="clear"/>
            <w:tcMar>
              <w:top w:type="dxa" w:w="100"/>
              <w:left w:type="dxa" w:w="120"/>
              <w:bottom w:type="dxa" w:w="100"/>
              <w:right w:type="dxa" w:w="120"/>
            </w:tcMar>
            <w:vAlign w:val="center"/>
          </w:tcPr>
          <w:p>
            <w:pPr>
              <w:jc w:val="left"/>
            </w:pPr>
            <w:r>
              <w:rPr>
                <w:color w:val="262626"/>
                <w:sz w:val="18"/>
                <w:szCs w:val="18"/>
              </w:rPr>
              <w:t xml:space="preserve">≈ 39,3 Md$ (source Fortune Business Insights) ; une autre estimation situe le marché à 32,3 Md$</w:t>
            </w:r>
          </w:p>
        </w:tc>
      </w:tr>
      <w:tr>
        <w:tc>
          <w:tcPr>
            <w:tcW w:type="pct" w:w="45%"/>
            <w:shd w:fill="EDF2F7" w:val="clear"/>
            <w:tcMar>
              <w:top w:type="dxa" w:w="100"/>
              <w:left w:type="dxa" w:w="120"/>
              <w:bottom w:type="dxa" w:w="100"/>
              <w:right w:type="dxa" w:w="120"/>
            </w:tcMar>
            <w:vAlign w:val="center"/>
          </w:tcPr>
          <w:p>
            <w:pPr>
              <w:jc w:val="left"/>
            </w:pPr>
            <w:r>
              <w:rPr>
                <w:color w:val="262626"/>
                <w:sz w:val="18"/>
                <w:szCs w:val="18"/>
              </w:rPr>
              <w:t xml:space="preserve">Marché mondial IA en santé — 2026 (projection)</w:t>
            </w:r>
          </w:p>
        </w:tc>
        <w:tc>
          <w:tcPr>
            <w:tcW w:type="pct" w:w="55%"/>
            <w:shd w:fill="EDF2F7" w:val="clear"/>
            <w:tcMar>
              <w:top w:type="dxa" w:w="100"/>
              <w:left w:type="dxa" w:w="120"/>
              <w:bottom w:type="dxa" w:w="100"/>
              <w:right w:type="dxa" w:w="120"/>
            </w:tcMar>
            <w:vAlign w:val="center"/>
          </w:tcPr>
          <w:p>
            <w:pPr>
              <w:jc w:val="left"/>
            </w:pPr>
            <w:r>
              <w:rPr>
                <w:color w:val="262626"/>
                <w:sz w:val="18"/>
                <w:szCs w:val="18"/>
              </w:rPr>
              <w:t xml:space="preserve">≈ 56 Md$</w:t>
            </w:r>
          </w:p>
        </w:tc>
      </w:tr>
      <w:tr>
        <w:tc>
          <w:tcPr>
            <w:tcW w:type="pct" w:w="45%"/>
            <w:shd w:fill="FFFFFF" w:val="clear"/>
            <w:tcMar>
              <w:top w:type="dxa" w:w="100"/>
              <w:left w:type="dxa" w:w="120"/>
              <w:bottom w:type="dxa" w:w="100"/>
              <w:right w:type="dxa" w:w="120"/>
            </w:tcMar>
            <w:vAlign w:val="center"/>
          </w:tcPr>
          <w:p>
            <w:pPr>
              <w:jc w:val="left"/>
            </w:pPr>
            <w:r>
              <w:rPr>
                <w:color w:val="262626"/>
                <w:sz w:val="18"/>
                <w:szCs w:val="18"/>
              </w:rPr>
              <w:t xml:space="preserve">Projection 2034</w:t>
            </w:r>
          </w:p>
        </w:tc>
        <w:tc>
          <w:tcPr>
            <w:tcW w:type="pct" w:w="55%"/>
            <w:shd w:fill="FFFFFF" w:val="clear"/>
            <w:tcMar>
              <w:top w:type="dxa" w:w="100"/>
              <w:left w:type="dxa" w:w="120"/>
              <w:bottom w:type="dxa" w:w="100"/>
              <w:right w:type="dxa" w:w="120"/>
            </w:tcMar>
            <w:vAlign w:val="center"/>
          </w:tcPr>
          <w:p>
            <w:pPr>
              <w:jc w:val="left"/>
            </w:pPr>
            <w:r>
              <w:rPr>
                <w:color w:val="262626"/>
                <w:sz w:val="18"/>
                <w:szCs w:val="18"/>
              </w:rPr>
              <w:t xml:space="preserve">≈ 1 033 Md$ (TCAC ≈ 44 %)</w:t>
            </w:r>
          </w:p>
        </w:tc>
      </w:tr>
      <w:tr>
        <w:tc>
          <w:tcPr>
            <w:tcW w:type="pct" w:w="45%"/>
            <w:shd w:fill="EDF2F7" w:val="clear"/>
            <w:tcMar>
              <w:top w:type="dxa" w:w="100"/>
              <w:left w:type="dxa" w:w="120"/>
              <w:bottom w:type="dxa" w:w="100"/>
              <w:right w:type="dxa" w:w="120"/>
            </w:tcMar>
            <w:vAlign w:val="center"/>
          </w:tcPr>
          <w:p>
            <w:pPr>
              <w:jc w:val="left"/>
            </w:pPr>
            <w:r>
              <w:rPr>
                <w:color w:val="262626"/>
                <w:sz w:val="18"/>
                <w:szCs w:val="18"/>
              </w:rPr>
              <w:t xml:space="preserve">Croissance 2020-2023 (rétrospective)</w:t>
            </w:r>
          </w:p>
        </w:tc>
        <w:tc>
          <w:tcPr>
            <w:tcW w:type="pct" w:w="55%"/>
            <w:shd w:fill="EDF2F7" w:val="clear"/>
            <w:tcMar>
              <w:top w:type="dxa" w:w="100"/>
              <w:left w:type="dxa" w:w="120"/>
              <w:bottom w:type="dxa" w:w="100"/>
              <w:right w:type="dxa" w:w="120"/>
            </w:tcMar>
            <w:vAlign w:val="center"/>
          </w:tcPr>
          <w:p>
            <w:pPr>
              <w:jc w:val="left"/>
            </w:pPr>
            <w:r>
              <w:rPr>
                <w:color w:val="262626"/>
                <w:sz w:val="18"/>
                <w:szCs w:val="18"/>
              </w:rPr>
              <w:t xml:space="preserve">De 6,7 Md$ à 22,4 Md$, soit +233 % en 3 ans</w:t>
            </w:r>
          </w:p>
        </w:tc>
      </w:tr>
      <w:tr>
        <w:tc>
          <w:tcPr>
            <w:tcW w:type="pct" w:w="45%"/>
            <w:shd w:fill="FFFFFF" w:val="clear"/>
            <w:tcMar>
              <w:top w:type="dxa" w:w="100"/>
              <w:left w:type="dxa" w:w="120"/>
              <w:bottom w:type="dxa" w:w="100"/>
              <w:right w:type="dxa" w:w="120"/>
            </w:tcMar>
            <w:vAlign w:val="center"/>
          </w:tcPr>
          <w:p>
            <w:pPr>
              <w:jc w:val="left"/>
            </w:pPr>
            <w:r>
              <w:rPr>
                <w:color w:val="262626"/>
                <w:sz w:val="18"/>
                <w:szCs w:val="18"/>
              </w:rPr>
              <w:t xml:space="preserve">Part de marché Amérique du Nord (2025)</w:t>
            </w:r>
          </w:p>
        </w:tc>
        <w:tc>
          <w:tcPr>
            <w:tcW w:type="pct" w:w="55%"/>
            <w:shd w:fill="FFFFFF" w:val="clear"/>
            <w:tcMar>
              <w:top w:type="dxa" w:w="100"/>
              <w:left w:type="dxa" w:w="120"/>
              <w:bottom w:type="dxa" w:w="100"/>
              <w:right w:type="dxa" w:w="120"/>
            </w:tcMar>
            <w:vAlign w:val="center"/>
          </w:tcPr>
          <w:p>
            <w:pPr>
              <w:jc w:val="left"/>
            </w:pPr>
            <w:r>
              <w:rPr>
                <w:color w:val="262626"/>
                <w:sz w:val="18"/>
                <w:szCs w:val="18"/>
              </w:rPr>
              <w:t xml:space="preserve">≈ 44,5 % à 58,9 % selon les périmètres retenus</w:t>
            </w:r>
          </w:p>
        </w:tc>
      </w:tr>
      <w:tr>
        <w:tc>
          <w:tcPr>
            <w:tcW w:type="pct" w:w="45%"/>
            <w:shd w:fill="EDF2F7" w:val="clear"/>
            <w:tcMar>
              <w:top w:type="dxa" w:w="100"/>
              <w:left w:type="dxa" w:w="120"/>
              <w:bottom w:type="dxa" w:w="100"/>
              <w:right w:type="dxa" w:w="120"/>
            </w:tcMar>
            <w:vAlign w:val="center"/>
          </w:tcPr>
          <w:p>
            <w:pPr>
              <w:jc w:val="left"/>
            </w:pPr>
            <w:r>
              <w:rPr>
                <w:color w:val="262626"/>
                <w:sz w:val="18"/>
                <w:szCs w:val="18"/>
              </w:rPr>
              <w:t xml:space="preserve">Financement venture 2025 — IA imagerie médicale seule</w:t>
            </w:r>
          </w:p>
        </w:tc>
        <w:tc>
          <w:tcPr>
            <w:tcW w:type="pct" w:w="55%"/>
            <w:shd w:fill="EDF2F7" w:val="clear"/>
            <w:tcMar>
              <w:top w:type="dxa" w:w="100"/>
              <w:left w:type="dxa" w:w="120"/>
              <w:bottom w:type="dxa" w:w="100"/>
              <w:right w:type="dxa" w:w="120"/>
            </w:tcMar>
            <w:vAlign w:val="center"/>
          </w:tcPr>
          <w:p>
            <w:pPr>
              <w:jc w:val="left"/>
            </w:pPr>
            <w:r>
              <w:rPr>
                <w:color w:val="262626"/>
                <w:sz w:val="18"/>
                <w:szCs w:val="18"/>
              </w:rPr>
              <w:t xml:space="preserve">≈ 10,7 Md$</w:t>
            </w:r>
          </w:p>
        </w:tc>
      </w:tr>
      <w:tr>
        <w:tc>
          <w:tcPr>
            <w:tcW w:type="pct" w:w="45%"/>
            <w:shd w:fill="FFFFFF" w:val="clear"/>
            <w:tcMar>
              <w:top w:type="dxa" w:w="100"/>
              <w:left w:type="dxa" w:w="120"/>
              <w:bottom w:type="dxa" w:w="100"/>
              <w:right w:type="dxa" w:w="120"/>
            </w:tcMar>
            <w:vAlign w:val="center"/>
          </w:tcPr>
          <w:p>
            <w:pPr>
              <w:jc w:val="left"/>
            </w:pPr>
            <w:r>
              <w:rPr>
                <w:color w:val="262626"/>
                <w:sz w:val="18"/>
                <w:szCs w:val="18"/>
              </w:rPr>
              <w:t xml:space="preserve">Investissement cumulé mondial en IA de découverte de médicaments (2026)</w:t>
            </w:r>
          </w:p>
        </w:tc>
        <w:tc>
          <w:tcPr>
            <w:tcW w:type="pct" w:w="55%"/>
            <w:shd w:fill="FFFFFF" w:val="clear"/>
            <w:tcMar>
              <w:top w:type="dxa" w:w="100"/>
              <w:left w:type="dxa" w:w="120"/>
              <w:bottom w:type="dxa" w:w="100"/>
              <w:right w:type="dxa" w:w="120"/>
            </w:tcMar>
            <w:vAlign w:val="center"/>
          </w:tcPr>
          <w:p>
            <w:pPr>
              <w:jc w:val="left"/>
            </w:pPr>
            <w:r>
              <w:rPr>
                <w:color w:val="262626"/>
                <w:sz w:val="18"/>
                <w:szCs w:val="18"/>
              </w:rPr>
              <w:t xml:space="preserve">≈ 60 Md$, plus de 173 programmes en développement clinique</w:t>
            </w:r>
          </w:p>
        </w:tc>
      </w:tr>
    </w:tbl>
    <w:p>
      <w:pPr>
        <w:spacing w:after="240"/>
      </w:pPr>
      <w:r>
        <w:rPr>
          <w:i/>
          <w:iCs/>
          <w:color w:val="595959"/>
          <w:sz w:val="18"/>
          <w:szCs w:val="18"/>
        </w:rPr>
        <w:t xml:space="preserve">Source : Fortune Business Insights, DeepLearn Academy, IntuitionLabs, Pinggy — 2026</w:t>
      </w:r>
    </w:p>
    <w:p>
      <w:pPr>
        <w:pStyle w:val="Heading2"/>
        <w:spacing w:after="150" w:before="300"/>
        <w:outlineLvl w:val="1"/>
      </w:pPr>
      <w:r>
        <w:t xml:space="preserve">2.2 Statut réglementaire (FDA)</w:t>
      </w:r>
    </w:p>
    <w:p>
      <w:pPr>
        <w:spacing w:after="160" w:line="300"/>
      </w:pPr>
      <w:r>
        <w:rPr>
          <w:color w:val="262626"/>
          <w:sz w:val="22"/>
          <w:szCs w:val="22"/>
        </w:rPr>
        <w:t xml:space="preserve">Le nombre de dispositifs médicaux à IA/apprentissage automatique autorisés par la FDA constitue un indicateur avancé fiable de la maturité du secteur. Il est passé de moins de 30 autorisations cumulées entre 1997 et 2015 à environ 100 approbations sur la seule année 2020, pour atteindre 1 451 dispositifs autorisés fin 2025 et environ 1 524 dispositifs recensés fin mars 2026. Sur le seul quatrième trimestre 2025, la FDA a autorisé 72 nouveaux dispositifs, dont 76 % relevaient de la radiologie. À mars 2026, aucun dispositif autorisé n'intègre encore d'IA générative ou de grand modèle de langage (LLM).</w:t>
      </w:r>
    </w:p>
    <w:p>
      <w:pPr>
        <w:spacing w:after="240"/>
      </w:pPr>
      <w:r>
        <w:rPr>
          <w:i/>
          <w:iCs/>
          <w:color w:val="595959"/>
          <w:sz w:val="18"/>
          <w:szCs w:val="18"/>
        </w:rPr>
        <w:t xml:space="preserve">Source : Medical Futurist, IntuitionLabs — État des dispositifs médicaux à IA autorisés par la FDA, 2026</w:t>
      </w:r>
    </w:p>
    <w:p>
      <w:pPr>
        <w:pStyle w:val="Heading1"/>
        <w:spacing w:after="200" w:before="400"/>
        <w:outlineLvl w:val="0"/>
      </w:pPr>
      <w:r>
        <w:t xml:space="preserve">3. Cartographie comparative des solutions d'IA médicale</w:t>
      </w:r>
    </w:p>
    <w:p>
      <w:pPr>
        <w:pStyle w:val="Heading2"/>
        <w:spacing w:after="150" w:before="300"/>
        <w:outlineLvl w:val="1"/>
      </w:pPr>
      <w:r>
        <w:t xml:space="preserve">3.1 Imagerie médicale et radiologie</w:t>
      </w:r>
    </w:p>
    <w:p>
      <w:pPr>
        <w:spacing w:after="160" w:line="300"/>
      </w:pPr>
      <w:r>
        <w:rPr>
          <w:color w:val="262626"/>
          <w:sz w:val="22"/>
          <w:szCs w:val="22"/>
        </w:rPr>
        <w:t xml:space="preserve">Segment le plus mature du marché : c'est également celui qui concentre l'essentiel des autorisations FDA (76 % des dispositifs autorisés au T4 2025 relevaient de la radiologie).</w:t>
      </w:r>
    </w:p>
    <w:tbl>
      <w:tblPr>
        <w:tblW w:type="pct" w:w="100%"/>
        <w:tblBorders>
          <w:top w:val="single" w:color="BFBFBF" w:sz="2"/>
          <w:left w:val="single" w:color="BFBFBF" w:sz="2"/>
          <w:bottom w:val="single" w:color="BFBFBF" w:sz="2"/>
          <w:right w:val="single" w:color="BFBFBF" w:sz="2"/>
          <w:insideH w:val="single" w:color="D9D9D9" w:sz="2"/>
          <w:insideV w:val="single" w:color="D9D9D9" w:sz="2"/>
        </w:tblBorders>
      </w:tblPr>
      <w:tblGrid>
        <w:gridCol w:w="2160"/>
        <w:gridCol w:w="3600"/>
        <w:gridCol w:w="3240"/>
      </w:tblGrid>
      <w:tr>
        <w:trPr>
          <w:tblHeader/>
        </w:trPr>
        <w:tc>
          <w:tcPr>
            <w:tcW w:type="pct" w:w="24%"/>
            <w:shd w:fill="1F3864" w:val="clear"/>
            <w:tcMar>
              <w:top w:type="dxa" w:w="100"/>
              <w:left w:type="dxa" w:w="120"/>
              <w:bottom w:type="dxa" w:w="100"/>
              <w:right w:type="dxa" w:w="120"/>
            </w:tcMar>
            <w:vAlign w:val="center"/>
          </w:tcPr>
          <w:p>
            <w:pPr>
              <w:jc w:val="left"/>
            </w:pPr>
            <w:r>
              <w:rPr>
                <w:b/>
                <w:bCs/>
                <w:color w:val="FFFFFF"/>
                <w:sz w:val="18"/>
                <w:szCs w:val="18"/>
              </w:rPr>
              <w:t xml:space="preserve">Outil / Éditeur</w:t>
            </w:r>
          </w:p>
        </w:tc>
        <w:tc>
          <w:tcPr>
            <w:tcW w:type="pct" w:w="40%"/>
            <w:shd w:fill="1F3864" w:val="clear"/>
            <w:tcMar>
              <w:top w:type="dxa" w:w="100"/>
              <w:left w:type="dxa" w:w="120"/>
              <w:bottom w:type="dxa" w:w="100"/>
              <w:right w:type="dxa" w:w="120"/>
            </w:tcMar>
            <w:vAlign w:val="center"/>
          </w:tcPr>
          <w:p>
            <w:pPr>
              <w:jc w:val="left"/>
            </w:pPr>
            <w:r>
              <w:rPr>
                <w:b/>
                <w:bCs/>
                <w:color w:val="FFFFFF"/>
                <w:sz w:val="18"/>
                <w:szCs w:val="18"/>
              </w:rPr>
              <w:t xml:space="preserve">Positionnement</w:t>
            </w:r>
          </w:p>
        </w:tc>
        <w:tc>
          <w:tcPr>
            <w:tcW w:type="pct" w:w="36%"/>
            <w:shd w:fill="1F3864" w:val="clear"/>
            <w:tcMar>
              <w:top w:type="dxa" w:w="100"/>
              <w:left w:type="dxa" w:w="120"/>
              <w:bottom w:type="dxa" w:w="100"/>
              <w:right w:type="dxa" w:w="120"/>
            </w:tcMar>
            <w:vAlign w:val="center"/>
          </w:tcPr>
          <w:p>
            <w:pPr>
              <w:jc w:val="left"/>
            </w:pPr>
            <w:r>
              <w:rPr>
                <w:b/>
                <w:bCs/>
                <w:color w:val="FFFFFF"/>
                <w:sz w:val="18"/>
                <w:szCs w:val="18"/>
              </w:rPr>
              <w:t xml:space="preserve">Chiffres clés</w:t>
            </w:r>
          </w:p>
        </w:tc>
      </w:tr>
      <w:tr>
        <w:tc>
          <w:tcPr>
            <w:tcW w:type="pct" w:w="24%"/>
            <w:shd w:fill="FFFFFF" w:val="clear"/>
            <w:tcMar>
              <w:top w:type="dxa" w:w="100"/>
              <w:left w:type="dxa" w:w="120"/>
              <w:bottom w:type="dxa" w:w="100"/>
              <w:right w:type="dxa" w:w="120"/>
            </w:tcMar>
            <w:vAlign w:val="center"/>
          </w:tcPr>
          <w:p>
            <w:pPr>
              <w:jc w:val="left"/>
            </w:pPr>
            <w:r>
              <w:rPr>
                <w:color w:val="262626"/>
                <w:sz w:val="18"/>
                <w:szCs w:val="18"/>
              </w:rPr>
              <w:t xml:space="preserve">Aidoc</w:t>
            </w:r>
          </w:p>
        </w:tc>
        <w:tc>
          <w:tcPr>
            <w:tcW w:type="pct" w:w="40%"/>
            <w:shd w:fill="FFFFFF" w:val="clear"/>
            <w:tcMar>
              <w:top w:type="dxa" w:w="100"/>
              <w:left w:type="dxa" w:w="120"/>
              <w:bottom w:type="dxa" w:w="100"/>
              <w:right w:type="dxa" w:w="120"/>
            </w:tcMar>
            <w:vAlign w:val="center"/>
          </w:tcPr>
          <w:p>
            <w:pPr>
              <w:jc w:val="left"/>
            </w:pPr>
            <w:r>
              <w:rPr>
                <w:color w:val="262626"/>
                <w:sz w:val="18"/>
                <w:szCs w:val="18"/>
              </w:rPr>
              <w:t xml:space="preserve">Triage radiologique large spectre (accidents vasculaires cérébraux, embolie pulmonaire, fractures) ; réordonne la liste de travail des radiologues sans remplacer la lecture</w:t>
            </w:r>
          </w:p>
        </w:tc>
        <w:tc>
          <w:tcPr>
            <w:tcW w:type="pct" w:w="36%"/>
            <w:shd w:fill="FFFFFF" w:val="clear"/>
            <w:tcMar>
              <w:top w:type="dxa" w:w="100"/>
              <w:left w:type="dxa" w:w="120"/>
              <w:bottom w:type="dxa" w:w="100"/>
              <w:right w:type="dxa" w:w="120"/>
            </w:tcMar>
            <w:vAlign w:val="center"/>
          </w:tcPr>
          <w:p>
            <w:pPr>
              <w:jc w:val="left"/>
            </w:pPr>
            <w:r>
              <w:rPr>
                <w:color w:val="262626"/>
                <w:sz w:val="18"/>
                <w:szCs w:val="18"/>
              </w:rPr>
              <w:t xml:space="preserve">19 à 31+ algorithmes autorisés selon les sources, déployé dans 1 000 à 2 000+ hôpitaux, 60 M de cas analysés par an ; levée de 150 M$ (avril 2026)</w:t>
            </w:r>
          </w:p>
        </w:tc>
      </w:tr>
      <w:tr>
        <w:tc>
          <w:tcPr>
            <w:tcW w:type="pct" w:w="24%"/>
            <w:shd w:fill="EDF2F7" w:val="clear"/>
            <w:tcMar>
              <w:top w:type="dxa" w:w="100"/>
              <w:left w:type="dxa" w:w="120"/>
              <w:bottom w:type="dxa" w:w="100"/>
              <w:right w:type="dxa" w:w="120"/>
            </w:tcMar>
            <w:vAlign w:val="center"/>
          </w:tcPr>
          <w:p>
            <w:pPr>
              <w:jc w:val="left"/>
            </w:pPr>
            <w:r>
              <w:rPr>
                <w:color w:val="262626"/>
                <w:sz w:val="18"/>
                <w:szCs w:val="18"/>
              </w:rPr>
              <w:t xml:space="preserve">Viz.ai</w:t>
            </w:r>
          </w:p>
        </w:tc>
        <w:tc>
          <w:tcPr>
            <w:tcW w:type="pct" w:w="40%"/>
            <w:shd w:fill="EDF2F7" w:val="clear"/>
            <w:tcMar>
              <w:top w:type="dxa" w:w="100"/>
              <w:left w:type="dxa" w:w="120"/>
              <w:bottom w:type="dxa" w:w="100"/>
              <w:right w:type="dxa" w:w="120"/>
            </w:tcMar>
            <w:vAlign w:val="center"/>
          </w:tcPr>
          <w:p>
            <w:pPr>
              <w:jc w:val="left"/>
            </w:pPr>
            <w:r>
              <w:rPr>
                <w:color w:val="262626"/>
                <w:sz w:val="18"/>
                <w:szCs w:val="18"/>
              </w:rPr>
              <w:t xml:space="preserve">Détection d'AVC et alertes spécialistes en temps réel</w:t>
            </w:r>
          </w:p>
        </w:tc>
        <w:tc>
          <w:tcPr>
            <w:tcW w:type="pct" w:w="36%"/>
            <w:shd w:fill="EDF2F7" w:val="clear"/>
            <w:tcMar>
              <w:top w:type="dxa" w:w="100"/>
              <w:left w:type="dxa" w:w="120"/>
              <w:bottom w:type="dxa" w:w="100"/>
              <w:right w:type="dxa" w:w="120"/>
            </w:tcMar>
            <w:vAlign w:val="center"/>
          </w:tcPr>
          <w:p>
            <w:pPr>
              <w:jc w:val="left"/>
            </w:pPr>
            <w:r>
              <w:rPr>
                <w:color w:val="262626"/>
                <w:sz w:val="18"/>
                <w:szCs w:val="18"/>
              </w:rPr>
              <w:t xml:space="preserve">50+ autorisations FDA, 1 700+ hôpitaux ; réduit le délai de traitement de l'AVC de 31 minutes et la mortalité/invalidité à 90 jours de 40 %</w:t>
            </w:r>
          </w:p>
        </w:tc>
      </w:tr>
      <w:tr>
        <w:tc>
          <w:tcPr>
            <w:tcW w:type="pct" w:w="24%"/>
            <w:shd w:fill="FFFFFF" w:val="clear"/>
            <w:tcMar>
              <w:top w:type="dxa" w:w="100"/>
              <w:left w:type="dxa" w:w="120"/>
              <w:bottom w:type="dxa" w:w="100"/>
              <w:right w:type="dxa" w:w="120"/>
            </w:tcMar>
            <w:vAlign w:val="center"/>
          </w:tcPr>
          <w:p>
            <w:pPr>
              <w:jc w:val="left"/>
            </w:pPr>
            <w:r>
              <w:rPr>
                <w:color w:val="262626"/>
                <w:sz w:val="18"/>
                <w:szCs w:val="18"/>
              </w:rPr>
              <w:t xml:space="preserve">Qure.ai</w:t>
            </w:r>
          </w:p>
        </w:tc>
        <w:tc>
          <w:tcPr>
            <w:tcW w:type="pct" w:w="40%"/>
            <w:shd w:fill="FFFFFF" w:val="clear"/>
            <w:tcMar>
              <w:top w:type="dxa" w:w="100"/>
              <w:left w:type="dxa" w:w="120"/>
              <w:bottom w:type="dxa" w:w="100"/>
              <w:right w:type="dxa" w:w="120"/>
            </w:tcMar>
            <w:vAlign w:val="center"/>
          </w:tcPr>
          <w:p>
            <w:pPr>
              <w:jc w:val="left"/>
            </w:pPr>
            <w:r>
              <w:rPr>
                <w:color w:val="262626"/>
                <w:sz w:val="18"/>
                <w:szCs w:val="18"/>
              </w:rPr>
              <w:t xml:space="preserve">Diagnostic par radiographie thoracique, notamment tuberculose, adapté aux pays à ressources limitées</w:t>
            </w:r>
          </w:p>
        </w:tc>
        <w:tc>
          <w:tcPr>
            <w:tcW w:type="pct" w:w="36%"/>
            <w:shd w:fill="FFFFFF" w:val="clear"/>
            <w:tcMar>
              <w:top w:type="dxa" w:w="100"/>
              <w:left w:type="dxa" w:w="120"/>
              <w:bottom w:type="dxa" w:w="100"/>
              <w:right w:type="dxa" w:w="120"/>
            </w:tcMar>
            <w:vAlign w:val="center"/>
          </w:tcPr>
          <w:p>
            <w:pPr>
              <w:jc w:val="left"/>
            </w:pPr>
            <w:r>
              <w:rPr>
                <w:color w:val="262626"/>
                <w:sz w:val="18"/>
                <w:szCs w:val="18"/>
              </w:rPr>
              <w:t xml:space="preserve">qXR détecte la tuberculose avec 95 % de précision, déployé dans plus de 90 pays</w:t>
            </w:r>
          </w:p>
        </w:tc>
      </w:tr>
      <w:tr>
        <w:tc>
          <w:tcPr>
            <w:tcW w:type="pct" w:w="24%"/>
            <w:shd w:fill="EDF2F7" w:val="clear"/>
            <w:tcMar>
              <w:top w:type="dxa" w:w="100"/>
              <w:left w:type="dxa" w:w="120"/>
              <w:bottom w:type="dxa" w:w="100"/>
              <w:right w:type="dxa" w:w="120"/>
            </w:tcMar>
            <w:vAlign w:val="center"/>
          </w:tcPr>
          <w:p>
            <w:pPr>
              <w:jc w:val="left"/>
            </w:pPr>
            <w:r>
              <w:rPr>
                <w:color w:val="262626"/>
                <w:sz w:val="18"/>
                <w:szCs w:val="18"/>
              </w:rPr>
              <w:t xml:space="preserve">PathAI / Paige (groupe Tempus AI)</w:t>
            </w:r>
          </w:p>
        </w:tc>
        <w:tc>
          <w:tcPr>
            <w:tcW w:type="pct" w:w="40%"/>
            <w:shd w:fill="EDF2F7" w:val="clear"/>
            <w:tcMar>
              <w:top w:type="dxa" w:w="100"/>
              <w:left w:type="dxa" w:w="120"/>
              <w:bottom w:type="dxa" w:w="100"/>
              <w:right w:type="dxa" w:w="120"/>
            </w:tcMar>
            <w:vAlign w:val="center"/>
          </w:tcPr>
          <w:p>
            <w:pPr>
              <w:jc w:val="left"/>
            </w:pPr>
            <w:r>
              <w:rPr>
                <w:color w:val="262626"/>
                <w:sz w:val="18"/>
                <w:szCs w:val="18"/>
              </w:rPr>
              <w:t xml:space="preserve">Anatomopathologie numérique : analyse de lames histologiques entières pour l'oncologie</w:t>
            </w:r>
          </w:p>
        </w:tc>
        <w:tc>
          <w:tcPr>
            <w:tcW w:type="pct" w:w="36%"/>
            <w:shd w:fill="EDF2F7" w:val="clear"/>
            <w:tcMar>
              <w:top w:type="dxa" w:w="100"/>
              <w:left w:type="dxa" w:w="120"/>
              <w:bottom w:type="dxa" w:w="100"/>
              <w:right w:type="dxa" w:w="120"/>
            </w:tcMar>
            <w:vAlign w:val="center"/>
          </w:tcPr>
          <w:p>
            <w:pPr>
              <w:jc w:val="left"/>
            </w:pPr>
            <w:r>
              <w:rPr>
                <w:color w:val="262626"/>
                <w:sz w:val="18"/>
                <w:szCs w:val="18"/>
              </w:rPr>
              <w:t xml:space="preserve">Modèle PLUTO-4 entraîné sur 551 000+ lames et 137 000+ patients ; AISight Dx autorisé FDA 510(k) en juin 2025 ; Tempus a racheté Paige pour 81,25 M$ (août 2025)</w:t>
            </w:r>
          </w:p>
        </w:tc>
      </w:tr>
      <w:tr>
        <w:tc>
          <w:tcPr>
            <w:tcW w:type="pct" w:w="24%"/>
            <w:shd w:fill="FFFFFF" w:val="clear"/>
            <w:tcMar>
              <w:top w:type="dxa" w:w="100"/>
              <w:left w:type="dxa" w:w="120"/>
              <w:bottom w:type="dxa" w:w="100"/>
              <w:right w:type="dxa" w:w="120"/>
            </w:tcMar>
            <w:vAlign w:val="center"/>
          </w:tcPr>
          <w:p>
            <w:pPr>
              <w:jc w:val="left"/>
            </w:pPr>
            <w:r>
              <w:rPr>
                <w:color w:val="262626"/>
                <w:sz w:val="18"/>
                <w:szCs w:val="18"/>
              </w:rPr>
              <w:t xml:space="preserve">Tempus AI (groupe)</w:t>
            </w:r>
          </w:p>
        </w:tc>
        <w:tc>
          <w:tcPr>
            <w:tcW w:type="pct" w:w="40%"/>
            <w:shd w:fill="FFFFFF" w:val="clear"/>
            <w:tcMar>
              <w:top w:type="dxa" w:w="100"/>
              <w:left w:type="dxa" w:w="120"/>
              <w:bottom w:type="dxa" w:w="100"/>
              <w:right w:type="dxa" w:w="120"/>
            </w:tcMar>
            <w:vAlign w:val="center"/>
          </w:tcPr>
          <w:p>
            <w:pPr>
              <w:jc w:val="left"/>
            </w:pPr>
            <w:r>
              <w:rPr>
                <w:color w:val="262626"/>
                <w:sz w:val="18"/>
                <w:szCs w:val="18"/>
              </w:rPr>
              <w:t xml:space="preserve">Plateforme de données oncologiques et modèles de fondation multi-omiques</w:t>
            </w:r>
          </w:p>
        </w:tc>
        <w:tc>
          <w:tcPr>
            <w:tcW w:type="pct" w:w="36%"/>
            <w:shd w:fill="FFFFFF" w:val="clear"/>
            <w:tcMar>
              <w:top w:type="dxa" w:w="100"/>
              <w:left w:type="dxa" w:w="120"/>
              <w:bottom w:type="dxa" w:w="100"/>
              <w:right w:type="dxa" w:w="120"/>
            </w:tcMar>
            <w:vAlign w:val="center"/>
          </w:tcPr>
          <w:p>
            <w:pPr>
              <w:jc w:val="left"/>
            </w:pPr>
            <w:r>
              <w:rPr>
                <w:color w:val="262626"/>
                <w:sz w:val="18"/>
                <w:szCs w:val="18"/>
              </w:rPr>
              <w:t xml:space="preserve">1,27 Md$ de chiffre d'affaires 2025 (+83 % sur un an) ; 8 M de dossiers dé-identifiés, 300+ pétaoctets de données, liens avec les deux tiers des centres médicaux universitaires américains</w:t>
            </w:r>
          </w:p>
        </w:tc>
      </w:tr>
    </w:tbl>
    <w:p>
      <w:pPr>
        <w:spacing w:after="240"/>
      </w:pPr>
      <w:r>
        <w:rPr>
          <w:i/>
          <w:iCs/>
          <w:color w:val="595959"/>
          <w:sz w:val="18"/>
          <w:szCs w:val="18"/>
        </w:rPr>
        <w:t xml:space="preserve">Source : Pinggy, IntuitionLabs, Mixpeek, Healthcare Readers — comparatifs IA imagerie/pathologie 2026</w:t>
      </w:r>
    </w:p>
    <w:p>
      <w:pPr>
        <w:pStyle w:val="Heading2"/>
        <w:spacing w:after="150" w:before="300"/>
        <w:outlineLvl w:val="1"/>
      </w:pPr>
      <w:r>
        <w:t xml:space="preserve">3.2 Découverte de médicaments assistée par IA</w:t>
      </w:r>
    </w:p>
    <w:p>
      <w:pPr>
        <w:spacing w:after="160" w:line="300"/>
      </w:pPr>
      <w:r>
        <w:rPr>
          <w:color w:val="262626"/>
          <w:sz w:val="22"/>
          <w:szCs w:val="22"/>
        </w:rPr>
        <w:t xml:space="preserve">Ce segment illustre un décalage entre les avancées de découverte (molécules identifiées plus vite par l'IA) et la réalité clinique : aucun médicament entièrement conçu par IA n'était encore approuvé début 2026, l'IA n'accélérant pas les essais cliniques de phase 2/3 eux-mêmes.</w:t>
      </w:r>
    </w:p>
    <w:tbl>
      <w:tblPr>
        <w:tblW w:type="pct" w:w="100%"/>
        <w:tblBorders>
          <w:top w:val="single" w:color="BFBFBF" w:sz="2"/>
          <w:left w:val="single" w:color="BFBFBF" w:sz="2"/>
          <w:bottom w:val="single" w:color="BFBFBF" w:sz="2"/>
          <w:right w:val="single" w:color="BFBFBF" w:sz="2"/>
          <w:insideH w:val="single" w:color="D9D9D9" w:sz="2"/>
          <w:insideV w:val="single" w:color="D9D9D9" w:sz="2"/>
        </w:tblBorders>
      </w:tblPr>
      <w:tblGrid>
        <w:gridCol w:w="2340"/>
        <w:gridCol w:w="3240"/>
        <w:gridCol w:w="3420"/>
      </w:tblGrid>
      <w:tr>
        <w:trPr>
          <w:tblHeader/>
        </w:trPr>
        <w:tc>
          <w:tcPr>
            <w:tcW w:type="pct" w:w="26%"/>
            <w:shd w:fill="1F3864" w:val="clear"/>
            <w:tcMar>
              <w:top w:type="dxa" w:w="100"/>
              <w:left w:type="dxa" w:w="120"/>
              <w:bottom w:type="dxa" w:w="100"/>
              <w:right w:type="dxa" w:w="120"/>
            </w:tcMar>
            <w:vAlign w:val="center"/>
          </w:tcPr>
          <w:p>
            <w:pPr>
              <w:jc w:val="left"/>
            </w:pPr>
            <w:r>
              <w:rPr>
                <w:b/>
                <w:bCs/>
                <w:color w:val="FFFFFF"/>
                <w:sz w:val="18"/>
                <w:szCs w:val="18"/>
              </w:rPr>
              <w:t xml:space="preserve">Outil / Éditeur</w:t>
            </w:r>
          </w:p>
        </w:tc>
        <w:tc>
          <w:tcPr>
            <w:tcW w:type="pct" w:w="36%"/>
            <w:shd w:fill="1F3864" w:val="clear"/>
            <w:tcMar>
              <w:top w:type="dxa" w:w="100"/>
              <w:left w:type="dxa" w:w="120"/>
              <w:bottom w:type="dxa" w:w="100"/>
              <w:right w:type="dxa" w:w="120"/>
            </w:tcMar>
            <w:vAlign w:val="center"/>
          </w:tcPr>
          <w:p>
            <w:pPr>
              <w:jc w:val="left"/>
            </w:pPr>
            <w:r>
              <w:rPr>
                <w:b/>
                <w:bCs/>
                <w:color w:val="FFFFFF"/>
                <w:sz w:val="18"/>
                <w:szCs w:val="18"/>
              </w:rPr>
              <w:t xml:space="preserve">Approche</w:t>
            </w:r>
          </w:p>
        </w:tc>
        <w:tc>
          <w:tcPr>
            <w:tcW w:type="pct" w:w="38%"/>
            <w:shd w:fill="1F3864" w:val="clear"/>
            <w:tcMar>
              <w:top w:type="dxa" w:w="100"/>
              <w:left w:type="dxa" w:w="120"/>
              <w:bottom w:type="dxa" w:w="100"/>
              <w:right w:type="dxa" w:w="120"/>
            </w:tcMar>
            <w:vAlign w:val="center"/>
          </w:tcPr>
          <w:p>
            <w:pPr>
              <w:jc w:val="left"/>
            </w:pPr>
            <w:r>
              <w:rPr>
                <w:b/>
                <w:bCs/>
                <w:color w:val="FFFFFF"/>
                <w:sz w:val="18"/>
                <w:szCs w:val="18"/>
              </w:rPr>
              <w:t xml:space="preserve">Chiffres clés</w:t>
            </w:r>
          </w:p>
        </w:tc>
      </w:tr>
      <w:tr>
        <w:tc>
          <w:tcPr>
            <w:tcW w:type="pct" w:w="26%"/>
            <w:shd w:fill="FFFFFF" w:val="clear"/>
            <w:tcMar>
              <w:top w:type="dxa" w:w="100"/>
              <w:left w:type="dxa" w:w="120"/>
              <w:bottom w:type="dxa" w:w="100"/>
              <w:right w:type="dxa" w:w="120"/>
            </w:tcMar>
            <w:vAlign w:val="center"/>
          </w:tcPr>
          <w:p>
            <w:pPr>
              <w:jc w:val="left"/>
            </w:pPr>
            <w:r>
              <w:rPr>
                <w:color w:val="262626"/>
                <w:sz w:val="18"/>
                <w:szCs w:val="18"/>
              </w:rPr>
              <w:t xml:space="preserve">Insilico Medicine</w:t>
            </w:r>
          </w:p>
        </w:tc>
        <w:tc>
          <w:tcPr>
            <w:tcW w:type="pct" w:w="36%"/>
            <w:shd w:fill="FFFFFF" w:val="clear"/>
            <w:tcMar>
              <w:top w:type="dxa" w:w="100"/>
              <w:left w:type="dxa" w:w="120"/>
              <w:bottom w:type="dxa" w:w="100"/>
              <w:right w:type="dxa" w:w="120"/>
            </w:tcMar>
            <w:vAlign w:val="center"/>
          </w:tcPr>
          <w:p>
            <w:pPr>
              <w:jc w:val="left"/>
            </w:pPr>
            <w:r>
              <w:rPr>
                <w:color w:val="262626"/>
                <w:sz w:val="18"/>
                <w:szCs w:val="18"/>
              </w:rPr>
              <w:t xml:space="preserve">Conception de molécules par IA générative de bout en bout</w:t>
            </w:r>
          </w:p>
        </w:tc>
        <w:tc>
          <w:tcPr>
            <w:tcW w:type="pct" w:w="38%"/>
            <w:shd w:fill="FFFFFF" w:val="clear"/>
            <w:tcMar>
              <w:top w:type="dxa" w:w="100"/>
              <w:left w:type="dxa" w:w="120"/>
              <w:bottom w:type="dxa" w:w="100"/>
              <w:right w:type="dxa" w:w="120"/>
            </w:tcMar>
            <w:vAlign w:val="center"/>
          </w:tcPr>
          <w:p>
            <w:pPr>
              <w:jc w:val="left"/>
            </w:pPr>
            <w:r>
              <w:rPr>
                <w:color w:val="262626"/>
                <w:sz w:val="18"/>
                <w:szCs w:val="18"/>
              </w:rPr>
              <w:t xml:space="preserve">INS018_055 (rentosertib), premier médicament conçu entièrement par IA générative entré en phase 2 humaine ; passage hypothèse → premier essai chez l'humain en ≈18 mois contre 3 à 5 ans en moyenne industrie ; accord Lilly à 2,75 Md$ (mars 2026) ; introduction en bourse à Hong Kong 293 M$ (déc. 2025)</w:t>
            </w:r>
          </w:p>
        </w:tc>
      </w:tr>
      <w:tr>
        <w:tc>
          <w:tcPr>
            <w:tcW w:type="pct" w:w="26%"/>
            <w:shd w:fill="EDF2F7" w:val="clear"/>
            <w:tcMar>
              <w:top w:type="dxa" w:w="100"/>
              <w:left w:type="dxa" w:w="120"/>
              <w:bottom w:type="dxa" w:w="100"/>
              <w:right w:type="dxa" w:w="120"/>
            </w:tcMar>
            <w:vAlign w:val="center"/>
          </w:tcPr>
          <w:p>
            <w:pPr>
              <w:jc w:val="left"/>
            </w:pPr>
            <w:r>
              <w:rPr>
                <w:color w:val="262626"/>
                <w:sz w:val="18"/>
                <w:szCs w:val="18"/>
              </w:rPr>
              <w:t xml:space="preserve">Isomorphic Labs (DeepMind/Alphabet)</w:t>
            </w:r>
          </w:p>
        </w:tc>
        <w:tc>
          <w:tcPr>
            <w:tcW w:type="pct" w:w="36%"/>
            <w:shd w:fill="EDF2F7" w:val="clear"/>
            <w:tcMar>
              <w:top w:type="dxa" w:w="100"/>
              <w:left w:type="dxa" w:w="120"/>
              <w:bottom w:type="dxa" w:w="100"/>
              <w:right w:type="dxa" w:w="120"/>
            </w:tcMar>
            <w:vAlign w:val="center"/>
          </w:tcPr>
          <w:p>
            <w:pPr>
              <w:jc w:val="left"/>
            </w:pPr>
            <w:r>
              <w:rPr>
                <w:color w:val="262626"/>
                <w:sz w:val="18"/>
                <w:szCs w:val="18"/>
              </w:rPr>
              <w:t xml:space="preserve">Prédiction de structures protéiques et conception de ligands (AlphaFold 3, IsoDDE)</w:t>
            </w:r>
          </w:p>
        </w:tc>
        <w:tc>
          <w:tcPr>
            <w:tcW w:type="pct" w:w="38%"/>
            <w:shd w:fill="EDF2F7" w:val="clear"/>
            <w:tcMar>
              <w:top w:type="dxa" w:w="100"/>
              <w:left w:type="dxa" w:w="120"/>
              <w:bottom w:type="dxa" w:w="100"/>
              <w:right w:type="dxa" w:w="120"/>
            </w:tcMar>
            <w:vAlign w:val="center"/>
          </w:tcPr>
          <w:p>
            <w:pPr>
              <w:jc w:val="left"/>
            </w:pPr>
            <w:r>
              <w:rPr>
                <w:color w:val="262626"/>
                <w:sz w:val="18"/>
                <w:szCs w:val="18"/>
              </w:rPr>
              <w:t xml:space="preserve">IsoDDE lancé en février 2026, précision doublée sur les cas de liaison complexes ; partenariats Novartis et Lilly représentant près de 3 Md$ ; levée de 2,1 Md$ en Série B ; premier essai clinique visé fin 2026, aucun candidat clinique déclaré à mi-2026</w:t>
            </w:r>
          </w:p>
        </w:tc>
      </w:tr>
      <w:tr>
        <w:tc>
          <w:tcPr>
            <w:tcW w:type="pct" w:w="26%"/>
            <w:shd w:fill="FFFFFF" w:val="clear"/>
            <w:tcMar>
              <w:top w:type="dxa" w:w="100"/>
              <w:left w:type="dxa" w:w="120"/>
              <w:bottom w:type="dxa" w:w="100"/>
              <w:right w:type="dxa" w:w="120"/>
            </w:tcMar>
            <w:vAlign w:val="center"/>
          </w:tcPr>
          <w:p>
            <w:pPr>
              <w:jc w:val="left"/>
            </w:pPr>
            <w:r>
              <w:rPr>
                <w:color w:val="262626"/>
                <w:sz w:val="18"/>
                <w:szCs w:val="18"/>
              </w:rPr>
              <w:t xml:space="preserve">Recursion Pharmaceuticals (cotée NYSE : RXRX)</w:t>
            </w:r>
          </w:p>
        </w:tc>
        <w:tc>
          <w:tcPr>
            <w:tcW w:type="pct" w:w="36%"/>
            <w:shd w:fill="FFFFFF" w:val="clear"/>
            <w:tcMar>
              <w:top w:type="dxa" w:w="100"/>
              <w:left w:type="dxa" w:w="120"/>
              <w:bottom w:type="dxa" w:w="100"/>
              <w:right w:type="dxa" w:w="120"/>
            </w:tcMar>
            <w:vAlign w:val="center"/>
          </w:tcPr>
          <w:p>
            <w:pPr>
              <w:jc w:val="left"/>
            </w:pPr>
            <w:r>
              <w:rPr>
                <w:color w:val="262626"/>
                <w:sz w:val="18"/>
                <w:szCs w:val="18"/>
              </w:rPr>
              <w:t xml:space="preserve">Criblage phénotypique à grande échelle après fusion avec Exscientia</w:t>
            </w:r>
          </w:p>
        </w:tc>
        <w:tc>
          <w:tcPr>
            <w:tcW w:type="pct" w:w="38%"/>
            <w:shd w:fill="FFFFFF" w:val="clear"/>
            <w:tcMar>
              <w:top w:type="dxa" w:w="100"/>
              <w:left w:type="dxa" w:w="120"/>
              <w:bottom w:type="dxa" w:w="100"/>
              <w:right w:type="dxa" w:w="120"/>
            </w:tcMar>
            <w:vAlign w:val="center"/>
          </w:tcPr>
          <w:p>
            <w:pPr>
              <w:jc w:val="left"/>
            </w:pPr>
            <w:r>
              <w:rPr>
                <w:color w:val="262626"/>
                <w:sz w:val="18"/>
                <w:szCs w:val="18"/>
              </w:rPr>
              <w:t xml:space="preserve">Plusieurs lectures d'essais cliniques attendues en 2026, suivies de près par les investisseurs</w:t>
            </w:r>
          </w:p>
        </w:tc>
      </w:tr>
      <w:tr>
        <w:tc>
          <w:tcPr>
            <w:tcW w:type="pct" w:w="26%"/>
            <w:shd w:fill="EDF2F7" w:val="clear"/>
            <w:tcMar>
              <w:top w:type="dxa" w:w="100"/>
              <w:left w:type="dxa" w:w="120"/>
              <w:bottom w:type="dxa" w:w="100"/>
              <w:right w:type="dxa" w:w="120"/>
            </w:tcMar>
            <w:vAlign w:val="center"/>
          </w:tcPr>
          <w:p>
            <w:pPr>
              <w:jc w:val="left"/>
            </w:pPr>
            <w:r>
              <w:rPr>
                <w:color w:val="262626"/>
                <w:sz w:val="18"/>
                <w:szCs w:val="18"/>
              </w:rPr>
              <w:t xml:space="preserve">Schrödinger</w:t>
            </w:r>
          </w:p>
        </w:tc>
        <w:tc>
          <w:tcPr>
            <w:tcW w:type="pct" w:w="36%"/>
            <w:shd w:fill="EDF2F7" w:val="clear"/>
            <w:tcMar>
              <w:top w:type="dxa" w:w="100"/>
              <w:left w:type="dxa" w:w="120"/>
              <w:bottom w:type="dxa" w:w="100"/>
              <w:right w:type="dxa" w:w="120"/>
            </w:tcMar>
            <w:vAlign w:val="center"/>
          </w:tcPr>
          <w:p>
            <w:pPr>
              <w:jc w:val="left"/>
            </w:pPr>
            <w:r>
              <w:rPr>
                <w:color w:val="262626"/>
                <w:sz w:val="18"/>
                <w:szCs w:val="18"/>
              </w:rPr>
              <w:t xml:space="preserve">Approche hybride physique + apprentissage automatique</w:t>
            </w:r>
          </w:p>
        </w:tc>
        <w:tc>
          <w:tcPr>
            <w:tcW w:type="pct" w:w="38%"/>
            <w:shd w:fill="EDF2F7" w:val="clear"/>
            <w:tcMar>
              <w:top w:type="dxa" w:w="100"/>
              <w:left w:type="dxa" w:w="120"/>
              <w:bottom w:type="dxa" w:w="100"/>
              <w:right w:type="dxa" w:w="120"/>
            </w:tcMar>
            <w:vAlign w:val="center"/>
          </w:tcPr>
          <w:p>
            <w:pPr>
              <w:jc w:val="left"/>
            </w:pPr>
            <w:r>
              <w:rPr>
                <w:color w:val="262626"/>
                <w:sz w:val="18"/>
                <w:szCs w:val="18"/>
              </w:rPr>
              <w:t xml:space="preserve">Plateforme de référence pour la conception moléculaire assistée par la physique computationnelle</w:t>
            </w:r>
          </w:p>
        </w:tc>
      </w:tr>
    </w:tbl>
    <w:p>
      <w:pPr>
        <w:spacing w:after="240"/>
      </w:pPr>
      <w:r>
        <w:rPr>
          <w:i/>
          <w:iCs/>
          <w:color w:val="595959"/>
          <w:sz w:val="18"/>
          <w:szCs w:val="18"/>
        </w:rPr>
        <w:t xml:space="preserve">Source : IntuitionLabs, MarketWise, Presenc AI — Panorama IA découverte de médicaments 2026</w:t>
      </w:r>
    </w:p>
    <w:p>
      <w:pPr>
        <w:pStyle w:val="Heading2"/>
        <w:spacing w:after="150" w:before="300"/>
        <w:outlineLvl w:val="1"/>
      </w:pPr>
      <w:r>
        <w:t xml:space="preserve">3.3 Documentation clinique et scribes ambiants</w:t>
      </w:r>
    </w:p>
    <w:p>
      <w:pPr>
        <w:spacing w:after="160" w:line="300"/>
      </w:pPr>
      <w:r>
        <w:rPr>
          <w:color w:val="262626"/>
          <w:sz w:val="22"/>
          <w:szCs w:val="22"/>
        </w:rPr>
        <w:t xml:space="preserve">Ce segment répond à un problème opérationnel majeur : un médecin américain consacre en moyenne deux heures à la documentation dans le dossier patient informatisé pour une heure de face-à-face avec le patient, contribuant à un taux de burnout médical d'environ 49 % selon le rapport Medscape 2025.</w:t>
      </w:r>
    </w:p>
    <w:tbl>
      <w:tblPr>
        <w:tblW w:type="pct" w:w="100%"/>
        <w:tblBorders>
          <w:top w:val="single" w:color="BFBFBF" w:sz="2"/>
          <w:left w:val="single" w:color="BFBFBF" w:sz="2"/>
          <w:bottom w:val="single" w:color="BFBFBF" w:sz="2"/>
          <w:right w:val="single" w:color="BFBFBF" w:sz="2"/>
          <w:insideH w:val="single" w:color="D9D9D9" w:sz="2"/>
          <w:insideV w:val="single" w:color="D9D9D9" w:sz="2"/>
        </w:tblBorders>
      </w:tblPr>
      <w:tblGrid>
        <w:gridCol w:w="2160"/>
        <w:gridCol w:w="3420"/>
        <w:gridCol w:w="3420"/>
      </w:tblGrid>
      <w:tr>
        <w:trPr>
          <w:tblHeader/>
        </w:trPr>
        <w:tc>
          <w:tcPr>
            <w:tcW w:type="pct" w:w="24%"/>
            <w:shd w:fill="1F3864" w:val="clear"/>
            <w:tcMar>
              <w:top w:type="dxa" w:w="100"/>
              <w:left w:type="dxa" w:w="120"/>
              <w:bottom w:type="dxa" w:w="100"/>
              <w:right w:type="dxa" w:w="120"/>
            </w:tcMar>
            <w:vAlign w:val="center"/>
          </w:tcPr>
          <w:p>
            <w:pPr>
              <w:jc w:val="left"/>
            </w:pPr>
            <w:r>
              <w:rPr>
                <w:b/>
                <w:bCs/>
                <w:color w:val="FFFFFF"/>
                <w:sz w:val="18"/>
                <w:szCs w:val="18"/>
              </w:rPr>
              <w:t xml:space="preserve">Outil / Éditeur</w:t>
            </w:r>
          </w:p>
        </w:tc>
        <w:tc>
          <w:tcPr>
            <w:tcW w:type="pct" w:w="38%"/>
            <w:shd w:fill="1F3864" w:val="clear"/>
            <w:tcMar>
              <w:top w:type="dxa" w:w="100"/>
              <w:left w:type="dxa" w:w="120"/>
              <w:bottom w:type="dxa" w:w="100"/>
              <w:right w:type="dxa" w:w="120"/>
            </w:tcMar>
            <w:vAlign w:val="center"/>
          </w:tcPr>
          <w:p>
            <w:pPr>
              <w:jc w:val="left"/>
            </w:pPr>
            <w:r>
              <w:rPr>
                <w:b/>
                <w:bCs/>
                <w:color w:val="FFFFFF"/>
                <w:sz w:val="18"/>
                <w:szCs w:val="18"/>
              </w:rPr>
              <w:t xml:space="preserve">Positionnement</w:t>
            </w:r>
          </w:p>
        </w:tc>
        <w:tc>
          <w:tcPr>
            <w:tcW w:type="pct" w:w="38%"/>
            <w:shd w:fill="1F3864" w:val="clear"/>
            <w:tcMar>
              <w:top w:type="dxa" w:w="100"/>
              <w:left w:type="dxa" w:w="120"/>
              <w:bottom w:type="dxa" w:w="100"/>
              <w:right w:type="dxa" w:w="120"/>
            </w:tcMar>
            <w:vAlign w:val="center"/>
          </w:tcPr>
          <w:p>
            <w:pPr>
              <w:jc w:val="left"/>
            </w:pPr>
            <w:r>
              <w:rPr>
                <w:b/>
                <w:bCs/>
                <w:color w:val="FFFFFF"/>
                <w:sz w:val="18"/>
                <w:szCs w:val="18"/>
              </w:rPr>
              <w:t xml:space="preserve">Chiffres clés</w:t>
            </w:r>
          </w:p>
        </w:tc>
      </w:tr>
      <w:tr>
        <w:tc>
          <w:tcPr>
            <w:tcW w:type="pct" w:w="24%"/>
            <w:shd w:fill="FFFFFF" w:val="clear"/>
            <w:tcMar>
              <w:top w:type="dxa" w:w="100"/>
              <w:left w:type="dxa" w:w="120"/>
              <w:bottom w:type="dxa" w:w="100"/>
              <w:right w:type="dxa" w:w="120"/>
            </w:tcMar>
            <w:vAlign w:val="center"/>
          </w:tcPr>
          <w:p>
            <w:pPr>
              <w:jc w:val="left"/>
            </w:pPr>
            <w:r>
              <w:rPr>
                <w:color w:val="262626"/>
                <w:sz w:val="18"/>
                <w:szCs w:val="18"/>
              </w:rPr>
              <w:t xml:space="preserve">Abridge</w:t>
            </w:r>
          </w:p>
        </w:tc>
        <w:tc>
          <w:tcPr>
            <w:tcW w:type="pct" w:w="38%"/>
            <w:shd w:fill="FFFFFF" w:val="clear"/>
            <w:tcMar>
              <w:top w:type="dxa" w:w="100"/>
              <w:left w:type="dxa" w:w="120"/>
              <w:bottom w:type="dxa" w:w="100"/>
              <w:right w:type="dxa" w:w="120"/>
            </w:tcMar>
            <w:vAlign w:val="center"/>
          </w:tcPr>
          <w:p>
            <w:pPr>
              <w:jc w:val="left"/>
            </w:pPr>
            <w:r>
              <w:rPr>
                <w:color w:val="262626"/>
                <w:sz w:val="18"/>
                <w:szCs w:val="18"/>
              </w:rPr>
              <w:t xml:space="preserve">Leader du segment hospitalier, forte intégration Epic</w:t>
            </w:r>
          </w:p>
        </w:tc>
        <w:tc>
          <w:tcPr>
            <w:tcW w:type="pct" w:w="38%"/>
            <w:shd w:fill="FFFFFF" w:val="clear"/>
            <w:tcMar>
              <w:top w:type="dxa" w:w="100"/>
              <w:left w:type="dxa" w:w="120"/>
              <w:bottom w:type="dxa" w:w="100"/>
              <w:right w:type="dxa" w:w="120"/>
            </w:tcMar>
            <w:vAlign w:val="center"/>
          </w:tcPr>
          <w:p>
            <w:pPr>
              <w:jc w:val="left"/>
            </w:pPr>
            <w:r>
              <w:rPr>
                <w:color w:val="262626"/>
                <w:sz w:val="18"/>
                <w:szCs w:val="18"/>
              </w:rPr>
              <w:t xml:space="preserve">Meilleur du classement KLAS « Ambient Speech » 2025 et 2026 ; déployé dans 300+ établissements dont Kaiser Permanente (40 hôpitaux, 600+ cabinets, 8 États) ; 800 M$ levés, valorisation 5,3 Md$ (Série E, juin 2025)</w:t>
            </w:r>
          </w:p>
        </w:tc>
      </w:tr>
      <w:tr>
        <w:tc>
          <w:tcPr>
            <w:tcW w:type="pct" w:w="24%"/>
            <w:shd w:fill="EDF2F7" w:val="clear"/>
            <w:tcMar>
              <w:top w:type="dxa" w:w="100"/>
              <w:left w:type="dxa" w:w="120"/>
              <w:bottom w:type="dxa" w:w="100"/>
              <w:right w:type="dxa" w:w="120"/>
            </w:tcMar>
            <w:vAlign w:val="center"/>
          </w:tcPr>
          <w:p>
            <w:pPr>
              <w:jc w:val="left"/>
            </w:pPr>
            <w:r>
              <w:rPr>
                <w:color w:val="262626"/>
                <w:sz w:val="18"/>
                <w:szCs w:val="18"/>
              </w:rPr>
              <w:t xml:space="preserve">Microsoft Dragon Copilot (ex-Nuance DAX)</w:t>
            </w:r>
          </w:p>
        </w:tc>
        <w:tc>
          <w:tcPr>
            <w:tcW w:type="pct" w:w="38%"/>
            <w:shd w:fill="EDF2F7" w:val="clear"/>
            <w:tcMar>
              <w:top w:type="dxa" w:w="100"/>
              <w:left w:type="dxa" w:w="120"/>
              <w:bottom w:type="dxa" w:w="100"/>
              <w:right w:type="dxa" w:w="120"/>
            </w:tcMar>
            <w:vAlign w:val="center"/>
          </w:tcPr>
          <w:p>
            <w:pPr>
              <w:jc w:val="left"/>
            </w:pPr>
            <w:r>
              <w:rPr>
                <w:color w:val="262626"/>
                <w:sz w:val="18"/>
                <w:szCs w:val="18"/>
              </w:rPr>
              <w:t xml:space="preserve">Solution entreprise adossée à Microsoft, forte présence historique en reconnaissance vocale médicale</w:t>
            </w:r>
          </w:p>
        </w:tc>
        <w:tc>
          <w:tcPr>
            <w:tcW w:type="pct" w:w="38%"/>
            <w:shd w:fill="EDF2F7" w:val="clear"/>
            <w:tcMar>
              <w:top w:type="dxa" w:w="100"/>
              <w:left w:type="dxa" w:w="120"/>
              <w:bottom w:type="dxa" w:w="100"/>
              <w:right w:type="dxa" w:w="120"/>
            </w:tcMar>
            <w:vAlign w:val="center"/>
          </w:tcPr>
          <w:p>
            <w:pPr>
              <w:jc w:val="left"/>
            </w:pPr>
            <w:r>
              <w:rPr>
                <w:color w:val="262626"/>
                <w:sz w:val="18"/>
                <w:szCs w:val="18"/>
              </w:rPr>
              <w:t xml:space="preserve">Microsoft a racheté Nuance pour 19,7 Md$ (2022) ; leader en part de marché sur le segment des grands réseaux hospitaliers intégrés</w:t>
            </w:r>
          </w:p>
        </w:tc>
      </w:tr>
      <w:tr>
        <w:tc>
          <w:tcPr>
            <w:tcW w:type="pct" w:w="24%"/>
            <w:shd w:fill="FFFFFF" w:val="clear"/>
            <w:tcMar>
              <w:top w:type="dxa" w:w="100"/>
              <w:left w:type="dxa" w:w="120"/>
              <w:bottom w:type="dxa" w:w="100"/>
              <w:right w:type="dxa" w:w="120"/>
            </w:tcMar>
            <w:vAlign w:val="center"/>
          </w:tcPr>
          <w:p>
            <w:pPr>
              <w:jc w:val="left"/>
            </w:pPr>
            <w:r>
              <w:rPr>
                <w:color w:val="262626"/>
                <w:sz w:val="18"/>
                <w:szCs w:val="18"/>
              </w:rPr>
              <w:t xml:space="preserve">Suki AI</w:t>
            </w:r>
          </w:p>
        </w:tc>
        <w:tc>
          <w:tcPr>
            <w:tcW w:type="pct" w:w="38%"/>
            <w:shd w:fill="FFFFFF" w:val="clear"/>
            <w:tcMar>
              <w:top w:type="dxa" w:w="100"/>
              <w:left w:type="dxa" w:w="120"/>
              <w:bottom w:type="dxa" w:w="100"/>
              <w:right w:type="dxa" w:w="120"/>
            </w:tcMar>
            <w:vAlign w:val="center"/>
          </w:tcPr>
          <w:p>
            <w:pPr>
              <w:jc w:val="left"/>
            </w:pPr>
            <w:r>
              <w:rPr>
                <w:color w:val="262626"/>
                <w:sz w:val="18"/>
                <w:szCs w:val="18"/>
              </w:rPr>
              <w:t xml:space="preserve">Assistant vocal combinant documentation et commandes DPI (prescriptions, examens)</w:t>
            </w:r>
          </w:p>
        </w:tc>
        <w:tc>
          <w:tcPr>
            <w:tcW w:type="pct" w:w="38%"/>
            <w:shd w:fill="FFFFFF" w:val="clear"/>
            <w:tcMar>
              <w:top w:type="dxa" w:w="100"/>
              <w:left w:type="dxa" w:w="120"/>
              <w:bottom w:type="dxa" w:w="100"/>
              <w:right w:type="dxa" w:w="120"/>
            </w:tcMar>
            <w:vAlign w:val="center"/>
          </w:tcPr>
          <w:p>
            <w:pPr>
              <w:jc w:val="left"/>
            </w:pPr>
            <w:r>
              <w:rPr>
                <w:color w:val="262626"/>
                <w:sz w:val="18"/>
                <w:szCs w:val="18"/>
              </w:rPr>
              <w:t xml:space="preserve">165 M$+ levés ; environ 10 % de part de marché du segment scribes ambiants</w:t>
            </w:r>
          </w:p>
        </w:tc>
      </w:tr>
      <w:tr>
        <w:tc>
          <w:tcPr>
            <w:tcW w:type="pct" w:w="24%"/>
            <w:shd w:fill="EDF2F7" w:val="clear"/>
            <w:tcMar>
              <w:top w:type="dxa" w:w="100"/>
              <w:left w:type="dxa" w:w="120"/>
              <w:bottom w:type="dxa" w:w="100"/>
              <w:right w:type="dxa" w:w="120"/>
            </w:tcMar>
            <w:vAlign w:val="center"/>
          </w:tcPr>
          <w:p>
            <w:pPr>
              <w:jc w:val="left"/>
            </w:pPr>
            <w:r>
              <w:rPr>
                <w:color w:val="262626"/>
                <w:sz w:val="18"/>
                <w:szCs w:val="18"/>
              </w:rPr>
              <w:t xml:space="preserve">Nabla, DeepScribe, Freed</w:t>
            </w:r>
          </w:p>
        </w:tc>
        <w:tc>
          <w:tcPr>
            <w:tcW w:type="pct" w:w="38%"/>
            <w:shd w:fill="EDF2F7" w:val="clear"/>
            <w:tcMar>
              <w:top w:type="dxa" w:w="100"/>
              <w:left w:type="dxa" w:w="120"/>
              <w:bottom w:type="dxa" w:w="100"/>
              <w:right w:type="dxa" w:w="120"/>
            </w:tcMar>
            <w:vAlign w:val="center"/>
          </w:tcPr>
          <w:p>
            <w:pPr>
              <w:jc w:val="left"/>
            </w:pPr>
            <w:r>
              <w:rPr>
                <w:color w:val="262626"/>
                <w:sz w:val="18"/>
                <w:szCs w:val="18"/>
              </w:rPr>
              <w:t xml:space="preserve">Solutions mid-market et pour cliniciens indépendants</w:t>
            </w:r>
          </w:p>
        </w:tc>
        <w:tc>
          <w:tcPr>
            <w:tcW w:type="pct" w:w="38%"/>
            <w:shd w:fill="EDF2F7" w:val="clear"/>
            <w:tcMar>
              <w:top w:type="dxa" w:w="100"/>
              <w:left w:type="dxa" w:w="120"/>
              <w:bottom w:type="dxa" w:w="100"/>
              <w:right w:type="dxa" w:w="120"/>
            </w:tcMar>
            <w:vAlign w:val="center"/>
          </w:tcPr>
          <w:p>
            <w:pPr>
              <w:jc w:val="left"/>
            </w:pPr>
            <w:r>
              <w:rPr>
                <w:color w:val="262626"/>
                <w:sz w:val="18"/>
                <w:szCs w:val="18"/>
              </w:rPr>
              <w:t xml:space="preserve">Nabla : 24 M$ en Série B (2024) ; Freed positionné sur le segment prix/simplicité pour cliniciens seuls</w:t>
            </w:r>
          </w:p>
        </w:tc>
      </w:tr>
      <w:tr>
        <w:tc>
          <w:tcPr>
            <w:tcW w:type="pct" w:w="24%"/>
            <w:shd w:fill="FFFFFF" w:val="clear"/>
            <w:tcMar>
              <w:top w:type="dxa" w:w="100"/>
              <w:left w:type="dxa" w:w="120"/>
              <w:bottom w:type="dxa" w:w="100"/>
              <w:right w:type="dxa" w:w="120"/>
            </w:tcMar>
            <w:vAlign w:val="center"/>
          </w:tcPr>
          <w:p>
            <w:pPr>
              <w:jc w:val="left"/>
            </w:pPr>
            <w:r>
              <w:rPr>
                <w:color w:val="262626"/>
                <w:sz w:val="18"/>
                <w:szCs w:val="18"/>
              </w:rPr>
              <w:t xml:space="preserve">Epic AI Charting / athenaAmbient</w:t>
            </w:r>
          </w:p>
        </w:tc>
        <w:tc>
          <w:tcPr>
            <w:tcW w:type="pct" w:w="38%"/>
            <w:shd w:fill="FFFFFF" w:val="clear"/>
            <w:tcMar>
              <w:top w:type="dxa" w:w="100"/>
              <w:left w:type="dxa" w:w="120"/>
              <w:bottom w:type="dxa" w:w="100"/>
              <w:right w:type="dxa" w:w="120"/>
            </w:tcMar>
            <w:vAlign w:val="center"/>
          </w:tcPr>
          <w:p>
            <w:pPr>
              <w:jc w:val="left"/>
            </w:pPr>
            <w:r>
              <w:rPr>
                <w:color w:val="262626"/>
                <w:sz w:val="18"/>
                <w:szCs w:val="18"/>
              </w:rPr>
              <w:t xml:space="preserve">Offres natives intégrées aux DPI, en concurrence directe avec les éditeurs indépendants</w:t>
            </w:r>
          </w:p>
        </w:tc>
        <w:tc>
          <w:tcPr>
            <w:tcW w:type="pct" w:w="38%"/>
            <w:shd w:fill="FFFFFF" w:val="clear"/>
            <w:tcMar>
              <w:top w:type="dxa" w:w="100"/>
              <w:left w:type="dxa" w:w="120"/>
              <w:bottom w:type="dxa" w:w="100"/>
              <w:right w:type="dxa" w:w="120"/>
            </w:tcMar>
            <w:vAlign w:val="center"/>
          </w:tcPr>
          <w:p>
            <w:pPr>
              <w:jc w:val="left"/>
            </w:pPr>
            <w:r>
              <w:rPr>
                <w:color w:val="262626"/>
                <w:sz w:val="18"/>
                <w:szCs w:val="18"/>
              </w:rPr>
              <w:t xml:space="preserve">Lancées respectivement en février 2026 ; athenaAmbient proposé sans surcoût</w:t>
            </w:r>
          </w:p>
        </w:tc>
      </w:tr>
    </w:tbl>
    <w:p>
      <w:pPr>
        <w:spacing w:after="160" w:line="300"/>
      </w:pPr>
      <w:r>
        <w:rPr>
          <w:color w:val="262626"/>
          <w:sz w:val="22"/>
          <w:szCs w:val="22"/>
        </w:rPr>
        <w:t xml:space="preserve">Selon le classement KLAS Research 2025, plus de 70 % des grands réseaux hospitaliers intégrés américains ont déployé ou pilotent au moins une solution de scribe ambiant. Une étude multicentrique publiée dans le JAMA en avril 2026, portant sur 8 581 cliniciens ambulatoires (1 809 utilisateurs d'IA contre 6 772 non-utilisateurs) sur les réseaux Mass General Brigham, Emory, UCSF, Yale New Haven et UC Davis, constitue à ce jour la preuve clinique la plus robuste sur l'impact de ces outils.</w:t>
      </w:r>
    </w:p>
    <w:p>
      <w:pPr>
        <w:spacing w:after="240"/>
      </w:pPr>
      <w:r>
        <w:rPr>
          <w:i/>
          <w:iCs/>
          <w:color w:val="595959"/>
          <w:sz w:val="18"/>
          <w:szCs w:val="18"/>
        </w:rPr>
        <w:t xml:space="preserve">Source : IntuitionLabs, MedEquip Directory, EHR Source, Alignify — comparatifs scribes ambiants 2026</w:t>
      </w:r>
    </w:p>
    <w:p>
      <w:pPr>
        <w:pStyle w:val="Heading2"/>
        <w:spacing w:after="150" w:before="300"/>
        <w:outlineLvl w:val="1"/>
      </w:pPr>
      <w:r>
        <w:t xml:space="preserve">3.4 Triage des symptômes et diagnostic assisté</w:t>
      </w:r>
    </w:p>
    <w:p>
      <w:pPr>
        <w:spacing w:after="160" w:line="300"/>
      </w:pPr>
      <w:r>
        <w:rPr>
          <w:color w:val="262626"/>
          <w:sz w:val="22"/>
          <w:szCs w:val="22"/>
        </w:rPr>
        <w:t xml:space="preserve">Un segment plus restreint mais complémentaire, orienté vers le patient ou le premier niveau de consultation :</w:t>
      </w:r>
    </w:p>
    <w:p>
      <w:pPr>
        <w:pStyle w:val="ListParagraph"/>
        <w:numPr>
          <w:ilvl w:val="0"/>
          <w:numId w:val="2"/>
        </w:numPr>
        <w:spacing w:after="100" w:line="280"/>
      </w:pPr>
      <w:r>
        <w:rPr>
          <w:color w:val="262626"/>
          <w:sz w:val="22"/>
          <w:szCs w:val="22"/>
        </w:rPr>
        <w:t xml:space="preserve">Ada Health — application d'auto-évaluation des symptômes grand public, conforme RGPD/HIPAA</w:t>
      </w:r>
    </w:p>
    <w:p>
      <w:pPr>
        <w:pStyle w:val="ListParagraph"/>
        <w:numPr>
          <w:ilvl w:val="0"/>
          <w:numId w:val="2"/>
        </w:numPr>
        <w:spacing w:after="100" w:line="280"/>
      </w:pPr>
      <w:r>
        <w:rPr>
          <w:color w:val="262626"/>
          <w:sz w:val="22"/>
          <w:szCs w:val="22"/>
        </w:rPr>
        <w:t xml:space="preserve">Infermedica — moteur de triage symptomatique proposé en API aux éditeurs de santé, facturation au volume de requêtes</w:t>
      </w:r>
    </w:p>
    <w:p>
      <w:pPr>
        <w:pStyle w:val="ListParagraph"/>
        <w:numPr>
          <w:ilvl w:val="0"/>
          <w:numId w:val="2"/>
        </w:numPr>
        <w:spacing w:after="100" w:line="280"/>
      </w:pPr>
      <w:r>
        <w:rPr>
          <w:color w:val="262626"/>
          <w:sz w:val="22"/>
          <w:szCs w:val="22"/>
        </w:rPr>
        <w:t xml:space="preserve">Coût de déploiement hospitalier pour une solution de diagnostic assisté de type Aidoc/Viz.ai : entre 50 000 et 500 000 € par an selon la taille de l'établissement</w:t>
      </w:r>
    </w:p>
    <w:p>
      <w:pPr>
        <w:pStyle w:val="Heading2"/>
        <w:spacing w:after="150" w:before="300"/>
        <w:outlineLvl w:val="1"/>
      </w:pPr>
      <w:r>
        <w:t xml:space="preserve">3.5 Chirurgie assistée par IA</w:t>
      </w:r>
    </w:p>
    <w:p>
      <w:pPr>
        <w:spacing w:after="160" w:line="300"/>
      </w:pPr>
      <w:r>
        <w:rPr>
          <w:color w:val="262626"/>
          <w:sz w:val="22"/>
          <w:szCs w:val="22"/>
        </w:rPr>
        <w:t xml:space="preserve">Sous-segment en forte croissance, porté par la robotique chirurgicale augmentée par IA, qui surpasse désormais la MedTech générale en dynamique de marché. L'Amérique du Nord conserve 51 % de part de marché mondiale sur ce segment, portée par des modèles de remboursement hospitaliers favorables, tandis que l'Asie-Pacifique affiche le taux de croissance le plus rapide (TCAC ≈ 24 %), avec une automatisation croissante des centres chirurgicaux à fort volume.</w:t>
      </w:r>
    </w:p>
    <w:p>
      <w:pPr>
        <w:pStyle w:val="Heading1"/>
        <w:spacing w:after="200" w:before="400"/>
        <w:outlineLvl w:val="0"/>
      </w:pPr>
      <w:r>
        <w:t xml:space="preserve">4. Synthèse comparative transversale</w:t>
      </w:r>
    </w:p>
    <w:tbl>
      <w:tblPr>
        <w:tblW w:type="pct" w:w="100%"/>
        <w:tblBorders>
          <w:top w:val="single" w:color="BFBFBF" w:sz="2"/>
          <w:left w:val="single" w:color="BFBFBF" w:sz="2"/>
          <w:bottom w:val="single" w:color="BFBFBF" w:sz="2"/>
          <w:right w:val="single" w:color="BFBFBF" w:sz="2"/>
          <w:insideH w:val="single" w:color="D9D9D9" w:sz="2"/>
          <w:insideV w:val="single" w:color="D9D9D9" w:sz="2"/>
        </w:tblBorders>
      </w:tblPr>
      <w:tblGrid>
        <w:gridCol w:w="1980"/>
        <w:gridCol w:w="3420"/>
        <w:gridCol w:w="3600"/>
      </w:tblGrid>
      <w:tr>
        <w:trPr>
          <w:tblHeader/>
        </w:trPr>
        <w:tc>
          <w:tcPr>
            <w:tcW w:type="pct" w:w="22%"/>
            <w:shd w:fill="1F3864" w:val="clear"/>
            <w:tcMar>
              <w:top w:type="dxa" w:w="100"/>
              <w:left w:type="dxa" w:w="120"/>
              <w:bottom w:type="dxa" w:w="100"/>
              <w:right w:type="dxa" w:w="120"/>
            </w:tcMar>
            <w:vAlign w:val="center"/>
          </w:tcPr>
          <w:p>
            <w:pPr>
              <w:jc w:val="left"/>
            </w:pPr>
            <w:r>
              <w:rPr>
                <w:b/>
                <w:bCs/>
                <w:color w:val="FFFFFF"/>
                <w:sz w:val="18"/>
                <w:szCs w:val="18"/>
              </w:rPr>
              <w:t xml:space="preserve">Segment</w:t>
            </w:r>
          </w:p>
        </w:tc>
        <w:tc>
          <w:tcPr>
            <w:tcW w:type="pct" w:w="38%"/>
            <w:shd w:fill="1F3864" w:val="clear"/>
            <w:tcMar>
              <w:top w:type="dxa" w:w="100"/>
              <w:left w:type="dxa" w:w="120"/>
              <w:bottom w:type="dxa" w:w="100"/>
              <w:right w:type="dxa" w:w="120"/>
            </w:tcMar>
            <w:vAlign w:val="center"/>
          </w:tcPr>
          <w:p>
            <w:pPr>
              <w:jc w:val="left"/>
            </w:pPr>
            <w:r>
              <w:rPr>
                <w:b/>
                <w:bCs/>
                <w:color w:val="FFFFFF"/>
                <w:sz w:val="18"/>
                <w:szCs w:val="18"/>
              </w:rPr>
              <w:t xml:space="preserve">Éditeurs de référence</w:t>
            </w:r>
          </w:p>
        </w:tc>
        <w:tc>
          <w:tcPr>
            <w:tcW w:type="pct" w:w="40%"/>
            <w:shd w:fill="1F3864" w:val="clear"/>
            <w:tcMar>
              <w:top w:type="dxa" w:w="100"/>
              <w:left w:type="dxa" w:w="120"/>
              <w:bottom w:type="dxa" w:w="100"/>
              <w:right w:type="dxa" w:w="120"/>
            </w:tcMar>
            <w:vAlign w:val="center"/>
          </w:tcPr>
          <w:p>
            <w:pPr>
              <w:jc w:val="left"/>
            </w:pPr>
            <w:r>
              <w:rPr>
                <w:b/>
                <w:bCs/>
                <w:color w:val="FFFFFF"/>
                <w:sz w:val="18"/>
                <w:szCs w:val="18"/>
              </w:rPr>
              <w:t xml:space="preserve">Niveau de preuve / statut</w:t>
            </w:r>
          </w:p>
        </w:tc>
      </w:tr>
      <w:tr>
        <w:tc>
          <w:tcPr>
            <w:tcW w:type="pct" w:w="22%"/>
            <w:shd w:fill="FFFFFF" w:val="clear"/>
            <w:tcMar>
              <w:top w:type="dxa" w:w="100"/>
              <w:left w:type="dxa" w:w="120"/>
              <w:bottom w:type="dxa" w:w="100"/>
              <w:right w:type="dxa" w:w="120"/>
            </w:tcMar>
            <w:vAlign w:val="center"/>
          </w:tcPr>
          <w:p>
            <w:pPr>
              <w:jc w:val="left"/>
            </w:pPr>
            <w:r>
              <w:rPr>
                <w:color w:val="262626"/>
                <w:sz w:val="18"/>
                <w:szCs w:val="18"/>
              </w:rPr>
              <w:t xml:space="preserve">Imagerie / radiologie</w:t>
            </w:r>
          </w:p>
        </w:tc>
        <w:tc>
          <w:tcPr>
            <w:tcW w:type="pct" w:w="38%"/>
            <w:shd w:fill="FFFFFF" w:val="clear"/>
            <w:tcMar>
              <w:top w:type="dxa" w:w="100"/>
              <w:left w:type="dxa" w:w="120"/>
              <w:bottom w:type="dxa" w:w="100"/>
              <w:right w:type="dxa" w:w="120"/>
            </w:tcMar>
            <w:vAlign w:val="center"/>
          </w:tcPr>
          <w:p>
            <w:pPr>
              <w:jc w:val="left"/>
            </w:pPr>
            <w:r>
              <w:rPr>
                <w:color w:val="262626"/>
                <w:sz w:val="18"/>
                <w:szCs w:val="18"/>
              </w:rPr>
              <w:t xml:space="preserve">Aidoc, Viz.ai, Qure.ai, Lunit, Zebra Medical</w:t>
            </w:r>
          </w:p>
        </w:tc>
        <w:tc>
          <w:tcPr>
            <w:tcW w:type="pct" w:w="40%"/>
            <w:shd w:fill="FFFFFF" w:val="clear"/>
            <w:tcMar>
              <w:top w:type="dxa" w:w="100"/>
              <w:left w:type="dxa" w:w="120"/>
              <w:bottom w:type="dxa" w:w="100"/>
              <w:right w:type="dxa" w:w="120"/>
            </w:tcMar>
            <w:vAlign w:val="center"/>
          </w:tcPr>
          <w:p>
            <w:pPr>
              <w:jc w:val="left"/>
            </w:pPr>
            <w:r>
              <w:rPr>
                <w:color w:val="262626"/>
                <w:sz w:val="18"/>
                <w:szCs w:val="18"/>
              </w:rPr>
              <w:t xml:space="preserve">Segment le plus mature ; majorité des dispositifs autorisés FDA</w:t>
            </w:r>
          </w:p>
        </w:tc>
      </w:tr>
      <w:tr>
        <w:tc>
          <w:tcPr>
            <w:tcW w:type="pct" w:w="22%"/>
            <w:shd w:fill="EDF2F7" w:val="clear"/>
            <w:tcMar>
              <w:top w:type="dxa" w:w="100"/>
              <w:left w:type="dxa" w:w="120"/>
              <w:bottom w:type="dxa" w:w="100"/>
              <w:right w:type="dxa" w:w="120"/>
            </w:tcMar>
            <w:vAlign w:val="center"/>
          </w:tcPr>
          <w:p>
            <w:pPr>
              <w:jc w:val="left"/>
            </w:pPr>
            <w:r>
              <w:rPr>
                <w:color w:val="262626"/>
                <w:sz w:val="18"/>
                <w:szCs w:val="18"/>
              </w:rPr>
              <w:t xml:space="preserve">Anatomopathologie / oncologie</w:t>
            </w:r>
          </w:p>
        </w:tc>
        <w:tc>
          <w:tcPr>
            <w:tcW w:type="pct" w:w="38%"/>
            <w:shd w:fill="EDF2F7" w:val="clear"/>
            <w:tcMar>
              <w:top w:type="dxa" w:w="100"/>
              <w:left w:type="dxa" w:w="120"/>
              <w:bottom w:type="dxa" w:w="100"/>
              <w:right w:type="dxa" w:w="120"/>
            </w:tcMar>
            <w:vAlign w:val="center"/>
          </w:tcPr>
          <w:p>
            <w:pPr>
              <w:jc w:val="left"/>
            </w:pPr>
            <w:r>
              <w:rPr>
                <w:color w:val="262626"/>
                <w:sz w:val="18"/>
                <w:szCs w:val="18"/>
              </w:rPr>
              <w:t xml:space="preserve">PathAI, Paige, Tempus AI, Ibex, Proscia</w:t>
            </w:r>
          </w:p>
        </w:tc>
        <w:tc>
          <w:tcPr>
            <w:tcW w:type="pct" w:w="40%"/>
            <w:shd w:fill="EDF2F7" w:val="clear"/>
            <w:tcMar>
              <w:top w:type="dxa" w:w="100"/>
              <w:left w:type="dxa" w:w="120"/>
              <w:bottom w:type="dxa" w:w="100"/>
              <w:right w:type="dxa" w:w="120"/>
            </w:tcMar>
            <w:vAlign w:val="center"/>
          </w:tcPr>
          <w:p>
            <w:pPr>
              <w:jc w:val="left"/>
            </w:pPr>
            <w:r>
              <w:rPr>
                <w:color w:val="262626"/>
                <w:sz w:val="18"/>
                <w:szCs w:val="18"/>
              </w:rPr>
              <w:t xml:space="preserve">Autorisations FDA en cours de multiplication, foundation models en déploiement</w:t>
            </w:r>
          </w:p>
        </w:tc>
      </w:tr>
      <w:tr>
        <w:tc>
          <w:tcPr>
            <w:tcW w:type="pct" w:w="22%"/>
            <w:shd w:fill="FFFFFF" w:val="clear"/>
            <w:tcMar>
              <w:top w:type="dxa" w:w="100"/>
              <w:left w:type="dxa" w:w="120"/>
              <w:bottom w:type="dxa" w:w="100"/>
              <w:right w:type="dxa" w:w="120"/>
            </w:tcMar>
            <w:vAlign w:val="center"/>
          </w:tcPr>
          <w:p>
            <w:pPr>
              <w:jc w:val="left"/>
            </w:pPr>
            <w:r>
              <w:rPr>
                <w:color w:val="262626"/>
                <w:sz w:val="18"/>
                <w:szCs w:val="18"/>
              </w:rPr>
              <w:t xml:space="preserve">Découverte de médicaments</w:t>
            </w:r>
          </w:p>
        </w:tc>
        <w:tc>
          <w:tcPr>
            <w:tcW w:type="pct" w:w="38%"/>
            <w:shd w:fill="FFFFFF" w:val="clear"/>
            <w:tcMar>
              <w:top w:type="dxa" w:w="100"/>
              <w:left w:type="dxa" w:w="120"/>
              <w:bottom w:type="dxa" w:w="100"/>
              <w:right w:type="dxa" w:w="120"/>
            </w:tcMar>
            <w:vAlign w:val="center"/>
          </w:tcPr>
          <w:p>
            <w:pPr>
              <w:jc w:val="left"/>
            </w:pPr>
            <w:r>
              <w:rPr>
                <w:color w:val="262626"/>
                <w:sz w:val="18"/>
                <w:szCs w:val="18"/>
              </w:rPr>
              <w:t xml:space="preserve">Insilico Medicine, Isomorphic Labs, Recursion, Schrödinger</w:t>
            </w:r>
          </w:p>
        </w:tc>
        <w:tc>
          <w:tcPr>
            <w:tcW w:type="pct" w:w="40%"/>
            <w:shd w:fill="FFFFFF" w:val="clear"/>
            <w:tcMar>
              <w:top w:type="dxa" w:w="100"/>
              <w:left w:type="dxa" w:w="120"/>
              <w:bottom w:type="dxa" w:w="100"/>
              <w:right w:type="dxa" w:w="120"/>
            </w:tcMar>
            <w:vAlign w:val="center"/>
          </w:tcPr>
          <w:p>
            <w:pPr>
              <w:jc w:val="left"/>
            </w:pPr>
            <w:r>
              <w:rPr>
                <w:color w:val="262626"/>
                <w:sz w:val="18"/>
                <w:szCs w:val="18"/>
              </w:rPr>
              <w:t xml:space="preserve">Un seul candidat en phase 2 issu d'une conception 100 % IA ; aucun médicament IA approuvé à ce jour</w:t>
            </w:r>
          </w:p>
        </w:tc>
      </w:tr>
      <w:tr>
        <w:tc>
          <w:tcPr>
            <w:tcW w:type="pct" w:w="22%"/>
            <w:shd w:fill="EDF2F7" w:val="clear"/>
            <w:tcMar>
              <w:top w:type="dxa" w:w="100"/>
              <w:left w:type="dxa" w:w="120"/>
              <w:bottom w:type="dxa" w:w="100"/>
              <w:right w:type="dxa" w:w="120"/>
            </w:tcMar>
            <w:vAlign w:val="center"/>
          </w:tcPr>
          <w:p>
            <w:pPr>
              <w:jc w:val="left"/>
            </w:pPr>
            <w:r>
              <w:rPr>
                <w:color w:val="262626"/>
                <w:sz w:val="18"/>
                <w:szCs w:val="18"/>
              </w:rPr>
              <w:t xml:space="preserve">Documentation clinique</w:t>
            </w:r>
          </w:p>
        </w:tc>
        <w:tc>
          <w:tcPr>
            <w:tcW w:type="pct" w:w="38%"/>
            <w:shd w:fill="EDF2F7" w:val="clear"/>
            <w:tcMar>
              <w:top w:type="dxa" w:w="100"/>
              <w:left w:type="dxa" w:w="120"/>
              <w:bottom w:type="dxa" w:w="100"/>
              <w:right w:type="dxa" w:w="120"/>
            </w:tcMar>
            <w:vAlign w:val="center"/>
          </w:tcPr>
          <w:p>
            <w:pPr>
              <w:jc w:val="left"/>
            </w:pPr>
            <w:r>
              <w:rPr>
                <w:color w:val="262626"/>
                <w:sz w:val="18"/>
                <w:szCs w:val="18"/>
              </w:rPr>
              <w:t xml:space="preserve">Abridge, Microsoft Dragon Copilot, Suki, Nabla, Freed</w:t>
            </w:r>
          </w:p>
        </w:tc>
        <w:tc>
          <w:tcPr>
            <w:tcW w:type="pct" w:w="40%"/>
            <w:shd w:fill="EDF2F7" w:val="clear"/>
            <w:tcMar>
              <w:top w:type="dxa" w:w="100"/>
              <w:left w:type="dxa" w:w="120"/>
              <w:bottom w:type="dxa" w:w="100"/>
              <w:right w:type="dxa" w:w="120"/>
            </w:tcMar>
            <w:vAlign w:val="center"/>
          </w:tcPr>
          <w:p>
            <w:pPr>
              <w:jc w:val="left"/>
            </w:pPr>
            <w:r>
              <w:rPr>
                <w:color w:val="262626"/>
                <w:sz w:val="18"/>
                <w:szCs w:val="18"/>
              </w:rPr>
              <w:t xml:space="preserve">Adoption massive (&gt;70 % des grands réseaux US) ; preuve clinique JAMA 2026 disponible</w:t>
            </w:r>
          </w:p>
        </w:tc>
      </w:tr>
      <w:tr>
        <w:tc>
          <w:tcPr>
            <w:tcW w:type="pct" w:w="22%"/>
            <w:shd w:fill="FFFFFF" w:val="clear"/>
            <w:tcMar>
              <w:top w:type="dxa" w:w="100"/>
              <w:left w:type="dxa" w:w="120"/>
              <w:bottom w:type="dxa" w:w="100"/>
              <w:right w:type="dxa" w:w="120"/>
            </w:tcMar>
            <w:vAlign w:val="center"/>
          </w:tcPr>
          <w:p>
            <w:pPr>
              <w:jc w:val="left"/>
            </w:pPr>
            <w:r>
              <w:rPr>
                <w:color w:val="262626"/>
                <w:sz w:val="18"/>
                <w:szCs w:val="18"/>
              </w:rPr>
              <w:t xml:space="preserve">Triage symptômes / diagnostic patient</w:t>
            </w:r>
          </w:p>
        </w:tc>
        <w:tc>
          <w:tcPr>
            <w:tcW w:type="pct" w:w="38%"/>
            <w:shd w:fill="FFFFFF" w:val="clear"/>
            <w:tcMar>
              <w:top w:type="dxa" w:w="100"/>
              <w:left w:type="dxa" w:w="120"/>
              <w:bottom w:type="dxa" w:w="100"/>
              <w:right w:type="dxa" w:w="120"/>
            </w:tcMar>
            <w:vAlign w:val="center"/>
          </w:tcPr>
          <w:p>
            <w:pPr>
              <w:jc w:val="left"/>
            </w:pPr>
            <w:r>
              <w:rPr>
                <w:color w:val="262626"/>
                <w:sz w:val="18"/>
                <w:szCs w:val="18"/>
              </w:rPr>
              <w:t xml:space="preserve">Ada Health, Infermedica</w:t>
            </w:r>
          </w:p>
        </w:tc>
        <w:tc>
          <w:tcPr>
            <w:tcW w:type="pct" w:w="40%"/>
            <w:shd w:fill="FFFFFF" w:val="clear"/>
            <w:tcMar>
              <w:top w:type="dxa" w:w="100"/>
              <w:left w:type="dxa" w:w="120"/>
              <w:bottom w:type="dxa" w:w="100"/>
              <w:right w:type="dxa" w:w="120"/>
            </w:tcMar>
            <w:vAlign w:val="center"/>
          </w:tcPr>
          <w:p>
            <w:pPr>
              <w:jc w:val="left"/>
            </w:pPr>
            <w:r>
              <w:rPr>
                <w:color w:val="262626"/>
                <w:sz w:val="18"/>
                <w:szCs w:val="18"/>
              </w:rPr>
              <w:t xml:space="preserve">Usage established mais complémentaire, moins critique cliniquement</w:t>
            </w:r>
          </w:p>
        </w:tc>
      </w:tr>
      <w:tr>
        <w:tc>
          <w:tcPr>
            <w:tcW w:type="pct" w:w="22%"/>
            <w:shd w:fill="EDF2F7" w:val="clear"/>
            <w:tcMar>
              <w:top w:type="dxa" w:w="100"/>
              <w:left w:type="dxa" w:w="120"/>
              <w:bottom w:type="dxa" w:w="100"/>
              <w:right w:type="dxa" w:w="120"/>
            </w:tcMar>
            <w:vAlign w:val="center"/>
          </w:tcPr>
          <w:p>
            <w:pPr>
              <w:jc w:val="left"/>
            </w:pPr>
            <w:r>
              <w:rPr>
                <w:color w:val="262626"/>
                <w:sz w:val="18"/>
                <w:szCs w:val="18"/>
              </w:rPr>
              <w:t xml:space="preserve">Chirurgie assistée</w:t>
            </w:r>
          </w:p>
        </w:tc>
        <w:tc>
          <w:tcPr>
            <w:tcW w:type="pct" w:w="38%"/>
            <w:shd w:fill="EDF2F7" w:val="clear"/>
            <w:tcMar>
              <w:top w:type="dxa" w:w="100"/>
              <w:left w:type="dxa" w:w="120"/>
              <w:bottom w:type="dxa" w:w="100"/>
              <w:right w:type="dxa" w:w="120"/>
            </w:tcMar>
            <w:vAlign w:val="center"/>
          </w:tcPr>
          <w:p>
            <w:pPr>
              <w:jc w:val="left"/>
            </w:pPr>
            <w:r>
              <w:rPr>
                <w:color w:val="262626"/>
                <w:sz w:val="18"/>
                <w:szCs w:val="18"/>
              </w:rPr>
              <w:t xml:space="preserve">Intuitive Surgical et acteurs robotique augmentée IA</w:t>
            </w:r>
          </w:p>
        </w:tc>
        <w:tc>
          <w:tcPr>
            <w:tcW w:type="pct" w:w="40%"/>
            <w:shd w:fill="EDF2F7" w:val="clear"/>
            <w:tcMar>
              <w:top w:type="dxa" w:w="100"/>
              <w:left w:type="dxa" w:w="120"/>
              <w:bottom w:type="dxa" w:w="100"/>
              <w:right w:type="dxa" w:w="120"/>
            </w:tcMar>
            <w:vAlign w:val="center"/>
          </w:tcPr>
          <w:p>
            <w:pPr>
              <w:jc w:val="left"/>
            </w:pPr>
            <w:r>
              <w:rPr>
                <w:color w:val="262626"/>
                <w:sz w:val="18"/>
                <w:szCs w:val="18"/>
              </w:rPr>
              <w:t xml:space="preserve">Croissance forte, forte dépendance aux modèles de remboursement locaux</w:t>
            </w:r>
          </w:p>
        </w:tc>
      </w:tr>
    </w:tbl>
    <w:p>
      <w:pPr>
        <w:pStyle w:val="Heading1"/>
        <w:spacing w:after="200" w:before="400"/>
        <w:outlineLvl w:val="0"/>
      </w:pPr>
      <w:r>
        <w:t xml:space="preserve">5. Enjeux, limites et points de vigilance</w:t>
      </w:r>
    </w:p>
    <w:p>
      <w:pPr>
        <w:pStyle w:val="ListParagraph"/>
        <w:numPr>
          <w:ilvl w:val="0"/>
          <w:numId w:val="2"/>
        </w:numPr>
        <w:spacing w:after="100" w:line="280"/>
      </w:pPr>
      <w:r>
        <w:rPr>
          <w:color w:val="262626"/>
          <w:sz w:val="22"/>
          <w:szCs w:val="22"/>
        </w:rPr>
        <w:t xml:space="preserve">Généralisation hors institution d'origine : les modèles d'imagerie perdent jusqu'à 24 % de spécificité lorsqu'ils sont déployés hors de leur institution d'entraînement</w:t>
      </w:r>
    </w:p>
    <w:p>
      <w:pPr>
        <w:pStyle w:val="ListParagraph"/>
        <w:numPr>
          <w:ilvl w:val="0"/>
          <w:numId w:val="2"/>
        </w:numPr>
        <w:spacing w:after="100" w:line="280"/>
      </w:pPr>
      <w:r>
        <w:rPr>
          <w:color w:val="262626"/>
          <w:sz w:val="22"/>
          <w:szCs w:val="22"/>
        </w:rPr>
        <w:t xml:space="preserve">Transparence démographique insuffisante : une revue de 692 dispositifs FDA autorisés entre 1995 et 2023 montre que seuls 3,6 % rapportent l'origine ethnique des cohortes de validation, et moins de 1 % les données socio-économiques</w:t>
      </w:r>
    </w:p>
    <w:p>
      <w:pPr>
        <w:pStyle w:val="ListParagraph"/>
        <w:numPr>
          <w:ilvl w:val="0"/>
          <w:numId w:val="2"/>
        </w:numPr>
        <w:spacing w:after="100" w:line="280"/>
      </w:pPr>
      <w:r>
        <w:rPr>
          <w:color w:val="262626"/>
          <w:sz w:val="22"/>
          <w:szCs w:val="22"/>
        </w:rPr>
        <w:t xml:space="preserve">« Function creep » réglementaire : près d'un cinquième des dispositifs IA commercialisés aux États-Unis décrivent des capacités non couvertes par leur autorisation initiale</w:t>
      </w:r>
    </w:p>
    <w:p>
      <w:pPr>
        <w:pStyle w:val="ListParagraph"/>
        <w:numPr>
          <w:ilvl w:val="0"/>
          <w:numId w:val="2"/>
        </w:numPr>
        <w:spacing w:after="100" w:line="280"/>
      </w:pPr>
      <w:r>
        <w:rPr>
          <w:color w:val="262626"/>
          <w:sz w:val="22"/>
          <w:szCs w:val="22"/>
        </w:rPr>
        <w:t xml:space="preserve">Absence de traceur unifié : il n'existe pas de registre officiel unique des essais cliniques « découverts par IA », chaque acteur appliquant sa propre définition</w:t>
      </w:r>
    </w:p>
    <w:p>
      <w:pPr>
        <w:pStyle w:val="ListParagraph"/>
        <w:numPr>
          <w:ilvl w:val="0"/>
          <w:numId w:val="2"/>
        </w:numPr>
        <w:spacing w:after="100" w:line="280"/>
      </w:pPr>
      <w:r>
        <w:rPr>
          <w:color w:val="262626"/>
          <w:sz w:val="22"/>
          <w:szCs w:val="22"/>
        </w:rPr>
        <w:t xml:space="preserve">Aucun dispositif à IA générative/LLM autorisé par la FDA à ce jour (mars 2026), alors que ces modèles se diffusent rapidement dans les usages non réglementés (documentation, triage)</w:t>
      </w:r>
    </w:p>
    <w:p>
      <w:pPr>
        <w:pStyle w:val="Heading1"/>
        <w:spacing w:after="200" w:before="400"/>
        <w:outlineLvl w:val="0"/>
      </w:pPr>
      <w:r>
        <w:t xml:space="preserve">6. Dispositif de veille adapté à ce domaine</w:t>
      </w:r>
    </w:p>
    <w:p>
      <w:pPr>
        <w:spacing w:after="160" w:line="300"/>
      </w:pPr>
      <w:r>
        <w:rPr>
          <w:color w:val="262626"/>
          <w:sz w:val="22"/>
          <w:szCs w:val="22"/>
        </w:rPr>
        <w:t xml:space="preserve">La méthodologie et le cycle de veille présentés dans le volet précédent (expression des besoins, collecte, analyse, diffusion, évaluation) s'appliquent directement à ce domaine, avec des sources spécifiques au secteur biomédical :</w:t>
      </w:r>
    </w:p>
    <w:p>
      <w:pPr>
        <w:pStyle w:val="ListParagraph"/>
        <w:numPr>
          <w:ilvl w:val="0"/>
          <w:numId w:val="2"/>
        </w:numPr>
        <w:spacing w:after="100" w:line="280"/>
      </w:pPr>
      <w:r>
        <w:rPr>
          <w:color w:val="262626"/>
          <w:sz w:val="22"/>
          <w:szCs w:val="22"/>
        </w:rPr>
        <w:t xml:space="preserve">PubMed / NCBI Entrez — publications scientifiques et essais précliniques</w:t>
      </w:r>
    </w:p>
    <w:p>
      <w:pPr>
        <w:pStyle w:val="ListParagraph"/>
        <w:numPr>
          <w:ilvl w:val="0"/>
          <w:numId w:val="2"/>
        </w:numPr>
        <w:spacing w:after="100" w:line="280"/>
      </w:pPr>
      <w:r>
        <w:rPr>
          <w:color w:val="262626"/>
          <w:sz w:val="22"/>
          <w:szCs w:val="22"/>
        </w:rPr>
        <w:t xml:space="preserve">ClinicalTrials.gov — suivi en temps réel des essais cliniques par pathologie et par sponsor</w:t>
      </w:r>
    </w:p>
    <w:p>
      <w:pPr>
        <w:pStyle w:val="ListParagraph"/>
        <w:numPr>
          <w:ilvl w:val="0"/>
          <w:numId w:val="2"/>
        </w:numPr>
        <w:spacing w:after="100" w:line="280"/>
      </w:pPr>
      <w:r>
        <w:rPr>
          <w:color w:val="262626"/>
          <w:sz w:val="22"/>
          <w:szCs w:val="22"/>
        </w:rPr>
        <w:t xml:space="preserve">Base FDA des dispositifs médicaux autorisés (AI/ML-Enabled Medical Devices List) — mise à jour annuelle, complétée par un suivi trimestriel via la presse spécialisée</w:t>
      </w:r>
    </w:p>
    <w:p>
      <w:pPr>
        <w:pStyle w:val="ListParagraph"/>
        <w:numPr>
          <w:ilvl w:val="0"/>
          <w:numId w:val="2"/>
        </w:numPr>
        <w:spacing w:after="100" w:line="280"/>
      </w:pPr>
      <w:r>
        <w:rPr>
          <w:color w:val="262626"/>
          <w:sz w:val="22"/>
          <w:szCs w:val="22"/>
        </w:rPr>
        <w:t xml:space="preserve">KLAS Research — classements de performance sectoriels (ex. Best in KLAS Ambient Speech)</w:t>
      </w:r>
    </w:p>
    <w:p>
      <w:pPr>
        <w:pStyle w:val="ListParagraph"/>
        <w:numPr>
          <w:ilvl w:val="0"/>
          <w:numId w:val="2"/>
        </w:numPr>
        <w:spacing w:after="100" w:line="280"/>
      </w:pPr>
      <w:r>
        <w:rPr>
          <w:color w:val="262626"/>
          <w:sz w:val="22"/>
          <w:szCs w:val="22"/>
        </w:rPr>
        <w:t xml:space="preserve">Presse spécialisée : IntuitionLabs, Medical Futurist, STAT News, Endpoints News</w:t>
      </w:r>
    </w:p>
    <w:p>
      <w:pPr>
        <w:spacing w:after="160" w:line="300"/>
      </w:pPr>
      <w:r>
        <w:rPr>
          <w:color w:val="262626"/>
          <w:sz w:val="22"/>
          <w:szCs w:val="22"/>
        </w:rPr>
        <w:t xml:space="preserve">Le pipeline technique développé pour ce projet (collecte PubMed + ClinicalTrials.gov, enrichissement par IA, restitution via tableau de bord Streamlit) constitue l'outil opérationnel de ce dispositif de veille ; il est finalisé et livré séparément.</w:t>
      </w:r>
    </w:p>
    <w:p>
      <w:pPr>
        <w:pStyle w:val="Heading1"/>
        <w:spacing w:after="200" w:before="400"/>
        <w:outlineLvl w:val="0"/>
      </w:pPr>
      <w:r>
        <w:t xml:space="preserve">Conclusion</w:t>
      </w:r>
    </w:p>
    <w:p>
      <w:pPr>
        <w:spacing w:after="160" w:line="300"/>
      </w:pPr>
      <w:r>
        <w:rPr>
          <w:color w:val="262626"/>
          <w:sz w:val="22"/>
          <w:szCs w:val="22"/>
        </w:rPr>
        <w:t xml:space="preserve">Le paysage de l'IA médicale en 2026 se caractérise par une maturité très inégale selon les segments : l'imagerie et la radiologie ont atteint un stade commercial et réglementaire avancé, avec plus de 1 500 dispositifs autorisés par la FDA, tandis que la découverte de médicaments par IA reste au milieu du gué, avec des gains de vitesse démontrés en amont mais aucun médicament encore approuvé. La documentation clinique s'impose comme le cas d'usage à la diffusion la plus rapide, porté par un besoin opérationnel immédiat (réduction du temps administratif et du risque de burnout). Pour toute organisation évaluant ce secteur, la vigilance doit porter autant sur les chiffres de croissance que sur les limites documentées : généralisation hors institution, transparence démographique et absence, à ce jour, de dispositif à IA générative validé par les autorités réglementaires.</w:t>
      </w:r>
    </w:p>
    <w:p>
      <w:pPr>
        <w:spacing w:before="600"/>
        <w:jc w:val="center"/>
      </w:pPr>
      <w:r>
        <w:rPr>
          <w:i/>
          <w:iCs/>
          <w:color w:val="595959"/>
          <w:sz w:val="20"/>
          <w:szCs w:val="20"/>
        </w:rPr>
        <w:t xml:space="preserve">— Fin du dossier —</w:t>
      </w:r>
    </w:p>
    <w:sectPr>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2E5C8A"/>
      <w:sz w:val="26"/>
      <w:szCs w:val="26"/>
    </w:rPr>
  </w:style>
  <w:style w:type="paragraph" w:styleId="Heading3">
    <w:name w:val="Heading 3"/>
    <w:basedOn w:val="Normal"/>
    <w:next w:val="Normal"/>
    <w:qFormat/>
    <w:pPr>
      <w:spacing w:after="120" w:before="220"/>
    </w:pPr>
    <w:rPr>
      <w:rFonts w:ascii="Calibri" w:cs="Calibri" w:eastAsia="Calibri" w:hAnsi="Calibri"/>
      <w:b/>
      <w:bCs/>
      <w:color w:val="2E7D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2026-09-09T07:58:47.371Z</dcterms:created>
  <dcterms:modified xsi:type="dcterms:W3CDTF">2026-09-09T07:58:47.382Z</dcterms:modified>
</cp:coreProperties>
</file>

<file path=docProps/custom.xml><?xml version="1.0" encoding="utf-8"?>
<Properties xmlns="http://schemas.openxmlformats.org/officeDocument/2006/custom-properties" xmlns:vt="http://schemas.openxmlformats.org/officeDocument/2006/docPropsVTypes"/>
</file>