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5F30" w:rsidRPr="002972C1" w:rsidRDefault="009B1277">
      <w:pPr>
        <w:jc w:val="center"/>
        <w:rPr>
          <w:rFonts w:hint="eastAsia"/>
          <w:lang w:val="fr-FR"/>
        </w:rPr>
      </w:pPr>
      <w:r w:rsidRPr="002972C1">
        <w:rPr>
          <w:b/>
          <w:sz w:val="22"/>
          <w:lang w:val="fr-FR"/>
        </w:rPr>
        <w:t>CENTRE DE DÉVELOPPEMENT DES TECHNOLOGIES AVANCÉES (CDTA)</w:t>
      </w:r>
    </w:p>
    <w:p w:rsidR="00E25F30" w:rsidRDefault="009B1277">
      <w:pPr>
        <w:jc w:val="center"/>
        <w:rPr>
          <w:rFonts w:hint="eastAsia"/>
        </w:rPr>
      </w:pPr>
      <w:r>
        <w:rPr>
          <w:b/>
          <w:sz w:val="22"/>
        </w:rPr>
        <w:t>INTERNSHIP PROGRESS REPORT</w:t>
      </w:r>
    </w:p>
    <w:p w:rsidR="00E25F30" w:rsidRDefault="009B1277">
      <w:pPr>
        <w:jc w:val="center"/>
        <w:rPr>
          <w:rFonts w:hint="eastAsia"/>
        </w:rPr>
      </w:pPr>
      <w:r>
        <w:rPr>
          <w:b/>
          <w:sz w:val="26"/>
        </w:rPr>
        <w:t>TASK 2 | Classical Machine Learning Model Development and Evaluation</w:t>
      </w:r>
    </w:p>
    <w:p w:rsidR="00E25F30" w:rsidRDefault="009B1277">
      <w:pPr>
        <w:jc w:val="center"/>
        <w:rPr>
          <w:rFonts w:hint="eastAsia"/>
        </w:rPr>
      </w:pPr>
      <w:r>
        <w:t>Shimmer Human Activity Recognition Dataset</w:t>
      </w:r>
    </w:p>
    <w:p w:rsidR="00E25F30" w:rsidRDefault="009B1277">
      <w:pPr>
        <w:rPr>
          <w:rFonts w:hint="eastAsia"/>
        </w:rPr>
      </w:pPr>
      <w:r>
        <w:t xml:space="preserve">Supervisor: Dr Kerdjidj Oussama  |  Reporting period: </w:t>
      </w:r>
      <w:r>
        <w:t>October 2026</w:t>
      </w:r>
    </w:p>
    <w:p w:rsidR="00E25F30" w:rsidRDefault="009B1277">
      <w:pPr>
        <w:rPr>
          <w:rFonts w:hint="eastAsia"/>
        </w:rPr>
      </w:pPr>
      <w:r>
        <w:t>Status: Preliminary KNN experiments completed; recording structure and evaluation protocol pending verification.</w:t>
      </w:r>
    </w:p>
    <w:p w:rsidR="00E25F30" w:rsidRDefault="00FE25A6">
      <w:pPr>
        <w:pStyle w:val="Heading1"/>
      </w:pPr>
      <w:r>
        <w:t>1</w:t>
      </w:r>
      <w:r w:rsidR="009B1277">
        <w:t>. Classical models and experiment design</w:t>
      </w:r>
    </w:p>
    <w:p w:rsidR="00E25F30" w:rsidRDefault="009B1277">
      <w:pPr>
        <w:rPr>
          <w:rFonts w:hint="eastAsia"/>
        </w:rPr>
      </w:pPr>
      <w:r>
        <w:t>The training script defines a standardized SVC pipeline, a standardized KNN pipeline, and an unscaled De</w:t>
      </w:r>
      <w:r>
        <w:t>cisionTreeClassifier. StandardScaler is inside the KNN/SVM pipelines, so scaling is learned only from the relevant training folds. Data are split 80% train / 20% test with class stratification, repeated using seeds 0–9. Within each outer training partition</w:t>
      </w:r>
      <w:r>
        <w:t>, KNN tuning uses five-fold StratifiedKFold and GridSearchCV scored by multiclass Matthews Correlation Coefficient (MCC).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25F30" w:rsidTr="00E25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5F30" w:rsidRDefault="009B1277">
            <w:pPr>
              <w:rPr>
                <w:rFonts w:hint="eastAsia"/>
              </w:rPr>
            </w:pPr>
            <w:r>
              <w:t>Algorithm</w:t>
            </w:r>
          </w:p>
        </w:tc>
        <w:tc>
          <w:tcPr>
            <w:tcW w:w="4320" w:type="dxa"/>
          </w:tcPr>
          <w:p w:rsidR="00E25F30" w:rsidRDefault="009B12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Current configuration</w:t>
            </w:r>
          </w:p>
        </w:tc>
      </w:tr>
      <w:tr w:rsidR="00E25F30" w:rsidTr="00E25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5F30" w:rsidRDefault="009B1277">
            <w:pPr>
              <w:rPr>
                <w:rFonts w:hint="eastAsia"/>
              </w:rPr>
            </w:pPr>
            <w:r>
              <w:t>KNN</w:t>
            </w:r>
          </w:p>
        </w:tc>
        <w:tc>
          <w:tcPr>
            <w:tcW w:w="4320" w:type="dxa"/>
          </w:tcPr>
          <w:p w:rsidR="00E25F30" w:rsidRDefault="009B1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Tuned using 1–30 neighbors, uniform/distance weights, Minkowski p=1 or 2</w:t>
            </w:r>
          </w:p>
        </w:tc>
      </w:tr>
      <w:tr w:rsidR="00E25F30" w:rsidTr="00E25F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5F30" w:rsidRDefault="009B1277">
            <w:pPr>
              <w:rPr>
                <w:rFonts w:hint="eastAsia"/>
              </w:rPr>
            </w:pPr>
            <w:r>
              <w:t>SVM</w:t>
            </w:r>
          </w:p>
        </w:tc>
        <w:tc>
          <w:tcPr>
            <w:tcW w:w="4320" w:type="dxa"/>
          </w:tcPr>
          <w:p w:rsidR="00E25F30" w:rsidRDefault="009B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 xml:space="preserve">SVC defaults, with </w:t>
            </w:r>
            <w:r>
              <w:t>StandardScaler</w:t>
            </w:r>
          </w:p>
        </w:tc>
      </w:tr>
      <w:tr w:rsidR="00E25F30" w:rsidTr="00E25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5F30" w:rsidRDefault="009B1277">
            <w:pPr>
              <w:rPr>
                <w:rFonts w:hint="eastAsia"/>
              </w:rPr>
            </w:pPr>
            <w:r>
              <w:t>Decision Tree</w:t>
            </w:r>
          </w:p>
        </w:tc>
        <w:tc>
          <w:tcPr>
            <w:tcW w:w="4320" w:type="dxa"/>
          </w:tcPr>
          <w:p w:rsidR="00E25F30" w:rsidRDefault="009B1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Default DecisionTreeClassifier, random_state=42</w:t>
            </w:r>
          </w:p>
        </w:tc>
      </w:tr>
    </w:tbl>
    <w:p w:rsidR="00E25F30" w:rsidRDefault="009B1277">
      <w:pPr>
        <w:rPr>
          <w:rFonts w:hint="eastAsia"/>
        </w:rPr>
      </w:pPr>
      <w:r>
        <w:t xml:space="preserve">KNN grid: 30 × 2 × 2 = 120 candidates, each evaluated in five folds. The selected model is refitted on outer training data and evaluated on its held-out test partition. SVM and </w:t>
      </w:r>
      <w:r>
        <w:t>Decision Tree were not tuned; model comparisons therefore remain preliminary.</w:t>
      </w:r>
    </w:p>
    <w:p w:rsidR="00E25F30" w:rsidRDefault="00FE25A6">
      <w:pPr>
        <w:pStyle w:val="Heading1"/>
      </w:pPr>
      <w:r>
        <w:t>2</w:t>
      </w:r>
      <w:r w:rsidR="009B1277">
        <w:t>. KNN model complexity and tuning</w:t>
      </w:r>
    </w:p>
    <w:p w:rsidR="00E25F30" w:rsidRDefault="009B1277">
      <w:pPr>
        <w:rPr>
          <w:rFonts w:hint="eastAsia"/>
        </w:rPr>
      </w:pPr>
      <w:r>
        <w:t>A</w:t>
      </w:r>
      <w:r>
        <w:t xml:space="preserve"> model complexity curve evaluates training accuracy and mean five-fold validation accuracy for k=1 through k=30 on the first outer training pa</w:t>
      </w:r>
      <w:r>
        <w:t>rtition. The reported search selected k=1, uniform weights, and p=1 (Manhattan distance) in all 10 runs. A consistent selection across overlapping random splits does not establish recording-independent robustness.</w:t>
      </w:r>
    </w:p>
    <w:p w:rsidR="002972C1" w:rsidRDefault="009B1277" w:rsidP="00FE25A6">
      <w:pPr>
        <w:pStyle w:val="Caption"/>
      </w:pPr>
      <w:r>
        <w:rPr>
          <w:color w:val="194C78"/>
          <w:sz w:val="20"/>
        </w:rPr>
        <w:t xml:space="preserve">Figure 1 — KNN model complexity curve  </w:t>
      </w:r>
    </w:p>
    <w:p w:rsidR="00FE25A6" w:rsidRPr="00FE25A6" w:rsidRDefault="00FE25A6" w:rsidP="00FE25A6">
      <w:r w:rsidRPr="002972C1">
        <w:drawing>
          <wp:inline distT="0" distB="0" distL="0" distR="0" wp14:anchorId="230A2A08" wp14:editId="57FB2AEE">
            <wp:extent cx="5580674" cy="2086708"/>
            <wp:effectExtent l="0" t="0" r="127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3942" cy="213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F30" w:rsidRDefault="009B1277">
      <w:pPr>
        <w:pStyle w:val="Heading1"/>
      </w:pPr>
      <w:r>
        <w:lastRenderedPageBreak/>
        <w:t>5</w:t>
      </w:r>
      <w:r>
        <w:t>. Evaluation metrics</w:t>
      </w:r>
    </w:p>
    <w:p w:rsidR="00E25F30" w:rsidRDefault="009B1277">
      <w:pPr>
        <w:rPr>
          <w:rFonts w:hint="eastAsia"/>
        </w:rPr>
      </w:pPr>
      <w:r>
        <w:t>The script computes accuracy, macro precision, macro recall, macro F1, and MCC for each model on each outer test partition. Macro averaging gives each activity equal weight, which is usefu</w:t>
      </w:r>
      <w:r>
        <w:t>l when Fall is underrepresented. Scores are summarized as mean and sample standard deviation over 10 repeated splits.</w:t>
      </w:r>
    </w:p>
    <w:p w:rsidR="00E25F30" w:rsidRDefault="009B1277">
      <w:pPr>
        <w:pStyle w:val="Caption"/>
        <w:rPr>
          <w:rFonts w:hint="eastAsia"/>
        </w:rPr>
      </w:pPr>
      <w:r>
        <w:rPr>
          <w:color w:val="194C78"/>
          <w:sz w:val="20"/>
        </w:rPr>
        <w:t xml:space="preserve">Figure 2 — Model performance comparison  </w:t>
      </w:r>
    </w:p>
    <w:p w:rsidR="00E25F30" w:rsidRDefault="009B1277">
      <w:pPr>
        <w:pBdr>
          <w:top w:val="single" w:sz="6" w:space="0" w:color="9DB6CE"/>
          <w:left w:val="single" w:sz="6" w:space="0" w:color="9DB6CE"/>
          <w:bottom w:val="single" w:sz="6" w:space="0" w:color="9DB6CE"/>
          <w:right w:val="single" w:sz="6" w:space="0" w:color="9DB6CE"/>
        </w:pBdr>
        <w:spacing w:before="100" w:after="160" w:line="320" w:lineRule="exact"/>
        <w:rPr>
          <w:rFonts w:hint="eastAsia"/>
        </w:rPr>
      </w:pPr>
      <w:r>
        <w:t xml:space="preserve">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2972C1" w:rsidRPr="002972C1">
        <w:drawing>
          <wp:inline distT="0" distB="0" distL="0" distR="0" wp14:anchorId="3ACB92F9" wp14:editId="43FE97ED">
            <wp:extent cx="5494020" cy="23526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8289" cy="237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F30" w:rsidRDefault="009B1277">
      <w:pPr>
        <w:pStyle w:val="Heading1"/>
      </w:pPr>
      <w:r>
        <w:t>6. Preliminary experimental results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25F30" w:rsidTr="00E25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5F30" w:rsidRDefault="009B1277">
            <w:pPr>
              <w:rPr>
                <w:rFonts w:hint="eastAsia"/>
              </w:rPr>
            </w:pPr>
            <w:r>
              <w:t>Model</w:t>
            </w:r>
          </w:p>
        </w:tc>
        <w:tc>
          <w:tcPr>
            <w:tcW w:w="2160" w:type="dxa"/>
          </w:tcPr>
          <w:p w:rsidR="00E25F30" w:rsidRDefault="009B12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Mean accuracy</w:t>
            </w:r>
          </w:p>
        </w:tc>
        <w:tc>
          <w:tcPr>
            <w:tcW w:w="2160" w:type="dxa"/>
          </w:tcPr>
          <w:p w:rsidR="00E25F30" w:rsidRDefault="009B12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Mean macro F1</w:t>
            </w:r>
          </w:p>
        </w:tc>
        <w:tc>
          <w:tcPr>
            <w:tcW w:w="2160" w:type="dxa"/>
          </w:tcPr>
          <w:p w:rsidR="00E25F30" w:rsidRDefault="009B12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Mean MCC</w:t>
            </w:r>
          </w:p>
        </w:tc>
      </w:tr>
      <w:tr w:rsidR="00E25F30" w:rsidTr="00E25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5F30" w:rsidRDefault="009B1277">
            <w:pPr>
              <w:rPr>
                <w:rFonts w:hint="eastAsia"/>
              </w:rPr>
            </w:pPr>
            <w:r>
              <w:t>KNN (tuned)</w:t>
            </w:r>
          </w:p>
        </w:tc>
        <w:tc>
          <w:tcPr>
            <w:tcW w:w="2160" w:type="dxa"/>
          </w:tcPr>
          <w:p w:rsidR="00E25F30" w:rsidRDefault="009B1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0.9737</w:t>
            </w:r>
          </w:p>
        </w:tc>
        <w:tc>
          <w:tcPr>
            <w:tcW w:w="2160" w:type="dxa"/>
          </w:tcPr>
          <w:p w:rsidR="00E25F30" w:rsidRDefault="009B1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0.9593</w:t>
            </w:r>
          </w:p>
        </w:tc>
        <w:tc>
          <w:tcPr>
            <w:tcW w:w="2160" w:type="dxa"/>
          </w:tcPr>
          <w:p w:rsidR="00E25F30" w:rsidRDefault="009B1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0.9683</w:t>
            </w:r>
          </w:p>
        </w:tc>
      </w:tr>
      <w:tr w:rsidR="00E25F30" w:rsidTr="00E25F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5F30" w:rsidRDefault="009B1277">
            <w:pPr>
              <w:rPr>
                <w:rFonts w:hint="eastAsia"/>
              </w:rPr>
            </w:pPr>
            <w:r>
              <w:t>Decision Tree (default)</w:t>
            </w:r>
          </w:p>
        </w:tc>
        <w:tc>
          <w:tcPr>
            <w:tcW w:w="2160" w:type="dxa"/>
          </w:tcPr>
          <w:p w:rsidR="00E25F30" w:rsidRDefault="009B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0.9239</w:t>
            </w:r>
          </w:p>
        </w:tc>
        <w:tc>
          <w:tcPr>
            <w:tcW w:w="2160" w:type="dxa"/>
          </w:tcPr>
          <w:p w:rsidR="00E25F30" w:rsidRDefault="009B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—</w:t>
            </w:r>
          </w:p>
        </w:tc>
        <w:tc>
          <w:tcPr>
            <w:tcW w:w="2160" w:type="dxa"/>
          </w:tcPr>
          <w:p w:rsidR="00E25F30" w:rsidRDefault="009B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0.9086</w:t>
            </w:r>
          </w:p>
        </w:tc>
      </w:tr>
      <w:tr w:rsidR="00E25F30" w:rsidTr="00E25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:rsidR="00E25F30" w:rsidRDefault="009B1277">
            <w:pPr>
              <w:rPr>
                <w:rFonts w:hint="eastAsia"/>
              </w:rPr>
            </w:pPr>
            <w:r>
              <w:t>SVM (default)</w:t>
            </w:r>
          </w:p>
        </w:tc>
        <w:tc>
          <w:tcPr>
            <w:tcW w:w="2160" w:type="dxa"/>
          </w:tcPr>
          <w:p w:rsidR="00E25F30" w:rsidRDefault="009B1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0.8747</w:t>
            </w:r>
          </w:p>
        </w:tc>
        <w:tc>
          <w:tcPr>
            <w:tcW w:w="2160" w:type="dxa"/>
          </w:tcPr>
          <w:p w:rsidR="00E25F30" w:rsidRDefault="009B1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—</w:t>
            </w:r>
          </w:p>
        </w:tc>
        <w:tc>
          <w:tcPr>
            <w:tcW w:w="2160" w:type="dxa"/>
          </w:tcPr>
          <w:p w:rsidR="00E25F30" w:rsidRDefault="009B1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0.8508</w:t>
            </w:r>
          </w:p>
        </w:tc>
      </w:tr>
    </w:tbl>
    <w:p w:rsidR="00E25F30" w:rsidRDefault="009B1277">
      <w:pPr>
        <w:rPr>
          <w:rFonts w:hint="eastAsia"/>
        </w:rPr>
      </w:pPr>
      <w:r>
        <w:t xml:space="preserve">The available summary confirms tuned KNN accuracy standard deviation of approximately 0.0063 and MCC </w:t>
      </w:r>
      <w:r>
        <w:t>standard deviation of approximately 0.0076. Values not independently available from the current chat are intentionally omitted.</w:t>
      </w:r>
    </w:p>
    <w:p w:rsidR="00E25F30" w:rsidRDefault="009B127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943600" cy="29012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F30" w:rsidRDefault="009B1277">
      <w:pPr>
        <w:jc w:val="center"/>
        <w:rPr>
          <w:rFonts w:hint="eastAsia"/>
        </w:rPr>
      </w:pPr>
      <w:r>
        <w:rPr>
          <w:i/>
          <w:sz w:val="18"/>
        </w:rPr>
        <w:t>Figure 1. Comparison of reported mean accuracy and MCC across 10 random window-level splits. Reconstructed from supplied summa</w:t>
      </w:r>
      <w:r>
        <w:rPr>
          <w:i/>
          <w:sz w:val="18"/>
        </w:rPr>
        <w:t>ry values.</w:t>
      </w:r>
    </w:p>
    <w:p w:rsidR="00E25F30" w:rsidRDefault="009B1277">
      <w:pPr>
        <w:rPr>
          <w:rFonts w:hint="eastAsia"/>
        </w:rPr>
      </w:pPr>
      <w:r>
        <w:t>Earlier default KNN (k=5) achieved mean accuracy 0.9427 and MCC 0.9312; tuning increased accuracy by 3.10 percentage points and MCC by 0.0371 under the reported protocol.</w:t>
      </w:r>
    </w:p>
    <w:p w:rsidR="00E25F30" w:rsidRDefault="009B1277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>
            <wp:extent cx="5943600" cy="301142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knn_improvemen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F30" w:rsidRDefault="009B1277">
      <w:pPr>
        <w:jc w:val="center"/>
        <w:rPr>
          <w:rFonts w:hint="eastAsia"/>
        </w:rPr>
      </w:pPr>
      <w:r>
        <w:rPr>
          <w:i/>
          <w:sz w:val="18"/>
        </w:rPr>
        <w:t xml:space="preserve">Figure 2. KNN baseline versus tuned performance, using reported mean </w:t>
      </w:r>
      <w:r>
        <w:rPr>
          <w:i/>
          <w:sz w:val="18"/>
        </w:rPr>
        <w:t>values.</w:t>
      </w:r>
    </w:p>
    <w:p w:rsidR="00E25F30" w:rsidRDefault="009B1277">
      <w:pPr>
        <w:pStyle w:val="Heading1"/>
      </w:pPr>
      <w:r>
        <w:t>7. Class-level interpretation</w:t>
      </w:r>
    </w:p>
    <w:p w:rsidR="00E25F30" w:rsidRDefault="009B1277">
      <w:pPr>
        <w:rPr>
          <w:rFonts w:hint="eastAsia"/>
        </w:rPr>
      </w:pPr>
      <w:r>
        <w:t>In the reported first split, Fall recall was 7/9 (0.78) and Jump recall 24/28 (0.86). This illustrates why high aggregate accuracy can mask weaker recognition of minority or challenging activities. The Fall test suppor</w:t>
      </w:r>
      <w:r>
        <w:t>t is small; interpretation should rely on per-class scores across runs where feasible.</w:t>
      </w:r>
    </w:p>
    <w:p w:rsidR="00E25F30" w:rsidRPr="002972C1" w:rsidRDefault="009B1277">
      <w:pPr>
        <w:pStyle w:val="Caption"/>
        <w:rPr>
          <w:rFonts w:hint="eastAsia"/>
          <w:lang w:val="fr-FR"/>
        </w:rPr>
      </w:pPr>
      <w:r w:rsidRPr="002972C1">
        <w:rPr>
          <w:color w:val="194C78"/>
          <w:sz w:val="20"/>
          <w:lang w:val="fr-FR"/>
        </w:rPr>
        <w:t xml:space="preserve">Figure 3 — Confusion </w:t>
      </w:r>
      <w:proofErr w:type="gramStart"/>
      <w:r w:rsidRPr="002972C1">
        <w:rPr>
          <w:color w:val="194C78"/>
          <w:sz w:val="20"/>
          <w:lang w:val="fr-FR"/>
        </w:rPr>
        <w:t>matrix  |</w:t>
      </w:r>
      <w:proofErr w:type="gramEnd"/>
      <w:r w:rsidRPr="002972C1">
        <w:rPr>
          <w:color w:val="194C78"/>
          <w:sz w:val="20"/>
          <w:lang w:val="fr-FR"/>
        </w:rPr>
        <w:t xml:space="preserve">  </w:t>
      </w:r>
    </w:p>
    <w:p w:rsidR="002972C1" w:rsidRPr="002972C1" w:rsidRDefault="009B1277" w:rsidP="002972C1">
      <w:pPr>
        <w:pBdr>
          <w:top w:val="single" w:sz="6" w:space="0" w:color="9DB6CE"/>
          <w:left w:val="single" w:sz="6" w:space="0" w:color="9DB6CE"/>
          <w:bottom w:val="single" w:sz="6" w:space="0" w:color="9DB6CE"/>
          <w:right w:val="single" w:sz="6" w:space="0" w:color="9DB6CE"/>
        </w:pBdr>
        <w:spacing w:before="100" w:after="160" w:line="320" w:lineRule="exact"/>
        <w:rPr>
          <w:lang w:val="fr-FR"/>
        </w:rPr>
      </w:pPr>
      <w:r w:rsidRPr="002972C1">
        <w:rPr>
          <w:lang w:val="fr-FR"/>
        </w:rPr>
        <w:t xml:space="preserve"> </w:t>
      </w:r>
      <w:r w:rsidRPr="002972C1">
        <w:rPr>
          <w:lang w:val="fr-FR"/>
        </w:rPr>
        <w:br/>
      </w:r>
      <w:r w:rsidRPr="002972C1">
        <w:rPr>
          <w:lang w:val="fr-FR"/>
        </w:rPr>
        <w:br/>
      </w:r>
      <w:r w:rsidRPr="002972C1">
        <w:rPr>
          <w:lang w:val="fr-FR"/>
        </w:rPr>
        <w:br/>
      </w:r>
      <w:r w:rsidRPr="002972C1">
        <w:rPr>
          <w:lang w:val="fr-FR"/>
        </w:rPr>
        <w:br/>
      </w:r>
      <w:r w:rsidRPr="002972C1">
        <w:rPr>
          <w:lang w:val="fr-FR"/>
        </w:rPr>
        <w:br/>
      </w:r>
      <w:r w:rsidRPr="002972C1">
        <w:rPr>
          <w:lang w:val="fr-FR"/>
        </w:rPr>
        <w:br/>
      </w:r>
      <w:r w:rsidRPr="002972C1">
        <w:rPr>
          <w:lang w:val="fr-FR"/>
        </w:rPr>
        <w:br/>
      </w:r>
      <w:r w:rsidRPr="002972C1">
        <w:rPr>
          <w:lang w:val="fr-FR"/>
        </w:rPr>
        <w:br/>
      </w:r>
      <w:r w:rsidRPr="002972C1">
        <w:rPr>
          <w:lang w:val="fr-FR"/>
        </w:rPr>
        <w:br/>
      </w:r>
      <w:r w:rsidRPr="002972C1">
        <w:rPr>
          <w:lang w:val="fr-FR"/>
        </w:rPr>
        <w:br/>
      </w:r>
      <w:r w:rsidRPr="002972C1">
        <w:rPr>
          <w:lang w:val="fr-FR"/>
        </w:rPr>
        <w:br/>
      </w:r>
      <w:r w:rsidR="002972C1" w:rsidRPr="002972C1">
        <w:rPr>
          <w:lang w:val="fr-FR"/>
        </w:rPr>
        <w:drawing>
          <wp:inline distT="0" distB="0" distL="0" distR="0" wp14:anchorId="0EC32DD4" wp14:editId="6D3F3F98">
            <wp:extent cx="5250180" cy="2407609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6470" cy="24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72C1" w:rsidRDefault="002972C1">
      <w:pPr>
        <w:pStyle w:val="Caption"/>
        <w:rPr>
          <w:color w:val="194C78"/>
          <w:sz w:val="20"/>
        </w:rPr>
      </w:pPr>
    </w:p>
    <w:p w:rsidR="00E25F30" w:rsidRDefault="009B1277">
      <w:pPr>
        <w:pStyle w:val="Caption"/>
        <w:rPr>
          <w:rFonts w:hint="eastAsia"/>
        </w:rPr>
      </w:pPr>
      <w:r>
        <w:rPr>
          <w:color w:val="194C78"/>
          <w:sz w:val="20"/>
        </w:rPr>
        <w:t xml:space="preserve">Figure 4 — Normalized confusion matrix  </w:t>
      </w:r>
    </w:p>
    <w:p w:rsidR="00E25F30" w:rsidRDefault="009B1277">
      <w:pPr>
        <w:pBdr>
          <w:top w:val="single" w:sz="6" w:space="0" w:color="9DB6CE"/>
          <w:left w:val="single" w:sz="6" w:space="0" w:color="9DB6CE"/>
          <w:bottom w:val="single" w:sz="6" w:space="0" w:color="9DB6CE"/>
          <w:right w:val="single" w:sz="6" w:space="0" w:color="9DB6CE"/>
        </w:pBdr>
        <w:spacing w:before="100" w:after="160" w:line="320" w:lineRule="exact"/>
        <w:rPr>
          <w:rFonts w:hint="eastAsia"/>
        </w:rPr>
      </w:pPr>
      <w:r>
        <w:t xml:space="preserve">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2972C1" w:rsidRPr="002972C1">
        <w:drawing>
          <wp:inline distT="0" distB="0" distL="0" distR="0" wp14:anchorId="47152496" wp14:editId="677DE4CD">
            <wp:extent cx="5387340" cy="2376984"/>
            <wp:effectExtent l="0" t="0" r="381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0127" cy="239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F30" w:rsidRDefault="009B1277">
      <w:pPr>
        <w:pStyle w:val="Caption"/>
        <w:rPr>
          <w:rFonts w:hint="eastAsia"/>
        </w:rPr>
      </w:pPr>
      <w:r>
        <w:rPr>
          <w:color w:val="194C78"/>
          <w:sz w:val="20"/>
        </w:rPr>
        <w:t>Figure 5 — Per-class precision, recall and F</w:t>
      </w:r>
      <w:proofErr w:type="gramStart"/>
      <w:r>
        <w:rPr>
          <w:color w:val="194C78"/>
          <w:sz w:val="20"/>
        </w:rPr>
        <w:t>1  |</w:t>
      </w:r>
      <w:proofErr w:type="gramEnd"/>
      <w:r>
        <w:rPr>
          <w:color w:val="194C78"/>
          <w:sz w:val="20"/>
        </w:rPr>
        <w:t xml:space="preserve">  </w:t>
      </w:r>
    </w:p>
    <w:p w:rsidR="00E25F30" w:rsidRDefault="009B1277">
      <w:pPr>
        <w:pBdr>
          <w:top w:val="single" w:sz="6" w:space="0" w:color="9DB6CE"/>
          <w:left w:val="single" w:sz="6" w:space="0" w:color="9DB6CE"/>
          <w:bottom w:val="single" w:sz="6" w:space="0" w:color="9DB6CE"/>
          <w:right w:val="single" w:sz="6" w:space="0" w:color="9DB6CE"/>
        </w:pBdr>
        <w:spacing w:before="100" w:after="160" w:line="320" w:lineRule="exact"/>
        <w:rPr>
          <w:rFonts w:hint="eastAsia"/>
        </w:rPr>
      </w:pPr>
      <w:r>
        <w:t xml:space="preserve">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2972C1" w:rsidRPr="002972C1">
        <w:drawing>
          <wp:inline distT="0" distB="0" distL="0" distR="0" wp14:anchorId="08B98FB2" wp14:editId="2AF36950">
            <wp:extent cx="5295900" cy="24077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7080" cy="2412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F30" w:rsidRDefault="009B1277">
      <w:pPr>
        <w:pStyle w:val="Heading1"/>
      </w:pPr>
      <w:r>
        <w:t>8. Stability and additional visualizations</w:t>
      </w:r>
    </w:p>
    <w:p w:rsidR="00E25F30" w:rsidRDefault="009B1277">
      <w:pPr>
        <w:pStyle w:val="Caption"/>
        <w:rPr>
          <w:rFonts w:hint="eastAsia"/>
        </w:rPr>
      </w:pPr>
      <w:r>
        <w:rPr>
          <w:color w:val="194C78"/>
          <w:sz w:val="20"/>
        </w:rPr>
        <w:t>Figure 6 — Accuracy across 10 runs  |  Insert: accuracy_across_runs.png</w:t>
      </w:r>
    </w:p>
    <w:p w:rsidR="00E25F30" w:rsidRDefault="009B1277">
      <w:pPr>
        <w:pBdr>
          <w:top w:val="single" w:sz="6" w:space="0" w:color="9DB6CE"/>
          <w:left w:val="single" w:sz="6" w:space="0" w:color="9DB6CE"/>
          <w:bottom w:val="single" w:sz="6" w:space="0" w:color="9DB6CE"/>
          <w:right w:val="single" w:sz="6" w:space="0" w:color="9DB6CE"/>
        </w:pBdr>
        <w:spacing w:before="100" w:after="160" w:line="320" w:lineRule="exact"/>
        <w:rPr>
          <w:rFonts w:hint="eastAsia"/>
        </w:rPr>
      </w:pPr>
      <w:r>
        <w:t xml:space="preserve">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2972C1" w:rsidRPr="002972C1">
        <w:drawing>
          <wp:inline distT="0" distB="0" distL="0" distR="0" wp14:anchorId="319BD6A6" wp14:editId="3D0D71D2">
            <wp:extent cx="5463540" cy="2331661"/>
            <wp:effectExtent l="0" t="0" r="381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7439" cy="2341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F30" w:rsidRDefault="009B1277">
      <w:pPr>
        <w:pStyle w:val="Caption"/>
        <w:rPr>
          <w:rFonts w:hint="eastAsia"/>
        </w:rPr>
      </w:pPr>
      <w:r>
        <w:rPr>
          <w:color w:val="194C78"/>
          <w:sz w:val="20"/>
        </w:rPr>
        <w:t>Figure 7 — MCC distribution ac</w:t>
      </w:r>
      <w:r>
        <w:rPr>
          <w:color w:val="194C78"/>
          <w:sz w:val="20"/>
        </w:rPr>
        <w:t xml:space="preserve">ross </w:t>
      </w:r>
      <w:proofErr w:type="gramStart"/>
      <w:r>
        <w:rPr>
          <w:color w:val="194C78"/>
          <w:sz w:val="20"/>
        </w:rPr>
        <w:t>models  |</w:t>
      </w:r>
      <w:proofErr w:type="gramEnd"/>
      <w:r>
        <w:rPr>
          <w:color w:val="194C78"/>
          <w:sz w:val="20"/>
        </w:rPr>
        <w:t xml:space="preserve">  Insert: mcc_distribution.png</w:t>
      </w:r>
    </w:p>
    <w:p w:rsidR="00E25F30" w:rsidRDefault="009B1277">
      <w:pPr>
        <w:pBdr>
          <w:top w:val="single" w:sz="6" w:space="0" w:color="9DB6CE"/>
          <w:left w:val="single" w:sz="6" w:space="0" w:color="9DB6CE"/>
          <w:bottom w:val="single" w:sz="6" w:space="0" w:color="9DB6CE"/>
          <w:right w:val="single" w:sz="6" w:space="0" w:color="9DB6CE"/>
        </w:pBdr>
        <w:spacing w:before="100" w:after="160" w:line="320" w:lineRule="exact"/>
        <w:rPr>
          <w:rFonts w:hint="eastAsia"/>
        </w:rPr>
      </w:pPr>
      <w:r>
        <w:t xml:space="preserve">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2972C1" w:rsidRPr="002972C1">
        <w:drawing>
          <wp:inline distT="0" distB="0" distL="0" distR="0" wp14:anchorId="0DDB2DDE" wp14:editId="0E3D79CB">
            <wp:extent cx="5478780" cy="2361890"/>
            <wp:effectExtent l="0" t="0" r="762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04395" cy="237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F30" w:rsidRDefault="009B1277">
      <w:pPr>
        <w:pStyle w:val="Caption"/>
        <w:rPr>
          <w:rFonts w:hint="eastAsia"/>
        </w:rPr>
      </w:pPr>
      <w:r>
        <w:rPr>
          <w:color w:val="194C78"/>
          <w:sz w:val="20"/>
        </w:rPr>
        <w:t xml:space="preserve">Figure 8 — Best KNN k </w:t>
      </w:r>
      <w:proofErr w:type="gramStart"/>
      <w:r>
        <w:rPr>
          <w:color w:val="194C78"/>
          <w:sz w:val="20"/>
        </w:rPr>
        <w:t>distribution  |</w:t>
      </w:r>
      <w:proofErr w:type="gramEnd"/>
      <w:r>
        <w:rPr>
          <w:color w:val="194C78"/>
          <w:sz w:val="20"/>
        </w:rPr>
        <w:t xml:space="preserve">  </w:t>
      </w:r>
    </w:p>
    <w:p w:rsidR="00E25F30" w:rsidRDefault="009B1277" w:rsidP="002972C1">
      <w:pPr>
        <w:pBdr>
          <w:top w:val="single" w:sz="6" w:space="0" w:color="9DB6CE"/>
          <w:left w:val="single" w:sz="6" w:space="0" w:color="9DB6CE"/>
          <w:bottom w:val="single" w:sz="6" w:space="0" w:color="9DB6CE"/>
          <w:right w:val="single" w:sz="6" w:space="0" w:color="9DB6CE"/>
        </w:pBdr>
        <w:spacing w:before="100" w:after="160" w:line="320" w:lineRule="exact"/>
        <w:rPr>
          <w:rFonts w:hint="eastAsia"/>
        </w:rPr>
      </w:pPr>
      <w:r>
        <w:t xml:space="preserve">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2972C1" w:rsidRPr="002972C1">
        <w:drawing>
          <wp:inline distT="0" distB="0" distL="0" distR="0" wp14:anchorId="1AEC224D" wp14:editId="49C702FC">
            <wp:extent cx="4792066" cy="2362200"/>
            <wp:effectExtent l="0" t="0" r="889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96273" cy="236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The three </w:t>
      </w:r>
    </w:p>
    <w:p w:rsidR="00E25F30" w:rsidRDefault="009B1277">
      <w:pPr>
        <w:pStyle w:val="Heading1"/>
      </w:pPr>
      <w:r>
        <w:t>9. Data integrity and methodological limitations</w:t>
      </w:r>
    </w:p>
    <w:p w:rsidR="00E25F30" w:rsidRDefault="009B1277">
      <w:pPr>
        <w:pStyle w:val="ListBullet"/>
        <w:rPr>
          <w:rFonts w:hint="eastAsia"/>
        </w:rPr>
      </w:pPr>
      <w:r>
        <w:t>Window-level leakage risk: random splitting can place correlated windows from the same recording in both train and test. Recording- or participant-aware testing is preferred if reliable identifier</w:t>
      </w:r>
      <w:r>
        <w:t>s can be recovered.</w:t>
      </w:r>
    </w:p>
    <w:p w:rsidR="00E25F30" w:rsidRDefault="009B1277">
      <w:pPr>
        <w:pStyle w:val="ListBullet"/>
        <w:rPr>
          <w:rFonts w:hint="eastAsia"/>
        </w:rPr>
      </w:pPr>
      <w:r>
        <w:t>Original recording structure: each MATLAB file represents an activity, but a file may contain one or multiple recording sessions. Different file sizes do not establish independent sessions.</w:t>
      </w:r>
    </w:p>
    <w:p w:rsidR="00E25F30" w:rsidRDefault="009B1277">
      <w:pPr>
        <w:pStyle w:val="ListBullet"/>
        <w:rPr>
          <w:rFonts w:hint="eastAsia"/>
        </w:rPr>
      </w:pPr>
      <w:r>
        <w:t>Chronological split caveat: sorting by window_</w:t>
      </w:r>
      <w:r>
        <w:t>start_sample within activity is not necessarily a reliable global timeline when sample indices reset; a time split also cannot prove unseen-participant generalization.</w:t>
      </w:r>
    </w:p>
    <w:p w:rsidR="00E25F30" w:rsidRDefault="009B1277">
      <w:pPr>
        <w:pStyle w:val="ListBullet"/>
        <w:rPr>
          <w:rFonts w:hint="eastAsia"/>
        </w:rPr>
      </w:pPr>
      <w:r>
        <w:t xml:space="preserve">File consistency: the extraction code exports csv/features_128.csv while task2.py loads </w:t>
      </w:r>
      <w:r>
        <w:t>shimmer_features.csv. Confirm that the training file is the latest feature export, with identical rows and columns.</w:t>
      </w:r>
    </w:p>
    <w:p w:rsidR="00E25F30" w:rsidRDefault="009B1277">
      <w:pPr>
        <w:pStyle w:val="ListBullet"/>
        <w:rPr>
          <w:rFonts w:hint="eastAsia"/>
        </w:rPr>
      </w:pPr>
      <w:r>
        <w:t>Class imbalance and labeling: Fall has relatively few windows; whether all Fall-labeled windows contain the fall event should be checked aga</w:t>
      </w:r>
      <w:r>
        <w:t>inst the recording protocol.</w:t>
      </w:r>
    </w:p>
    <w:p w:rsidR="00E25F30" w:rsidRDefault="009B1277">
      <w:pPr>
        <w:pStyle w:val="ListBullet"/>
        <w:rPr>
          <w:rFonts w:hint="eastAsia"/>
        </w:rPr>
      </w:pPr>
      <w:r>
        <w:t>Statistical inference: the 10 random holdouts overlap and are not independent observations for an ordinary t-test. Choose inferential methods only after settling the evaluation design.</w:t>
      </w:r>
    </w:p>
    <w:p w:rsidR="00E25F30" w:rsidRDefault="009B1277">
      <w:pPr>
        <w:pStyle w:val="Heading1"/>
      </w:pPr>
      <w:r>
        <w:t>10. Reproducibility and outputs</w:t>
      </w:r>
    </w:p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E25F30" w:rsidTr="00E25F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5F30" w:rsidRDefault="009B1277">
            <w:pPr>
              <w:rPr>
                <w:rFonts w:hint="eastAsia"/>
              </w:rPr>
            </w:pPr>
            <w:r>
              <w:t>File</w:t>
            </w:r>
          </w:p>
        </w:tc>
        <w:tc>
          <w:tcPr>
            <w:tcW w:w="4320" w:type="dxa"/>
          </w:tcPr>
          <w:p w:rsidR="00E25F30" w:rsidRDefault="009B12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Purpo</w:t>
            </w:r>
            <w:r>
              <w:t>se</w:t>
            </w:r>
          </w:p>
        </w:tc>
      </w:tr>
      <w:tr w:rsidR="00E25F30" w:rsidTr="00E25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5F30" w:rsidRDefault="009B1277">
            <w:pPr>
              <w:rPr>
                <w:rFonts w:hint="eastAsia"/>
              </w:rPr>
            </w:pPr>
            <w:r>
              <w:t>classical_ml_tuned_10_runs.csv</w:t>
            </w:r>
          </w:p>
        </w:tc>
        <w:tc>
          <w:tcPr>
            <w:tcW w:w="4320" w:type="dxa"/>
          </w:tcPr>
          <w:p w:rsidR="00E25F30" w:rsidRDefault="009B1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Per-run model metrics</w:t>
            </w:r>
          </w:p>
        </w:tc>
      </w:tr>
      <w:tr w:rsidR="00E25F30" w:rsidTr="00E25F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5F30" w:rsidRDefault="009B1277">
            <w:pPr>
              <w:rPr>
                <w:rFonts w:hint="eastAsia"/>
              </w:rPr>
            </w:pPr>
            <w:r>
              <w:t>classical_ml_tuned_summary.csv</w:t>
            </w:r>
          </w:p>
        </w:tc>
        <w:tc>
          <w:tcPr>
            <w:tcW w:w="4320" w:type="dxa"/>
          </w:tcPr>
          <w:p w:rsidR="00E25F30" w:rsidRDefault="009B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Aggregated mean and standard deviation</w:t>
            </w:r>
          </w:p>
        </w:tc>
      </w:tr>
      <w:tr w:rsidR="00E25F30" w:rsidTr="00E25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5F30" w:rsidRDefault="009B1277">
            <w:pPr>
              <w:rPr>
                <w:rFonts w:hint="eastAsia"/>
              </w:rPr>
            </w:pPr>
            <w:r>
              <w:t>knn_best_parameters.csv</w:t>
            </w:r>
          </w:p>
        </w:tc>
        <w:tc>
          <w:tcPr>
            <w:tcW w:w="4320" w:type="dxa"/>
          </w:tcPr>
          <w:p w:rsidR="00E25F30" w:rsidRDefault="009B1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Selected KNN parameters and CV MCC</w:t>
            </w:r>
          </w:p>
        </w:tc>
      </w:tr>
      <w:tr w:rsidR="00E25F30" w:rsidTr="00E25F3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5F30" w:rsidRDefault="009B1277">
            <w:pPr>
              <w:rPr>
                <w:rFonts w:hint="eastAsia"/>
              </w:rPr>
            </w:pPr>
            <w:r>
              <w:t>knn_complexity_curve.png</w:t>
            </w:r>
          </w:p>
        </w:tc>
        <w:tc>
          <w:tcPr>
            <w:tcW w:w="4320" w:type="dxa"/>
          </w:tcPr>
          <w:p w:rsidR="00E25F30" w:rsidRDefault="009B12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t>KNN training / cross-validation accuracy</w:t>
            </w:r>
          </w:p>
        </w:tc>
      </w:tr>
      <w:tr w:rsidR="00E25F30" w:rsidTr="00E25F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:rsidR="00E25F30" w:rsidRDefault="009B1277">
            <w:pPr>
              <w:rPr>
                <w:rFonts w:hint="eastAsia"/>
              </w:rPr>
            </w:pPr>
            <w:r>
              <w:t>results/figures/*.png</w:t>
            </w:r>
          </w:p>
        </w:tc>
        <w:tc>
          <w:tcPr>
            <w:tcW w:w="4320" w:type="dxa"/>
          </w:tcPr>
          <w:p w:rsidR="00E25F30" w:rsidRDefault="009B12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t>Optional diagnostic and comparison charts</w:t>
            </w:r>
          </w:p>
        </w:tc>
      </w:tr>
    </w:tbl>
    <w:p w:rsidR="00E25F30" w:rsidRDefault="009B1277">
      <w:pPr>
        <w:pStyle w:val="Heading1"/>
      </w:pPr>
      <w:r>
        <w:t>11. Next steps</w:t>
      </w:r>
    </w:p>
    <w:p w:rsidR="00E25F30" w:rsidRPr="00FA44BF" w:rsidRDefault="009B1277">
      <w:pPr>
        <w:pStyle w:val="ListNumber"/>
        <w:rPr>
          <w:rFonts w:hint="eastAsia"/>
          <w:highlight w:val="yellow"/>
        </w:rPr>
      </w:pPr>
      <w:r>
        <w:t xml:space="preserve">Inspect original Fall.mat and Walk.mat (and dataset documentation) for </w:t>
      </w:r>
      <w:r w:rsidRPr="00FA44BF">
        <w:rPr>
          <w:color w:val="FF0000"/>
          <w:highlight w:val="yellow"/>
        </w:rPr>
        <w:t>timestamp structure, recording boundaries and participant/session metadata.</w:t>
      </w:r>
    </w:p>
    <w:p w:rsidR="00E25F30" w:rsidRDefault="009B1277">
      <w:pPr>
        <w:pStyle w:val="ListNumber"/>
        <w:rPr>
          <w:rFonts w:hint="eastAsia"/>
        </w:rPr>
      </w:pPr>
      <w:r>
        <w:t xml:space="preserve">Verify the training CSV is </w:t>
      </w:r>
      <w:r>
        <w:t>identical to the current extracted 12-feature dataset.</w:t>
      </w:r>
    </w:p>
    <w:p w:rsidR="00E25F30" w:rsidRDefault="009B1277">
      <w:pPr>
        <w:pStyle w:val="ListNumber"/>
        <w:rPr>
          <w:rFonts w:hint="eastAsia"/>
        </w:rPr>
      </w:pPr>
      <w:r>
        <w:t>Tune SVM and Decision T</w:t>
      </w:r>
      <w:r>
        <w:t>ree using a comparable training-only search strategy, then perform final evaluation.</w:t>
      </w:r>
    </w:p>
    <w:p w:rsidR="00E25F30" w:rsidRDefault="009B1277">
      <w:pPr>
        <w:pStyle w:val="Heading1"/>
      </w:pPr>
      <w:r>
        <w:t>Conclusi</w:t>
      </w:r>
      <w:bookmarkStart w:id="0" w:name="_GoBack"/>
      <w:bookmarkEnd w:id="0"/>
      <w:r>
        <w:t>on</w:t>
      </w:r>
    </w:p>
    <w:p w:rsidR="00E25F30" w:rsidRDefault="009B1277">
      <w:pPr>
        <w:rPr>
          <w:rFonts w:hint="eastAsia"/>
        </w:rPr>
      </w:pPr>
      <w:r>
        <w:t>Task 2 has produced a working end-to-end classical machine learning pipeline and a reproducible preliminary KNN benchmark. The reported tuned KNN performance is</w:t>
      </w:r>
      <w:r>
        <w:t xml:space="preserve"> strong within the current random window-level protocol, but the next research priority is validating independence of the evaluation data. Once this is resolved, a fair optimized comparison with SVM and Decision Tree can be finalized.</w:t>
      </w:r>
    </w:p>
    <w:sectPr w:rsidR="00E25F30" w:rsidSect="00034616">
      <w:footerReference w:type="default" r:id="rId18"/>
      <w:pgSz w:w="12240" w:h="15840"/>
      <w:pgMar w:top="1152" w:right="1800" w:bottom="1008" w:left="180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1277" w:rsidRDefault="009B12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9B1277" w:rsidRDefault="009B12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5F30" w:rsidRDefault="009B1277">
    <w:pPr>
      <w:pStyle w:val="Footer"/>
      <w:jc w:val="center"/>
      <w:rPr>
        <w:rFonts w:hint="eastAsia"/>
      </w:rPr>
    </w:pPr>
    <w:r>
      <w:rPr>
        <w:sz w:val="16"/>
      </w:rPr>
      <w:t>CDTA | Task 2 Progress Report | October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1277" w:rsidRDefault="009B12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9B1277" w:rsidRDefault="009B12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oNotDisplayPageBoundaries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972C1"/>
    <w:rsid w:val="00326F90"/>
    <w:rsid w:val="009B1277"/>
    <w:rsid w:val="00AA1D8D"/>
    <w:rsid w:val="00B47730"/>
    <w:rsid w:val="00CB0664"/>
    <w:rsid w:val="00E25F30"/>
    <w:rsid w:val="00FA44BF"/>
    <w:rsid w:val="00FC693F"/>
    <w:rsid w:val="00FE2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4DF86EB"/>
  <w14:defaultImageDpi w14:val="300"/>
  <w15:docId w15:val="{FFD98416-A02D-448B-87D4-6214756A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83646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23D6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23D6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23D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F431E2-4AF2-41EE-9748-B9AE5EAE96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942</Words>
  <Characters>5181</Characters>
  <Application>Microsoft Office Word</Application>
  <DocSecurity>0</DocSecurity>
  <Lines>43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Executive summary</vt:lpstr>
      <vt:lpstr>1. Dataset and data exploration</vt:lpstr>
      <vt:lpstr>2. Preprocessing and window feature extraction</vt:lpstr>
      <vt:lpstr>3. Classical models and experiment design</vt:lpstr>
      <vt:lpstr>4. KNN model complexity and tuning</vt:lpstr>
      <vt:lpstr>5. Evaluation metrics</vt:lpstr>
      <vt:lpstr>6. Preliminary experimental results</vt:lpstr>
      <vt:lpstr>7. Class-level interpretation</vt:lpstr>
      <vt:lpstr>8. Stability and additional visualizations</vt:lpstr>
      <vt:lpstr>9. Data integrity and methodological limitations</vt:lpstr>
      <vt:lpstr>10. Reproducibility and outputs</vt:lpstr>
      <vt:lpstr>11. Next steps</vt:lpstr>
      <vt:lpstr>Conclusion</vt:lpstr>
    </vt:vector>
  </TitlesOfParts>
  <Manager/>
  <Company/>
  <LinksUpToDate>false</LinksUpToDate>
  <CharactersWithSpaces>6111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3</cp:revision>
  <dcterms:created xsi:type="dcterms:W3CDTF">2013-12-23T23:15:00Z</dcterms:created>
  <dcterms:modified xsi:type="dcterms:W3CDTF">2026-10-14T18:27:00Z</dcterms:modified>
  <cp:category/>
</cp:coreProperties>
</file>