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55206">
      <w:pPr>
        <w:bidi w:val="0"/>
        <w:rPr>
          <w:rFonts w:hint="eastAsia" w:ascii="宋体" w:hAnsi="宋体" w:eastAsia="宋体" w:cs="宋体"/>
        </w:rPr>
      </w:pPr>
    </w:p>
    <w:p w14:paraId="282F5FE2">
      <w:pPr>
        <w:bidi w:val="0"/>
        <w:rPr>
          <w:rFonts w:hint="eastAsia" w:ascii="宋体" w:hAnsi="宋体" w:eastAsia="宋体" w:cs="宋体"/>
        </w:rPr>
      </w:pPr>
    </w:p>
    <w:p w14:paraId="0574DE5C">
      <w:pPr>
        <w:bidi w:val="0"/>
        <w:rPr>
          <w:rFonts w:hint="eastAsia" w:ascii="宋体" w:hAnsi="宋体" w:eastAsia="宋体" w:cs="宋体"/>
        </w:rPr>
      </w:pPr>
    </w:p>
    <w:p w14:paraId="672ABB55">
      <w:pPr>
        <w:bidi w:val="0"/>
        <w:rPr>
          <w:rFonts w:hint="eastAsia" w:ascii="宋体" w:hAnsi="宋体" w:eastAsia="宋体" w:cs="宋体"/>
        </w:rPr>
      </w:pPr>
    </w:p>
    <w:p w14:paraId="1B1BC82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NOPS-OWR：零预训练、单遍流式的全脉冲开放世界自举识别框架</w:t>
      </w:r>
    </w:p>
    <w:p w14:paraId="419D591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034382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摘要</w:t>
      </w:r>
    </w:p>
    <w:p w14:paraId="6E78678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有开放世界与开放词汇识别方法通常依赖离线训练数据、预训练视觉表征或视觉—语言先验；现有高性能脉冲神经网络方法则主要聚焦于监督训练后的分类、检测与能效优化。相比之下，零预训练、零离线数据、单遍流式条件下的全脉冲开放世界自举识别仍缺少统一的问题定义、标准协议与系统性研究。本文提出 NOPS-OWR，一种面向连续输入流的纯脉冲开放世界识别框架。系统在不使用任何离线训练数据、预训练参数、人工类别标签或文本词表的条件下，仅通过在线脉冲感知、自组织对象性建模、时序身份一致性维护与非参数原型记忆更新，持续输出类无关对象区域、实例级关联结果以及稳定的概念原型 ID。进一步地，本文提出 NOPS-Bench，用于评测单遍流式、记忆受限条件下的未知对象发现、概念形成、长期稳定性与资源效率。我们从对象性抬升下界、有限原型覆盖一致性、时间概念稳定性以及记忆受限稳定—可塑性 regret 四个方面给出理论分析。该工作旨在把开放世界识别从“依赖离线预训练的检测扩展”推进到“纯在线、纯脉冲、可自举的概念形成系统”。</w:t>
      </w:r>
    </w:p>
    <w:p w14:paraId="19DBFFEA">
      <w:pPr>
        <w:bidi w:val="0"/>
        <w:rPr>
          <w:rFonts w:hint="eastAsia" w:ascii="宋体" w:hAnsi="宋体" w:eastAsia="宋体" w:cs="宋体"/>
        </w:rPr>
      </w:pPr>
    </w:p>
    <w:p w14:paraId="44B376A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引言</w:t>
      </w:r>
    </w:p>
    <w:p w14:paraId="6E4D716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放世界感知旨在使视觉系统具备处理未知对象的能力，即在既定类别空间之外仍能持续发现、分离并逐步吸纳此前未见过的对象。近几年，该方向在开放世界目标检测与开放词汇检测中发展迅速，问题设定、基准数据与评测协议都逐渐成熟。然而，这一方向的主流方法仍然高度依赖离线训练数据、预训练视觉主干或大规模视觉—语言先验，因此它们的识别能力本质上来自部署前注入的知识，而不是部署后在连续交互中自发形成的概念结构。</w:t>
      </w:r>
    </w:p>
    <w:p w14:paraId="6B1AB0E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另一条并行发展的路线来自脉冲神经网络与神经形态视觉。近期高性能 SNN 检测方法已经证明：只要具备充分监督训练，纯脉冲或以脉冲为核心的结构可以在标准检测任务上接近强 ANN 系统，同时获得更好的能耗特性。然而，这些方法主要解决的是“训练后高效推理”问题，而不是“无预训练、无离线数据、纯在线自举识别”问题。</w:t>
      </w:r>
    </w:p>
    <w:p w14:paraId="3DADABB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这两条研究趋势共同暴露出一个空位：一方面，开放世界与开放词汇方法在 unknown handling 和语义泛化上已经形成强基线，但其能力严重依赖离线知识；另一方面，高性能 SNN 方法具备时间处理与资源效率优势，却很少触及零预训练条件下的概念涌现。基于此，本文聚焦于一个更严格且更贴近部署现实的问题：在没有离线训练集、没有预训练参数、没有人工类别词表且仅允许单遍流式访问的条件下，视觉系统能否以纯脉冲方式实现开放世界自举识别？</w:t>
      </w:r>
    </w:p>
    <w:p w14:paraId="00AA51B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答这一问题，首先必须收紧“识别”的定义。在零预训练设定下，直接要求系统输出可靠的自然语言类别名并不现实。本文因此不研究开放词汇式的语义命名，而是研究自举意义上的开放世界识别：系统需要在连续流中发现对象、保持实例级时序一致性、形成稳定概念原型，并允许这些原型在长期运行中发生出生、合并、分裂与遗忘。</w:t>
      </w:r>
    </w:p>
    <w:p w14:paraId="7F16EAF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基于此，本文提出 NOPS-OWR（No-Pretrain One-Pass Streaming Open-World Recognition），即零预训练、单遍流式的全脉冲开放世界自举识别框架。系统在严格约束下，通过脉冲感知前端、类无关对象性场、时序身份一致性、非参数原型记忆、稳定—可塑性控制器与概念图谱层构成一个闭环。与此同时，本文提出 NOPS-Bench，用于标准化评测无预训练单遍流式条件下的未知发现、概念形成、长时稳定性以及性能—资源折中。</w:t>
      </w:r>
    </w:p>
    <w:p w14:paraId="47A63B6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相关工作</w:t>
      </w:r>
    </w:p>
    <w:p w14:paraId="72D1C99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（1）开放词汇与开放世界识别。现有 OVD/OWOD 方法已经形成相对成熟的研究体系，但主流工作通常默认存在离线训练好的视觉主干、检测器或视觉—语言先验。换言之，它们研究的是“在已有知识基础上如何扩展到未知对象”，而非“从零开始如何在线形成内部概念”。</w:t>
      </w:r>
    </w:p>
    <w:p w14:paraId="58BEDFD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（2）类无关对象性与未知发现。近期工作正在重新强调 class-agnostic objectness 的重要性，即先回答“哪里像对象”，再讨论它属于什么。本文吸收这一思想，但进一步将其推进到 zero-pretrain、one-pass、pure-spiking 的极端设定中。</w:t>
      </w:r>
    </w:p>
    <w:p w14:paraId="43B51FC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（3）高性能 SNN 检测与神经形态感知。当前强 SNN 方法更多聚焦于监督训练后的分类、检测与跟踪性能，并在能效上形成优势。本文与其区别不在于是否采用脉冲计算，而在于是否取消离线训练与预训练前提，并把目标转向在线概念形成。</w:t>
      </w:r>
    </w:p>
    <w:p w14:paraId="1CED5E1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（4）长期行为与资源约束评测。神经形态与在线识别社区都越来越强调长期时序、内存占用、计算开销与能耗代理的统一评测。本文并非另造一个孤立 benchmark，而是在这一趋势下，把 no-pretrain、one-pass 与 memory-bounded 的条件明确写入协议。</w:t>
      </w:r>
    </w:p>
    <w:p w14:paraId="2B10CDA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问题定义</w:t>
      </w:r>
    </w:p>
    <w:p w14:paraId="0A1158C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本文考虑连续视觉输入流 x₁:ₜ = {x₁, x₂, …, xₜ}。系统在如下约束下运行：不使用任何离线训练数据；不加载任何预训练参数；不使用人工类别标签或文本词表；每个样本仅允许单遍访问；总记忆容量受预算 B 约束。</w:t>
      </w:r>
    </w:p>
    <w:p w14:paraId="03BDDBB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在每个时刻 t，系统输出五类结果：Oₜ——类无关对象性图；Pₜ——proposal 或 mask 集合；Iₜ——实例级时序关联状态；Zₜ——概念原型 ID；Gₜ——动态概念图谱。这里的目标不是恢复自然语言类别名，而是在连续流中完成对象发现、对象分离、身份保持、概念形成、概念演化与预算受限运行。</w:t>
      </w:r>
    </w:p>
    <w:p w14:paraId="0A9D7AB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这一设定与相邻问题存在本质区别。它不同于开放词汇检测，因为后者默认存在跨模态预训练语义；不同于开放世界目标检测，因为后者通常允许离线 backbone 或 detector；不同于监督式 SNN 检测，因为后者主要研究训练后高效推理；也不同于异常检测，因为本文不仅发现“异常区域”，还必须维持时序身份、形成概念原型并长期控制概念结构。</w:t>
      </w:r>
    </w:p>
    <w:p w14:paraId="717F0A4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形式化地，本文目标可写为：最大化发现质量、概念一致性与时间稳定性，同时约束记忆与能耗代价。系统成功与否，不以闭集 mAP 为唯一标准，而以 unknown discovery、concept quality、temporal consistency、long-horizon stability 以及 budgeted efficiency 的联合表现为准。</w:t>
      </w:r>
    </w:p>
    <w:p w14:paraId="03D89DB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方法</w:t>
      </w:r>
    </w:p>
    <w:p w14:paraId="413BD8E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方法总览</w:t>
      </w:r>
    </w:p>
    <w:p w14:paraId="7B14F195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实现方法</w:t>
      </w:r>
    </w:p>
    <w:p w14:paraId="4C3AD8C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xₜ → Sₜ → Oₜ → Pₜ → Iₜ → Zₜ → Gₜ。其中 xₜ 为原始输入，Sₜ 为脉冲表示，Oₜ 为对象性场，Pₜ 为候选对象区域，Iₜ 为实例时序状态，Zₜ 为概念原型标识，Gₜ 为概念图谱。系统由六个模块组成：脉冲感知前端、开放世界对象性场、时序身份一致性、非参数原型记忆、稳定—可塑性控制器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概念图谱</w:t>
      </w:r>
    </w:p>
    <w:p w14:paraId="6CC283F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脉冲感知前端</w:t>
      </w:r>
    </w:p>
    <w:p w14:paraId="285AA8C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系统允许两类输入：事件流输入与帧流输入。对帧流输入，通过视网膜式脉冲编码器将局部亮度变化、边缘响应与中心—周围对立映射到 ON/OFF 脉冲通道；对事件流输入，则直接以事件窗口作为脉冲观测。随后使用带泄露项的脉冲状态更新与稳态调节机制，使表示在保持动态敏感性的同时避免长期过激活或过稀疏</w:t>
      </w:r>
    </w:p>
    <w:p w14:paraId="333B915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开放世界对象性场</w:t>
      </w:r>
    </w:p>
    <w:p w14:paraId="097154F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对象性场 Oₜ(u) 由五个分量加权构成：边界不连续项 Bₜ(u)、短时持续性项 Tₜ(u)、局部共动一致性项 Mₜ(u)、预测惊奇项 Qₜ(u) 与去习惯化响应项 Rₜ(u)。最终对象性写为：Oₜ(u)=α_b Bₜ+α_t Tₜ+α_m Mₜ+α_q Qₜ+α_r Rₜ。经过短时平滑与连通域分解后生成 proposal/mask 集合 Pₜ</w:t>
      </w:r>
    </w:p>
    <w:p w14:paraId="4E0FA3A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时序身份一致性</w:t>
      </w:r>
    </w:p>
    <w:p w14:paraId="02420E4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对每个 proposal 提取脉冲签名 φₜⁱ，并与上一时刻的活动实例集合进行匹配。匹配代价由脉冲签名距离、位置/形状预测误差以及对象性统计差异共同组成。若最小代价小于阈值，则当前 proposal 被视为旧实例的延续；否则开启新实例轨迹</w:t>
      </w:r>
    </w:p>
    <w:p w14:paraId="32A499E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非参数原型记忆</w:t>
      </w:r>
    </w:p>
    <w:p w14:paraId="550B979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系统维护原型库 Mₜ={m₁,…,m_Nₜ}。每个原型由中心 μ、内部离散度 Σ、年龄 a、命中次数 c 与活动度 ν 表征。给定实例签名 φₜⁱ，系统根据距离阈值与稳定性条件执行四种操作：birth（新生原型）、merge（原型合并）、split（原型分裂）与 decay（原型衰减/遗忘）</w:t>
      </w:r>
    </w:p>
    <w:p w14:paraId="7AF7ACC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门控更新机制</w:t>
      </w:r>
    </w:p>
    <w:p w14:paraId="74BF667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以惊奇程度、时序一致性、对象性强度与当前预算负载共同决定原型更新强度。预算逼近上限时，控制器优先触发删除低活性原型、合并高度相似原型或提高新生阈值，从而在固定资源条件下维持长期可运行性</w:t>
      </w:r>
    </w:p>
    <w:p w14:paraId="07724C3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概念图谱</w:t>
      </w:r>
    </w:p>
    <w:p w14:paraId="20F1910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为了避免系统只输出离散簇编号，</w:t>
      </w:r>
      <w:r>
        <w:rPr>
          <w:rFonts w:hint="eastAsia" w:ascii="宋体" w:hAnsi="宋体" w:eastAsia="宋体" w:cs="宋体"/>
          <w:lang w:val="en-US" w:eastAsia="zh-CN"/>
        </w:rPr>
        <w:t>以</w:t>
      </w:r>
      <w:r>
        <w:rPr>
          <w:rFonts w:hint="eastAsia" w:ascii="宋体" w:hAnsi="宋体" w:eastAsia="宋体" w:cs="宋体"/>
        </w:rPr>
        <w:t>节点为原型，边表示相似邻接、父子分裂、合并历史与时序转移。每次 birth/merge/split/decay 后，图谱同步更新</w:t>
      </w:r>
    </w:p>
    <w:p w14:paraId="4660206A">
      <w:pPr>
        <w:bidi w:val="0"/>
        <w:rPr>
          <w:rFonts w:hint="eastAsia" w:ascii="宋体" w:hAnsi="宋体" w:eastAsia="宋体" w:cs="宋体"/>
        </w:rPr>
      </w:pPr>
    </w:p>
    <w:p w14:paraId="526ADF7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理论分析</w:t>
      </w:r>
    </w:p>
    <w:p w14:paraId="62E6B02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分析目标与基本假设</w:t>
      </w:r>
    </w:p>
    <w:p w14:paraId="1C63D61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本文分析纯在线、自组织识别系统在长序列运行中的四个性质：对象</w:t>
      </w:r>
      <w:bookmarkStart w:id="0" w:name="_GoBack"/>
      <w:bookmarkEnd w:id="0"/>
      <w:r>
        <w:rPr>
          <w:rFonts w:hint="eastAsia" w:ascii="宋体" w:hAnsi="宋体" w:eastAsia="宋体" w:cs="宋体"/>
        </w:rPr>
        <w:t>性是否会从背景中涌现，原型库是否会收敛到有限覆盖，同一对象的概念身份是否稳定，以及在有限预算下系统是否仍有可控损失。为此，引入六类基本假设：局部背景平稳性、对象—背景可分性、短时预测器局部一致性、原型簇间分离与簇内有界扰动、时序关联误差有界，以及记忆预算有限且门控更新有界。</w:t>
      </w:r>
    </w:p>
    <w:p w14:paraId="6C8F206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定理 1：对象性抬升下界</w:t>
      </w:r>
    </w:p>
    <w:p w14:paraId="1BDFB5B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在局部背景平稳且背景预测误差有界的条件下，只要对象区域在边界不连续、短时持续性、共动性、预测惊奇和去习惯化响应上形成联合 margin，则对象性场 Oₜ 相对于背景具有严格正下界。换言之，只要对象相对背景存在联合优势，类无关对象性分数就会被系统性抬升，从而使 proposal 提取具有理论上的阈值可检出性。</w:t>
      </w:r>
    </w:p>
    <w:p w14:paraId="6CAAFE1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定理 2：有限原型覆盖一致性</w:t>
      </w:r>
    </w:p>
    <w:p w14:paraId="11934E9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若潜在概念空间满足簇间正 margin 与簇内有界扰动，且 birth、merge、split 阈值处于合理区间，则长期运行中原型库将收敛到对真实概念空间的有限覆盖，而不会随流长度无限爆炸。该结果解释了为什么 birth/merge/split/decay 并非启发式拼装，而是一套抑制原型碎裂与记忆膨胀的必要机制。</w:t>
      </w:r>
    </w:p>
    <w:p w14:paraId="7D72CA0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定理 3：时间概念稳定性</w:t>
      </w:r>
    </w:p>
    <w:p w14:paraId="2365CD2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当对象性 margin 与原型匹配 margin 共同足够大，且同一实例在相邻时刻的观测扰动受限时，概念 ID 的切换概率可由指数衰减形式上界。直观而言，系统只有在对象性提取或原型吸附同时失真时才会频繁跳号，因此时序身份一致性是 recognition 成立的必要条件。</w:t>
      </w:r>
    </w:p>
    <w:p w14:paraId="654F668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5.5 定理 4：记忆受限稳定—可塑性 regret 上界</w:t>
      </w:r>
    </w:p>
    <w:p w14:paraId="1ED8A3D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设无限记忆 oracle 的累计损失为 ℓ*，有限预算系统的累计损失为 ℓ，则 regret(T)=Σ(ℓₜ−ℓ*ₜ) 可分解为在线更新误差、预算压缩误差与概念切换误差三部分。若门控更新满足 Lipschitz 有界性，且预算控制误差可控，则平均 regret 不会线性失控，而是被对象性 margin、原型 margin 和预算压缩误差共同限制。</w:t>
      </w:r>
    </w:p>
    <w:p w14:paraId="7B96156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5.6 理论结果的意义</w:t>
      </w:r>
    </w:p>
    <w:p w14:paraId="02D845E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四条结论分别说明：对象为什么能被看见；原型为什么不会失控；为什么这套系统可以称为 recognition 而不是随机聚类；以及为什么在有限资源约束下系统仍具有分析价值。与此同时，这些结论都应被理解为条件性理论结果，而非对任意场景的无条件保证。</w:t>
      </w:r>
    </w:p>
    <w:p w14:paraId="38B6281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实验设计与评测协议</w:t>
      </w:r>
    </w:p>
    <w:p w14:paraId="38C72E3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总体原则</w:t>
      </w:r>
    </w:p>
    <w:p w14:paraId="3390534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实验部分目标系统评估 NOPS-OWR 在零离线训练、零预训练、单遍流式条件下的综合能力：能否发现未知对象、能否形成稳定概念、能否在有限预算下长期运行、以及能否体现纯脉冲系统在时延与能耗上的部署优势。</w:t>
      </w:r>
    </w:p>
    <w:p w14:paraId="2EFEC85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NOPS-Bench 协议</w:t>
      </w:r>
    </w:p>
    <w:p w14:paraId="4525FA7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NOPS-Bench 的核心规则包括：禁止使用目标数据的离线训练集；禁止加载外部预训练权重；禁止使用人工类别词表；禁止对整条流进行多轮 replay 式训练；所有方法必须在固定预算 B 下运行。与常规 OWOD/OVD 相比，本文直接取消离线 detector/backbone 前提；与现有神经形态 benchmark 相比，本文把未知发现、概念形成、长期稳定性与资源效率放到同一协议中评测。</w:t>
      </w:r>
    </w:p>
    <w:p w14:paraId="700A2F3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三条 Track</w:t>
      </w:r>
    </w:p>
    <w:p w14:paraId="21BEF63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Track A 为 Streaming OWOD Track，用时间化的开放世界图像/视频流评测未知发现与概念复用；Track B 为 Event-Stream Track，面向 Prophesee Gen1、1 Mpx 等事件数据，重点评测 pure SNN 条件下的 discovery、latency 与 energy proxy；Track C 为 Long-Horizon Stability Track，专门引入长时间背景漂移、对象重复出现、预算逼近上限等条件，用于测试 memory growth、concept churn、prototype fragmentation 与长期 Pareto 行为。</w:t>
      </w:r>
    </w:p>
    <w:p w14:paraId="647A99D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6.4 评价指标</w:t>
      </w:r>
    </w:p>
    <w:p w14:paraId="4F11BF9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本文将指标分为六组：Unknown Discovery（U-Recall、U-mAP、Objectness AUPR）、Concept Quality（NMI、ARI、Purity）、Temporal Consistency（IDSW、Temporal Consistency Score）、Lifelong Behavior（Emergence Delay、PFR、Churn）、Budgeted Efficiency（Latency、Memory、Energy Proxy）以及归一化综合指标（MNDS、Pareto Frontier Dominance）。其中 PFR 与 MNDS 是建议重点推广的新指标，用于量化概念碎裂与按预算归一化的发现能力。</w:t>
      </w:r>
    </w:p>
    <w:p w14:paraId="519E292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6.5 对照组设置</w:t>
      </w:r>
    </w:p>
    <w:p w14:paraId="56BBB62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对照组分为三层：第一层为 training-free / online ANN 基线，是最公平的主对手；第二层为 OWOD/OVD 上界对照，如 UC-OWOD、OW-OVD、OWOBJ，用于说明当前开放世界方向的强参照系；第三层为监督式 SNN 上界，如 SpikeYOLO 与 MSD，用于表明训练后高性能脉冲系统的上界水位。本文并不与后两层做完全公平比较，而是用它们说明 NOPS-OWR 在更难设定下所处的位置。</w:t>
      </w:r>
    </w:p>
    <w:p w14:paraId="06B2E2B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6.6 消融实验</w:t>
      </w:r>
    </w:p>
    <w:p w14:paraId="0D2BB45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消融必须围绕论文主张展开，而不是简单删模块看掉点。对象性场消融对应定理 1；birth/merge/split/decay 消融对应定理 2；时序一致性消融对应定理 3；稳定—可塑性控制器与预算敏感性实验对应定理 4。主结果至少应包含主表、长期稳定性表、理论—实验对应表和预算敏感性表。</w:t>
      </w:r>
    </w:p>
    <w:p w14:paraId="2C51C9B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 结果分析与讨论</w:t>
      </w:r>
    </w:p>
    <w:p w14:paraId="13B9309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结果分析原则</w:t>
      </w:r>
    </w:p>
    <w:p w14:paraId="2A22195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本文结果分析不能沿用普通闭集检测论文的写法。对于 NOPS-OWR，更重要的不是某一类静态精度，而是：未知对象能否被及时发现，重复出现对象能否形成稳定概念，系统在长序列和预算受限条件下是否持续稳定。因此，正文分析必须围绕 discovery、concept formation、temporal consistency 和 long-horizon stability 四条主线展开，并始终把 latency、memory 与 energy 放在主叙事中，而不是放进附录角落。</w:t>
      </w:r>
    </w:p>
    <w:p w14:paraId="3ED6E74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为什么本文不是“异常检测换壳”</w:t>
      </w:r>
    </w:p>
    <w:p w14:paraId="1B3881B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异常检测通常输出异常分数、异常区域或二元异常判断，而本文输出的是 proposal/mask、实例轨迹、概念原型 ID 与概念图谱。更重要的是，本文不仅关心‘当前这个是否异常’，还关心‘这个对象是否与之前出现过的对象属于同一内部概念’，并显式研究 birth/merge/split/decay 与 budgeted memory control。因此，NOPS-OWR 的目标是完整的开放世界自举识别闭环，而不是单纯的异常响应系统。</w:t>
      </w:r>
    </w:p>
    <w:p w14:paraId="4683C44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为什么本文仍可称为 Recognition</w:t>
      </w:r>
    </w:p>
    <w:p w14:paraId="054DBB7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本文不输出自然语言类别名，但这并不意味着它只能称为 clustering。本文所说的 recognition，是指系统在连续流中对重复出现实体形成、维持并复用内部概念的能力，即 concept-level recognition rather than label-name prediction。在零预训练、零标签、零词表设定下，这一定义既更合理，也更符合问题本身的可解性边界。</w:t>
      </w:r>
    </w:p>
    <w:p w14:paraId="6EBF706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7.4 局限性</w:t>
      </w:r>
    </w:p>
    <w:p w14:paraId="55E0B41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第一，本文不解决开放词汇意义上的语义命名问题；第二，方法依赖连续流，不主打单张图像即插即用；第三，理论结果建立在对象—背景可分、原型 margin 正等条件下，应理解为条件性分析；第四，NOPS-Bench 仍可能存在协议偏置，例如对象出现频率、背景漂移速度和预算设置都可能影响不同方法的相对表现。主动承认这些边界，有助于把问题定义收紧在可兑现范围内。</w:t>
      </w:r>
    </w:p>
    <w:p w14:paraId="7494DDD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7.5 讨论</w:t>
      </w:r>
    </w:p>
    <w:p w14:paraId="4BEC0DC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本文真正试图推动的，不只是一个新 SNN 模型，而是把开放世界感知从“离线训练后如何应对未知类”推进到“在无离线知识注入条件下，系统能否通过持续交互形成可复用内部概念”。从这个角度看，NOPS-OWR 更接近一个资源受限条件下的在线概念形成系统，而非传统意义上的目标检测器。NOPS-Bench 的价值也正在于此：它把 no-pretrain、one-pass、memory-bounded 这些现实部署中关键但常被忽略的条件明确写入评测协议。</w:t>
      </w:r>
    </w:p>
    <w:p w14:paraId="26FC7EE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 结论</w:t>
      </w:r>
    </w:p>
    <w:p w14:paraId="007C3F3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围绕一个更严格的开放世界视觉问题展开：在无离线训练数据、无预训练参数、无标签词表、单遍流式访问与有限记忆预算条件下，系统能否以纯脉冲方式完成对象发现、身份保持、概念形成与长期稳定运行。为此，本文提出 NOPS-OWR 框架与 NOPS-Bench 协议，并从方法、理论、实验与讨论四个层面给出完整骨架。</w:t>
      </w:r>
    </w:p>
    <w:p w14:paraId="7844504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本文的关键收口在于：不把目标写成不成立的“零预训练语义命名”，而是明确写成“开放世界自举识别”。这使得问题定义、方法路径、理论命题与评测协议可以相互闭合。若后续能够把 NOPS-Bench 公开、把四条理论命题继续严化，并在长时序资源约束实验上形成清楚的新 Pareto 前沿，则该工作具备强二区乃至一区讨论价值。</w:t>
      </w:r>
    </w:p>
    <w:p w14:paraId="2B3B386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A 图表清单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551"/>
        <w:gridCol w:w="4989"/>
      </w:tblGrid>
      <w:tr w14:paraId="30FC4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D9E2F3"/>
            <w:vAlign w:val="center"/>
          </w:tcPr>
          <w:p w14:paraId="60FEDAE2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3061" w:type="dxa"/>
            <w:shd w:val="clear" w:color="auto" w:fill="D9E2F3"/>
            <w:vAlign w:val="center"/>
          </w:tcPr>
          <w:p w14:paraId="65B1E3E0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名称</w:t>
            </w:r>
          </w:p>
        </w:tc>
        <w:tc>
          <w:tcPr>
            <w:tcW w:w="3061" w:type="dxa"/>
            <w:shd w:val="clear" w:color="auto" w:fill="D9E2F3"/>
            <w:vAlign w:val="center"/>
          </w:tcPr>
          <w:p w14:paraId="69189559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作用</w:t>
            </w:r>
          </w:p>
        </w:tc>
      </w:tr>
      <w:tr w14:paraId="26C63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7F9FC"/>
            <w:vAlign w:val="center"/>
          </w:tcPr>
          <w:p w14:paraId="4838C818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图1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2931C8DB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问题设定图</w:t>
            </w:r>
          </w:p>
        </w:tc>
        <w:tc>
          <w:tcPr>
            <w:tcW w:w="4989" w:type="dxa"/>
            <w:shd w:val="clear" w:color="auto" w:fill="F7F9FC"/>
            <w:vAlign w:val="center"/>
          </w:tcPr>
          <w:p w14:paraId="53531F6C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一眼说明你删掉了哪些前提、保留了哪些能力边界。</w:t>
            </w:r>
          </w:p>
        </w:tc>
      </w:tr>
      <w:tr w14:paraId="48045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487D79BD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E0E9273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方法总图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2BDB6471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展示六模块闭环与 birth/merge/split/decay 关系。</w:t>
            </w:r>
          </w:p>
        </w:tc>
      </w:tr>
      <w:tr w14:paraId="37D7F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7F9FC"/>
            <w:vAlign w:val="center"/>
          </w:tcPr>
          <w:p w14:paraId="2C1F502A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图3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08965D91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对象性涌现图</w:t>
            </w:r>
          </w:p>
        </w:tc>
        <w:tc>
          <w:tcPr>
            <w:tcW w:w="4989" w:type="dxa"/>
            <w:shd w:val="clear" w:color="auto" w:fill="F7F9FC"/>
            <w:vAlign w:val="center"/>
          </w:tcPr>
          <w:p w14:paraId="119A5577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对应对象性场与定理 1。</w:t>
            </w:r>
          </w:p>
        </w:tc>
      </w:tr>
      <w:tr w14:paraId="752BB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1574FAF7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68A8253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原型生命周期图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DC063C1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对应有限原型覆盖与概念形成机制。</w:t>
            </w:r>
          </w:p>
        </w:tc>
      </w:tr>
      <w:tr w14:paraId="6ED74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7F9FC"/>
            <w:vAlign w:val="center"/>
          </w:tcPr>
          <w:p w14:paraId="1ACC4B89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图5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0D8836C2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长时序概念演化图</w:t>
            </w:r>
          </w:p>
        </w:tc>
        <w:tc>
          <w:tcPr>
            <w:tcW w:w="4989" w:type="dxa"/>
            <w:shd w:val="clear" w:color="auto" w:fill="F7F9FC"/>
            <w:vAlign w:val="center"/>
          </w:tcPr>
          <w:p w14:paraId="6AC3C25D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 temporal consistency 与 ID switch。</w:t>
            </w:r>
          </w:p>
        </w:tc>
      </w:tr>
      <w:tr w14:paraId="1A4E2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1986D6E1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4A29472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NOPS-Bench 协议图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1CF5386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把 benchmark 贡献显式化。</w:t>
            </w:r>
          </w:p>
        </w:tc>
      </w:tr>
      <w:tr w14:paraId="03231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7F9FC"/>
            <w:vAlign w:val="center"/>
          </w:tcPr>
          <w:p w14:paraId="49EB0CFD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图7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1D79B4EE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Pareto 前沿图</w:t>
            </w:r>
          </w:p>
        </w:tc>
        <w:tc>
          <w:tcPr>
            <w:tcW w:w="4989" w:type="dxa"/>
            <w:shd w:val="clear" w:color="auto" w:fill="F7F9FC"/>
            <w:vAlign w:val="center"/>
          </w:tcPr>
          <w:p w14:paraId="34B847EA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说明性能—资源折中的新工作点。</w:t>
            </w:r>
          </w:p>
        </w:tc>
      </w:tr>
      <w:tr w14:paraId="5B43C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39F0F49C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91A6E17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主结果表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C86EBBC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Unknown discovery + concept + resource 三位一体主表。</w:t>
            </w:r>
          </w:p>
        </w:tc>
      </w:tr>
      <w:tr w14:paraId="28EF3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7F9FC"/>
            <w:vAlign w:val="center"/>
          </w:tcPr>
          <w:p w14:paraId="5C9BCCBB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表2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6FA31108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长期稳定性表</w:t>
            </w:r>
          </w:p>
        </w:tc>
        <w:tc>
          <w:tcPr>
            <w:tcW w:w="4989" w:type="dxa"/>
            <w:shd w:val="clear" w:color="auto" w:fill="F7F9FC"/>
            <w:vAlign w:val="center"/>
          </w:tcPr>
          <w:p w14:paraId="3F8A8787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证明系统不会越跑越乱。</w:t>
            </w:r>
          </w:p>
        </w:tc>
      </w:tr>
      <w:tr w14:paraId="5BEA2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27726048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AD00DC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消融表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AB4CFB8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围绕对象性、原型、门控与时序一致性展开。</w:t>
            </w:r>
          </w:p>
        </w:tc>
      </w:tr>
      <w:tr w14:paraId="7FD42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7F9FC"/>
            <w:vAlign w:val="center"/>
          </w:tcPr>
          <w:p w14:paraId="34A8075F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表4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204EE58E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预算敏感性表</w:t>
            </w:r>
          </w:p>
        </w:tc>
        <w:tc>
          <w:tcPr>
            <w:tcW w:w="4989" w:type="dxa"/>
            <w:shd w:val="clear" w:color="auto" w:fill="F7F9FC"/>
            <w:vAlign w:val="center"/>
          </w:tcPr>
          <w:p w14:paraId="4B103135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 memory-bounded regret 与 Pareto 行为。</w:t>
            </w:r>
          </w:p>
        </w:tc>
      </w:tr>
      <w:tr w14:paraId="03BC0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5BAA80D6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表5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7884FB4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理论—实验对应表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C50C178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防止理论与实验脱节。</w:t>
            </w:r>
          </w:p>
        </w:tc>
      </w:tr>
    </w:tbl>
    <w:p w14:paraId="4C3CE31E">
      <w:pPr>
        <w:bidi w:val="0"/>
        <w:rPr>
          <w:rFonts w:hint="eastAsia" w:ascii="宋体" w:hAnsi="宋体" w:eastAsia="宋体" w:cs="宋体"/>
        </w:rPr>
      </w:pPr>
    </w:p>
    <w:sectPr>
      <w:headerReference r:id="rId5" w:type="default"/>
      <w:pgSz w:w="11906" w:h="16838"/>
      <w:pgMar w:top="1247" w:right="1361" w:bottom="1134" w:left="1361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F6546">
    <w:pPr>
      <w:pStyle w:val="25"/>
      <w:jc w:val="right"/>
      <w:rPr>
        <w:rFonts w:hint="default"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9D4185"/>
    <w:rsid w:val="26A57715"/>
    <w:rsid w:val="3A023EA4"/>
    <w:rsid w:val="42660B19"/>
    <w:rsid w:val="512E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1F395B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1F395B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276" w:lineRule="auto"/>
      <w:outlineLvl w:val="2"/>
    </w:pPr>
    <w:rPr>
      <w:rFonts w:asciiTheme="majorHAnsi" w:hAnsiTheme="majorHAnsi" w:eastAsiaTheme="majorEastAsia" w:cstheme="majorBidi"/>
      <w:b/>
      <w:bCs/>
      <w:color w:val="1F395B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qFormat/>
    <w:uiPriority w:val="0"/>
    <w:pPr>
      <w:spacing w:after="240"/>
    </w:pPr>
    <w:rPr>
      <w:rFonts w:ascii="Noto Sans CJK SC" w:hAnsi="Noto Sans CJK SC" w:eastAsia="Noto Sans CJK SC"/>
      <w:b/>
      <w:color w:val="1F395B"/>
      <w:sz w:val="44"/>
    </w:rPr>
  </w:style>
  <w:style w:type="paragraph" w:customStyle="1" w:styleId="165">
    <w:name w:val="SubtitleCN"/>
    <w:basedOn w:val="1"/>
    <w:qFormat/>
    <w:uiPriority w:val="0"/>
    <w:pPr>
      <w:spacing w:after="360"/>
    </w:pPr>
    <w:rPr>
      <w:rFonts w:ascii="Noto Sans CJK SC" w:hAnsi="Noto Sans CJK SC" w:eastAsia="Noto Sans CJK SC"/>
      <w:color w:val="606060"/>
      <w:sz w:val="24"/>
    </w:rPr>
  </w:style>
  <w:style w:type="paragraph" w:customStyle="1" w:styleId="166">
    <w:name w:val="Equation"/>
    <w:basedOn w:val="1"/>
    <w:qFormat/>
    <w:uiPriority w:val="0"/>
    <w:pPr>
      <w:spacing w:before="60" w:after="60" w:line="264" w:lineRule="auto"/>
      <w:ind w:firstLine="0"/>
      <w:jc w:val="center"/>
    </w:pPr>
    <w:rPr>
      <w:rFonts w:ascii="Noto Serif CJK SC" w:hAnsi="Noto Serif CJK SC" w:eastAsia="Noto Serif CJK SC"/>
      <w:sz w:val="21"/>
    </w:rPr>
  </w:style>
  <w:style w:type="paragraph" w:customStyle="1" w:styleId="167">
    <w:name w:val="Callout"/>
    <w:basedOn w:val="1"/>
    <w:qFormat/>
    <w:uiPriority w:val="0"/>
    <w:rPr>
      <w:rFonts w:ascii="Noto Sans CJK SC" w:hAnsi="Noto Sans CJK SC" w:eastAsia="Noto Sans CJK SC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6158</Words>
  <Characters>7688</Characters>
  <Lines>0</Lines>
  <Paragraphs>0</Paragraphs>
  <TotalTime>538</TotalTime>
  <ScaleCrop>false</ScaleCrop>
  <LinksUpToDate>false</LinksUpToDate>
  <CharactersWithSpaces>8038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2013-12-24T12:15:00Z</dcterms:created>
  <dc:creator>python-docx</dc:creator>
  <dc:description>generated by python-docx</dc:description>
  <cp:lastModifiedBy>WPS_1649898588</cp:lastModifiedBy>
  <dcterms:modified xsi:type="dcterms:W3CDTF">2026-04-06T12:30:50Z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eyJoZGlkIjoiYmFkNDI4MjU4ZWFjN2VjYzZiMWE0MjhlNjViYTI0MDQiLCJ1c2VySWQiOiIxMzYzMDIwMzkxIn0=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0CC0C0DFBCE44BA0A952429B7B6D8A10_12</vt:lpwstr>
  </property>
</Properties>
</file>