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2004A2" w14:textId="77777777" w:rsidR="00A2217E" w:rsidRPr="00A2217E" w:rsidRDefault="00A2217E" w:rsidP="00A2217E">
      <w:pPr>
        <w:rPr>
          <w:b/>
          <w:bCs/>
          <w:lang w:val="en-US"/>
        </w:rPr>
      </w:pPr>
      <w:r w:rsidRPr="00A2217E">
        <w:rPr>
          <w:b/>
          <w:bCs/>
          <w:lang w:val="en-US"/>
        </w:rPr>
        <w:t>Résumé de la thèse – Impact de la pandémie de COVID-19 sur la dynamique du VRS en France (2018–2025)</w:t>
      </w:r>
    </w:p>
    <w:p w14:paraId="635E8BD9" w14:textId="77777777" w:rsidR="00A2217E" w:rsidRPr="00A2217E" w:rsidRDefault="00A2217E" w:rsidP="00A2217E">
      <w:pPr>
        <w:rPr>
          <w:b/>
          <w:bCs/>
          <w:lang w:val="en-US"/>
        </w:rPr>
      </w:pPr>
      <w:r w:rsidRPr="00A2217E">
        <w:rPr>
          <w:b/>
          <w:bCs/>
          <w:lang w:val="en-US"/>
        </w:rPr>
        <w:t>Introduction et contexte</w:t>
      </w:r>
    </w:p>
    <w:p w14:paraId="3D27EB3C" w14:textId="77777777" w:rsidR="00A2217E" w:rsidRPr="00A2217E" w:rsidRDefault="00A2217E" w:rsidP="00A2217E">
      <w:pPr>
        <w:rPr>
          <w:lang w:val="en-US"/>
        </w:rPr>
      </w:pPr>
      <w:r w:rsidRPr="00A2217E">
        <w:rPr>
          <w:lang w:val="en-US"/>
        </w:rPr>
        <w:t>La pandémie de COVID-19 a profondément bouleversé l’épidémiologie mondiale des infections respiratoires. Dès mars 2020, l’instauration de mesures non pharmaceutiques (MNP) — confinements, port du masque, distanciation, fermeture d’écoles — a réduit drastiquement la transmission du SARS-CoV-2, mais aussi celle d’autres virus saisonniers.</w:t>
      </w:r>
      <w:r w:rsidRPr="00A2217E">
        <w:rPr>
          <w:lang w:val="en-US"/>
        </w:rPr>
        <w:br/>
        <w:t>Parmi eux, le </w:t>
      </w:r>
      <w:r w:rsidRPr="00A2217E">
        <w:rPr>
          <w:b/>
          <w:bCs/>
          <w:lang w:val="en-US"/>
        </w:rPr>
        <w:t>virus respiratoire syncytial (VRS)</w:t>
      </w:r>
      <w:r w:rsidRPr="00A2217E">
        <w:rPr>
          <w:lang w:val="en-US"/>
        </w:rPr>
        <w:t>, principal agent de la bronchiolite du nourrisson, a subi une disruption majeure : disparition quasi-totale en 2020-2021, puis réémergence décalée et intense dès la levée des restrictions.</w:t>
      </w:r>
    </w:p>
    <w:p w14:paraId="3F7829C0" w14:textId="77777777" w:rsidR="00A2217E" w:rsidRPr="00A2217E" w:rsidRDefault="00A2217E" w:rsidP="00A2217E">
      <w:pPr>
        <w:rPr>
          <w:lang w:val="en-US"/>
        </w:rPr>
      </w:pPr>
      <w:r w:rsidRPr="00A2217E">
        <w:rPr>
          <w:lang w:val="en-US"/>
        </w:rPr>
        <w:t>Avant la pandémie, le VRS provoquait chaque année </w:t>
      </w:r>
      <w:r w:rsidRPr="00A2217E">
        <w:rPr>
          <w:b/>
          <w:bCs/>
          <w:lang w:val="en-US"/>
        </w:rPr>
        <w:t>33 à 64 millions d’infections respiratoires aiguës</w:t>
      </w:r>
      <w:r w:rsidRPr="00A2217E">
        <w:rPr>
          <w:lang w:val="en-US"/>
        </w:rPr>
        <w:t> dans le monde, entraînant </w:t>
      </w:r>
      <w:r w:rsidRPr="00A2217E">
        <w:rPr>
          <w:b/>
          <w:bCs/>
          <w:lang w:val="en-US"/>
        </w:rPr>
        <w:t>3 à 4 millions d’hospitalisations</w:t>
      </w:r>
      <w:r w:rsidRPr="00A2217E">
        <w:rPr>
          <w:lang w:val="en-US"/>
        </w:rPr>
        <w:t> et jusqu’à </w:t>
      </w:r>
      <w:r w:rsidRPr="00A2217E">
        <w:rPr>
          <w:b/>
          <w:bCs/>
          <w:lang w:val="en-US"/>
        </w:rPr>
        <w:t>200 000 décès</w:t>
      </w:r>
      <w:r w:rsidRPr="00A2217E">
        <w:rPr>
          <w:lang w:val="en-US"/>
        </w:rPr>
        <w:t>, principalement chez les enfants de moins de 5 ans. En France, près de </w:t>
      </w:r>
      <w:r w:rsidRPr="00A2217E">
        <w:rPr>
          <w:b/>
          <w:bCs/>
          <w:lang w:val="en-US"/>
        </w:rPr>
        <w:t>480 000 nourrissons</w:t>
      </w:r>
      <w:r w:rsidRPr="00A2217E">
        <w:rPr>
          <w:lang w:val="en-US"/>
        </w:rPr>
        <w:t> étaient touchés chaque hiver, avec 2–3 % d’hospitalisations. Le virus affecte également les personnes âgées, représentant </w:t>
      </w:r>
      <w:r w:rsidRPr="00A2217E">
        <w:rPr>
          <w:b/>
          <w:bCs/>
          <w:lang w:val="en-US"/>
        </w:rPr>
        <w:t>20 000 décès annuels</w:t>
      </w:r>
      <w:r w:rsidRPr="00A2217E">
        <w:rPr>
          <w:lang w:val="en-US"/>
        </w:rPr>
        <w:t> en Europe.</w:t>
      </w:r>
    </w:p>
    <w:p w14:paraId="7FE67321" w14:textId="77777777" w:rsidR="00A2217E" w:rsidRPr="00A2217E" w:rsidRDefault="00A2217E" w:rsidP="00A2217E">
      <w:pPr>
        <w:rPr>
          <w:lang w:val="en-US"/>
        </w:rPr>
      </w:pPr>
      <w:r w:rsidRPr="00A2217E">
        <w:rPr>
          <w:lang w:val="en-US"/>
        </w:rPr>
        <w:t>L’arrivée de la COVID-19 a suspendu ce cycle saisonnier bien établi. L’hiver 2020-2021 n’a enregistré aucune épidémie de bronchiolite, avant un rebond précoce et puissant à l’été 2021. Ces ruptures ont révélé l’influence directe des comportements humains et des interventions sanitaires sur les dynamiques virales.</w:t>
      </w:r>
      <w:r w:rsidRPr="00A2217E">
        <w:rPr>
          <w:lang w:val="en-US"/>
        </w:rPr>
        <w:br/>
        <w:t>Ce contexte coïncide avec l’essor de nouvelles stratégies de prévention anti-VRS (anticorps monoclonaux nirsévimab, vaccins seniors), rendant essentiel de comprendre les perturbations observées pour anticiper les effets des futures campagnes d’immunisation.</w:t>
      </w:r>
    </w:p>
    <w:p w14:paraId="66721F7E" w14:textId="2F003100" w:rsidR="00A2217E" w:rsidRPr="00A2217E" w:rsidRDefault="00A2217E" w:rsidP="00A2217E">
      <w:pPr>
        <w:rPr>
          <w:lang w:val="en-US"/>
        </w:rPr>
      </w:pPr>
    </w:p>
    <w:p w14:paraId="432F073B" w14:textId="77777777" w:rsidR="00A2217E" w:rsidRPr="00A2217E" w:rsidRDefault="00A2217E" w:rsidP="00A2217E">
      <w:pPr>
        <w:rPr>
          <w:b/>
          <w:bCs/>
          <w:lang w:val="en-US"/>
        </w:rPr>
      </w:pPr>
      <w:r w:rsidRPr="00A2217E">
        <w:rPr>
          <w:b/>
          <w:bCs/>
          <w:lang w:val="en-US"/>
        </w:rPr>
        <w:t>Objectifs et hypothèses</w:t>
      </w:r>
    </w:p>
    <w:p w14:paraId="7E352FD5" w14:textId="77777777" w:rsidR="00A2217E" w:rsidRPr="00A2217E" w:rsidRDefault="00A2217E" w:rsidP="00A2217E">
      <w:pPr>
        <w:rPr>
          <w:lang w:val="en-US"/>
        </w:rPr>
      </w:pPr>
      <w:r w:rsidRPr="00A2217E">
        <w:rPr>
          <w:b/>
          <w:bCs/>
          <w:lang w:val="en-US"/>
        </w:rPr>
        <w:t>Objectif principal</w:t>
      </w:r>
      <w:r w:rsidRPr="00A2217E">
        <w:rPr>
          <w:lang w:val="en-US"/>
        </w:rPr>
        <w:br/>
        <w:t>Évaluer comment la campagne vaccinale anti-COVID et les MNP ont modifié le </w:t>
      </w:r>
      <w:r w:rsidRPr="00A2217E">
        <w:rPr>
          <w:b/>
          <w:bCs/>
          <w:lang w:val="en-US"/>
        </w:rPr>
        <w:t>calendrier</w:t>
      </w:r>
      <w:r w:rsidRPr="00A2217E">
        <w:rPr>
          <w:lang w:val="en-US"/>
        </w:rPr>
        <w:t> et </w:t>
      </w:r>
      <w:r w:rsidRPr="00A2217E">
        <w:rPr>
          <w:b/>
          <w:bCs/>
          <w:lang w:val="en-US"/>
        </w:rPr>
        <w:t>l’intensité</w:t>
      </w:r>
      <w:r w:rsidRPr="00A2217E">
        <w:rPr>
          <w:lang w:val="en-US"/>
        </w:rPr>
        <w:t> des épidémies de VRS en France.</w:t>
      </w:r>
    </w:p>
    <w:p w14:paraId="5978F092" w14:textId="77777777" w:rsidR="00A2217E" w:rsidRPr="00A2217E" w:rsidRDefault="00A2217E" w:rsidP="00A2217E">
      <w:pPr>
        <w:rPr>
          <w:lang w:val="en-US"/>
        </w:rPr>
      </w:pPr>
      <w:r w:rsidRPr="00A2217E">
        <w:rPr>
          <w:b/>
          <w:bCs/>
          <w:lang w:val="en-US"/>
        </w:rPr>
        <w:t>Objectifs spécifiques</w:t>
      </w:r>
    </w:p>
    <w:p w14:paraId="0FB1E3FD" w14:textId="77777777" w:rsidR="00A2217E" w:rsidRPr="00A2217E" w:rsidRDefault="00A2217E" w:rsidP="00A2217E">
      <w:pPr>
        <w:numPr>
          <w:ilvl w:val="0"/>
          <w:numId w:val="9"/>
        </w:numPr>
        <w:rPr>
          <w:lang w:val="en-US"/>
        </w:rPr>
      </w:pPr>
      <w:r w:rsidRPr="00A2217E">
        <w:rPr>
          <w:lang w:val="en-US"/>
        </w:rPr>
        <w:t>Mesurer les </w:t>
      </w:r>
      <w:r w:rsidRPr="00A2217E">
        <w:rPr>
          <w:b/>
          <w:bCs/>
          <w:lang w:val="en-US"/>
        </w:rPr>
        <w:t>décalages temporels</w:t>
      </w:r>
      <w:r w:rsidRPr="00A2217E">
        <w:rPr>
          <w:lang w:val="en-US"/>
        </w:rPr>
        <w:t> des pics RSV (2018–2025).</w:t>
      </w:r>
    </w:p>
    <w:p w14:paraId="3684174F" w14:textId="77777777" w:rsidR="00A2217E" w:rsidRPr="00A2217E" w:rsidRDefault="00A2217E" w:rsidP="00A2217E">
      <w:pPr>
        <w:numPr>
          <w:ilvl w:val="0"/>
          <w:numId w:val="9"/>
        </w:numPr>
        <w:rPr>
          <w:lang w:val="en-US"/>
        </w:rPr>
      </w:pPr>
      <w:r w:rsidRPr="00A2217E">
        <w:rPr>
          <w:lang w:val="en-US"/>
        </w:rPr>
        <w:t>Examiner les </w:t>
      </w:r>
      <w:r w:rsidRPr="00A2217E">
        <w:rPr>
          <w:b/>
          <w:bCs/>
          <w:lang w:val="en-US"/>
        </w:rPr>
        <w:t>disparités régionales</w:t>
      </w:r>
      <w:r w:rsidRPr="00A2217E">
        <w:rPr>
          <w:lang w:val="en-US"/>
        </w:rPr>
        <w:t> : corrélation entre taux de vaccination COVID et incidence du VRS.</w:t>
      </w:r>
    </w:p>
    <w:p w14:paraId="047F0699" w14:textId="77777777" w:rsidR="00A2217E" w:rsidRPr="00A2217E" w:rsidRDefault="00A2217E" w:rsidP="00A2217E">
      <w:pPr>
        <w:numPr>
          <w:ilvl w:val="0"/>
          <w:numId w:val="9"/>
        </w:numPr>
        <w:rPr>
          <w:lang w:val="en-US"/>
        </w:rPr>
      </w:pPr>
      <w:r w:rsidRPr="00A2217E">
        <w:rPr>
          <w:lang w:val="en-US"/>
        </w:rPr>
        <w:lastRenderedPageBreak/>
        <w:t>Construire des </w:t>
      </w:r>
      <w:r w:rsidRPr="00A2217E">
        <w:rPr>
          <w:b/>
          <w:bCs/>
          <w:lang w:val="en-US"/>
        </w:rPr>
        <w:t>scénarios contrefactuels</w:t>
      </w:r>
      <w:r w:rsidRPr="00A2217E">
        <w:rPr>
          <w:lang w:val="en-US"/>
        </w:rPr>
        <w:t> (sans COVID, sans MNP, maintien des restrictions) pour estimer les trajectoires hypothétiques du virus.</w:t>
      </w:r>
    </w:p>
    <w:p w14:paraId="182CC758" w14:textId="77777777" w:rsidR="00A2217E" w:rsidRPr="00A2217E" w:rsidRDefault="00A2217E" w:rsidP="00A2217E">
      <w:pPr>
        <w:rPr>
          <w:lang w:val="en-US"/>
        </w:rPr>
      </w:pPr>
      <w:r w:rsidRPr="00A2217E">
        <w:rPr>
          <w:b/>
          <w:bCs/>
          <w:lang w:val="en-US"/>
        </w:rPr>
        <w:t>Hypothèses de travail</w:t>
      </w:r>
    </w:p>
    <w:p w14:paraId="08E83172" w14:textId="77777777" w:rsidR="00A2217E" w:rsidRPr="00A2217E" w:rsidRDefault="00A2217E" w:rsidP="00A2217E">
      <w:pPr>
        <w:numPr>
          <w:ilvl w:val="0"/>
          <w:numId w:val="10"/>
        </w:numPr>
        <w:rPr>
          <w:lang w:val="en-US"/>
        </w:rPr>
      </w:pPr>
      <w:r w:rsidRPr="00A2217E">
        <w:rPr>
          <w:i/>
          <w:iCs/>
          <w:lang w:val="en-US"/>
        </w:rPr>
        <w:t>H1 :</w:t>
      </w:r>
      <w:r w:rsidRPr="00A2217E">
        <w:rPr>
          <w:lang w:val="en-US"/>
        </w:rPr>
        <w:t> la vaccination COVID-19 a indirectement décalé la saisonnalité du VRS.</w:t>
      </w:r>
    </w:p>
    <w:p w14:paraId="4EBD97EA" w14:textId="77777777" w:rsidR="00A2217E" w:rsidRPr="00A2217E" w:rsidRDefault="00A2217E" w:rsidP="00A2217E">
      <w:pPr>
        <w:numPr>
          <w:ilvl w:val="0"/>
          <w:numId w:val="10"/>
        </w:numPr>
        <w:rPr>
          <w:lang w:val="en-US"/>
        </w:rPr>
      </w:pPr>
      <w:r w:rsidRPr="00A2217E">
        <w:rPr>
          <w:i/>
          <w:iCs/>
          <w:lang w:val="en-US"/>
        </w:rPr>
        <w:t>H2 :</w:t>
      </w:r>
      <w:r w:rsidRPr="00A2217E">
        <w:rPr>
          <w:lang w:val="en-US"/>
        </w:rPr>
        <w:t> les MNP ont réduit l’intensité et la diffusion du virus pendant leur application.</w:t>
      </w:r>
    </w:p>
    <w:p w14:paraId="5A79BA02" w14:textId="77777777" w:rsidR="00A2217E" w:rsidRPr="00A2217E" w:rsidRDefault="00A2217E" w:rsidP="00A2217E">
      <w:pPr>
        <w:numPr>
          <w:ilvl w:val="0"/>
          <w:numId w:val="10"/>
        </w:numPr>
        <w:rPr>
          <w:lang w:val="en-US"/>
        </w:rPr>
      </w:pPr>
      <w:r w:rsidRPr="00A2217E">
        <w:rPr>
          <w:i/>
          <w:iCs/>
          <w:lang w:val="en-US"/>
        </w:rPr>
        <w:t>H3 :</w:t>
      </w:r>
      <w:r w:rsidRPr="00A2217E">
        <w:rPr>
          <w:lang w:val="en-US"/>
        </w:rPr>
        <w:t> les régions à forte couverture vaccinale ont connu une reprise plus précoce du VRS.</w:t>
      </w:r>
    </w:p>
    <w:p w14:paraId="0AE1BBF1" w14:textId="534DC929" w:rsidR="00A2217E" w:rsidRPr="00A2217E" w:rsidRDefault="00A2217E" w:rsidP="00A2217E">
      <w:pPr>
        <w:rPr>
          <w:lang w:val="en-US"/>
        </w:rPr>
      </w:pPr>
    </w:p>
    <w:p w14:paraId="10F3BE88" w14:textId="77777777" w:rsidR="00A2217E" w:rsidRPr="00A2217E" w:rsidRDefault="00A2217E" w:rsidP="00A2217E">
      <w:pPr>
        <w:rPr>
          <w:b/>
          <w:bCs/>
          <w:lang w:val="en-US"/>
        </w:rPr>
      </w:pPr>
      <w:r w:rsidRPr="00A2217E">
        <w:rPr>
          <w:b/>
          <w:bCs/>
          <w:lang w:val="en-US"/>
        </w:rPr>
        <w:t>Méthodologie</w:t>
      </w:r>
    </w:p>
    <w:p w14:paraId="71E120CC" w14:textId="77777777" w:rsidR="00A2217E" w:rsidRPr="00A2217E" w:rsidRDefault="00A2217E" w:rsidP="00A2217E">
      <w:pPr>
        <w:rPr>
          <w:b/>
          <w:bCs/>
          <w:lang w:val="en-US"/>
        </w:rPr>
      </w:pPr>
      <w:r w:rsidRPr="00A2217E">
        <w:rPr>
          <w:b/>
          <w:bCs/>
          <w:lang w:val="en-US"/>
        </w:rPr>
        <w:t>Type et période d’étude</w:t>
      </w:r>
    </w:p>
    <w:p w14:paraId="64B4378E" w14:textId="77777777" w:rsidR="00A2217E" w:rsidRPr="00A2217E" w:rsidRDefault="00A2217E" w:rsidP="00A2217E">
      <w:pPr>
        <w:rPr>
          <w:lang w:val="en-US"/>
        </w:rPr>
      </w:pPr>
      <w:r w:rsidRPr="00A2217E">
        <w:rPr>
          <w:lang w:val="en-US"/>
        </w:rPr>
        <w:t>Étude observationnelle rétrospective sur </w:t>
      </w:r>
      <w:r w:rsidRPr="00A2217E">
        <w:rPr>
          <w:b/>
          <w:bCs/>
          <w:lang w:val="en-US"/>
        </w:rPr>
        <w:t>données secondaires nationales</w:t>
      </w:r>
      <w:r w:rsidRPr="00A2217E">
        <w:rPr>
          <w:lang w:val="en-US"/>
        </w:rPr>
        <w:t> (France, 2018–2025), exploitant les variations temporelles et géographiques avant, pendant et après la pandémie.</w:t>
      </w:r>
    </w:p>
    <w:p w14:paraId="70C42FC1" w14:textId="77777777" w:rsidR="00A2217E" w:rsidRPr="00A2217E" w:rsidRDefault="00A2217E" w:rsidP="00A2217E">
      <w:pPr>
        <w:rPr>
          <w:b/>
          <w:bCs/>
          <w:lang w:val="en-US"/>
        </w:rPr>
      </w:pPr>
      <w:r w:rsidRPr="00A2217E">
        <w:rPr>
          <w:b/>
          <w:bCs/>
          <w:lang w:val="en-US"/>
        </w:rPr>
        <w:t>Sources de données principales</w:t>
      </w:r>
    </w:p>
    <w:p w14:paraId="3168F1E8" w14:textId="77777777" w:rsidR="00A2217E" w:rsidRPr="00A2217E" w:rsidRDefault="00A2217E" w:rsidP="00A2217E">
      <w:pPr>
        <w:numPr>
          <w:ilvl w:val="0"/>
          <w:numId w:val="11"/>
        </w:numPr>
        <w:rPr>
          <w:lang w:val="en-US"/>
        </w:rPr>
      </w:pPr>
      <w:r w:rsidRPr="00A2217E">
        <w:rPr>
          <w:b/>
          <w:bCs/>
          <w:lang w:val="en-US"/>
        </w:rPr>
        <w:t>SurSaUD® / Odyssée</w:t>
      </w:r>
      <w:r w:rsidRPr="00A2217E">
        <w:rPr>
          <w:lang w:val="en-US"/>
        </w:rPr>
        <w:t> : passages aux urgences, hospitalisations, actes SOS Médecins (bronchiolite &lt; 2 ans).</w:t>
      </w:r>
    </w:p>
    <w:p w14:paraId="22150F40" w14:textId="77777777" w:rsidR="00A2217E" w:rsidRPr="00A2217E" w:rsidRDefault="00A2217E" w:rsidP="00A2217E">
      <w:pPr>
        <w:numPr>
          <w:ilvl w:val="0"/>
          <w:numId w:val="11"/>
        </w:numPr>
        <w:rPr>
          <w:lang w:val="en-US"/>
        </w:rPr>
      </w:pPr>
      <w:r w:rsidRPr="00A2217E">
        <w:rPr>
          <w:b/>
          <w:bCs/>
          <w:lang w:val="en-US"/>
        </w:rPr>
        <w:t>VAC-SI</w:t>
      </w:r>
      <w:r w:rsidRPr="00A2217E">
        <w:rPr>
          <w:lang w:val="en-US"/>
        </w:rPr>
        <w:t> : couverture vaccinale COVID-19 (première dose, schéma complet, rappel).</w:t>
      </w:r>
    </w:p>
    <w:p w14:paraId="1CF6C60C" w14:textId="77777777" w:rsidR="00A2217E" w:rsidRPr="00A2217E" w:rsidRDefault="00A2217E" w:rsidP="00A2217E">
      <w:pPr>
        <w:numPr>
          <w:ilvl w:val="0"/>
          <w:numId w:val="11"/>
        </w:numPr>
        <w:rPr>
          <w:lang w:val="en-US"/>
        </w:rPr>
      </w:pPr>
      <w:r w:rsidRPr="00A2217E">
        <w:rPr>
          <w:b/>
          <w:bCs/>
          <w:lang w:val="en-US"/>
        </w:rPr>
        <w:t>CoviPrev</w:t>
      </w:r>
      <w:r w:rsidRPr="00A2217E">
        <w:rPr>
          <w:lang w:val="en-US"/>
        </w:rPr>
        <w:t> : adhésion populationnelle aux gestes barrières.</w:t>
      </w:r>
    </w:p>
    <w:p w14:paraId="42186BE3" w14:textId="77777777" w:rsidR="00A2217E" w:rsidRPr="00A2217E" w:rsidRDefault="00A2217E" w:rsidP="00A2217E">
      <w:pPr>
        <w:numPr>
          <w:ilvl w:val="0"/>
          <w:numId w:val="11"/>
        </w:numPr>
        <w:rPr>
          <w:lang w:val="en-US"/>
        </w:rPr>
      </w:pPr>
      <w:r w:rsidRPr="00A2217E">
        <w:rPr>
          <w:b/>
          <w:bCs/>
          <w:lang w:val="en-US"/>
        </w:rPr>
        <w:t>Google Mobility</w:t>
      </w:r>
      <w:r w:rsidRPr="00A2217E">
        <w:rPr>
          <w:lang w:val="en-US"/>
        </w:rPr>
        <w:t> : déplacements vers divers lieux publics ou professionnels.</w:t>
      </w:r>
    </w:p>
    <w:p w14:paraId="3DEFBFC7" w14:textId="77777777" w:rsidR="00A2217E" w:rsidRPr="00A2217E" w:rsidRDefault="00A2217E" w:rsidP="00A2217E">
      <w:pPr>
        <w:numPr>
          <w:ilvl w:val="0"/>
          <w:numId w:val="11"/>
        </w:numPr>
        <w:rPr>
          <w:lang w:val="en-US"/>
        </w:rPr>
      </w:pPr>
      <w:r w:rsidRPr="00A2217E">
        <w:rPr>
          <w:b/>
          <w:bCs/>
          <w:lang w:val="en-US"/>
        </w:rPr>
        <w:t>ERVISS (ECDC)</w:t>
      </w:r>
      <w:r w:rsidRPr="00A2217E">
        <w:rPr>
          <w:lang w:val="en-US"/>
        </w:rPr>
        <w:t> : détections virologiques RSV (validation externe).</w:t>
      </w:r>
    </w:p>
    <w:p w14:paraId="319D06BE" w14:textId="77777777" w:rsidR="00A2217E" w:rsidRPr="00A2217E" w:rsidRDefault="00A2217E" w:rsidP="00A2217E">
      <w:pPr>
        <w:numPr>
          <w:ilvl w:val="0"/>
          <w:numId w:val="11"/>
        </w:numPr>
        <w:rPr>
          <w:lang w:val="en-US"/>
        </w:rPr>
      </w:pPr>
      <w:r w:rsidRPr="00A2217E">
        <w:rPr>
          <w:b/>
          <w:bCs/>
          <w:lang w:val="en-US"/>
        </w:rPr>
        <w:t>Météo-France</w:t>
      </w:r>
      <w:r w:rsidRPr="00A2217E">
        <w:rPr>
          <w:lang w:val="en-US"/>
        </w:rPr>
        <w:t> : température moyenne hebdomadaire (facteur d’ajustement).</w:t>
      </w:r>
    </w:p>
    <w:p w14:paraId="70186B81" w14:textId="77777777" w:rsidR="00A2217E" w:rsidRPr="00A2217E" w:rsidRDefault="00A2217E" w:rsidP="00A2217E">
      <w:pPr>
        <w:rPr>
          <w:b/>
          <w:bCs/>
          <w:lang w:val="en-US"/>
        </w:rPr>
      </w:pPr>
      <w:r w:rsidRPr="00A2217E">
        <w:rPr>
          <w:b/>
          <w:bCs/>
          <w:lang w:val="en-US"/>
        </w:rPr>
        <w:t>Indicateurs construits</w:t>
      </w:r>
    </w:p>
    <w:p w14:paraId="73E134D0" w14:textId="77777777" w:rsidR="00A2217E" w:rsidRPr="00A2217E" w:rsidRDefault="00A2217E" w:rsidP="00A2217E">
      <w:pPr>
        <w:numPr>
          <w:ilvl w:val="0"/>
          <w:numId w:val="12"/>
        </w:numPr>
        <w:rPr>
          <w:lang w:val="en-US"/>
        </w:rPr>
      </w:pPr>
      <w:r w:rsidRPr="00A2217E">
        <w:rPr>
          <w:b/>
          <w:bCs/>
          <w:lang w:val="en-US"/>
        </w:rPr>
        <w:t>Incidence RSV hebdomadaire</w:t>
      </w:r>
      <w:r w:rsidRPr="00A2217E">
        <w:rPr>
          <w:lang w:val="en-US"/>
        </w:rPr>
        <w:t> : taux de passages aux urgences pour bronchiolite rapportés à la population des &lt; 1 an (INSEE).</w:t>
      </w:r>
    </w:p>
    <w:p w14:paraId="21B400A2" w14:textId="77777777" w:rsidR="00A2217E" w:rsidRPr="00A2217E" w:rsidRDefault="00A2217E" w:rsidP="00A2217E">
      <w:pPr>
        <w:numPr>
          <w:ilvl w:val="0"/>
          <w:numId w:val="12"/>
        </w:numPr>
        <w:rPr>
          <w:lang w:val="en-US"/>
        </w:rPr>
      </w:pPr>
      <w:r w:rsidRPr="00A2217E">
        <w:rPr>
          <w:b/>
          <w:bCs/>
          <w:lang w:val="en-US"/>
        </w:rPr>
        <w:t>Score MNP</w:t>
      </w:r>
      <w:r w:rsidRPr="00A2217E">
        <w:rPr>
          <w:lang w:val="en-US"/>
        </w:rPr>
        <w:t> : indicateur composite combinant gestes barrières (CoviPrev) et mobilité (Google).</w:t>
      </w:r>
    </w:p>
    <w:p w14:paraId="1188FE14" w14:textId="77777777" w:rsidR="00A2217E" w:rsidRPr="00A2217E" w:rsidRDefault="00A2217E" w:rsidP="00A2217E">
      <w:pPr>
        <w:numPr>
          <w:ilvl w:val="0"/>
          <w:numId w:val="12"/>
        </w:numPr>
        <w:rPr>
          <w:lang w:val="en-US"/>
        </w:rPr>
      </w:pPr>
      <w:r w:rsidRPr="00A2217E">
        <w:rPr>
          <w:b/>
          <w:bCs/>
          <w:lang w:val="en-US"/>
        </w:rPr>
        <w:t>Couverture vaccinale</w:t>
      </w:r>
      <w:r w:rsidRPr="00A2217E">
        <w:rPr>
          <w:lang w:val="en-US"/>
        </w:rPr>
        <w:t> : % population complètement vaccinée et boostée.</w:t>
      </w:r>
    </w:p>
    <w:p w14:paraId="4F87F3B8" w14:textId="77777777" w:rsidR="00A2217E" w:rsidRPr="00A2217E" w:rsidRDefault="00A2217E" w:rsidP="00A2217E">
      <w:pPr>
        <w:numPr>
          <w:ilvl w:val="0"/>
          <w:numId w:val="12"/>
        </w:numPr>
        <w:rPr>
          <w:lang w:val="en-US"/>
        </w:rPr>
      </w:pPr>
      <w:r w:rsidRPr="00A2217E">
        <w:rPr>
          <w:b/>
          <w:bCs/>
          <w:lang w:val="en-US"/>
        </w:rPr>
        <w:lastRenderedPageBreak/>
        <w:t>Facteurs climatiques</w:t>
      </w:r>
      <w:r w:rsidRPr="00A2217E">
        <w:rPr>
          <w:lang w:val="en-US"/>
        </w:rPr>
        <w:t> : température moyenne hebdomadaire et quintiles saisonniers.</w:t>
      </w:r>
    </w:p>
    <w:p w14:paraId="2D9DCB5D" w14:textId="77777777" w:rsidR="00A2217E" w:rsidRPr="00A2217E" w:rsidRDefault="00A2217E" w:rsidP="00A2217E">
      <w:pPr>
        <w:rPr>
          <w:lang w:val="en-US"/>
        </w:rPr>
      </w:pPr>
      <w:r w:rsidRPr="00A2217E">
        <w:rPr>
          <w:lang w:val="en-US"/>
        </w:rPr>
        <w:t>Les séries ont été harmonisées sur des </w:t>
      </w:r>
      <w:r w:rsidRPr="00A2217E">
        <w:rPr>
          <w:b/>
          <w:bCs/>
          <w:lang w:val="en-US"/>
        </w:rPr>
        <w:t>semaines ISO</w:t>
      </w:r>
      <w:r w:rsidRPr="00A2217E">
        <w:rPr>
          <w:lang w:val="en-US"/>
        </w:rPr>
        <w:t> et fusionnées en trois panneaux : national (FR), régional (REG) et départemental (DEP).</w:t>
      </w:r>
    </w:p>
    <w:p w14:paraId="198F6962" w14:textId="77777777" w:rsidR="00A2217E" w:rsidRPr="00A2217E" w:rsidRDefault="00A2217E" w:rsidP="00A2217E">
      <w:pPr>
        <w:rPr>
          <w:b/>
          <w:bCs/>
          <w:lang w:val="en-US"/>
        </w:rPr>
      </w:pPr>
      <w:r w:rsidRPr="00A2217E">
        <w:rPr>
          <w:b/>
          <w:bCs/>
          <w:lang w:val="en-US"/>
        </w:rPr>
        <w:t>Analyses réalisées</w:t>
      </w:r>
    </w:p>
    <w:p w14:paraId="2DCA89BA" w14:textId="77777777" w:rsidR="00A2217E" w:rsidRPr="00A2217E" w:rsidRDefault="00A2217E" w:rsidP="00A2217E">
      <w:pPr>
        <w:numPr>
          <w:ilvl w:val="0"/>
          <w:numId w:val="13"/>
        </w:numPr>
        <w:rPr>
          <w:lang w:val="en-US"/>
        </w:rPr>
      </w:pPr>
      <w:r w:rsidRPr="00A2217E">
        <w:rPr>
          <w:b/>
          <w:bCs/>
          <w:lang w:val="en-US"/>
        </w:rPr>
        <w:t>Descriptive temporelle</w:t>
      </w:r>
      <w:r w:rsidRPr="00A2217E">
        <w:rPr>
          <w:lang w:val="en-US"/>
        </w:rPr>
        <w:t> : reconstitution des courbes RSV 2018–2025 ; comparaison pré/post 2020 ; heatmaps et chronologie des pics (semaine de pointe, durée, amplitude).</w:t>
      </w:r>
    </w:p>
    <w:p w14:paraId="4E127617" w14:textId="77777777" w:rsidR="00A2217E" w:rsidRPr="00A2217E" w:rsidRDefault="00A2217E" w:rsidP="00A2217E">
      <w:pPr>
        <w:numPr>
          <w:ilvl w:val="0"/>
          <w:numId w:val="13"/>
        </w:numPr>
        <w:rPr>
          <w:lang w:val="en-US"/>
        </w:rPr>
      </w:pPr>
      <w:r w:rsidRPr="00A2217E">
        <w:rPr>
          <w:b/>
          <w:bCs/>
          <w:lang w:val="en-US"/>
        </w:rPr>
        <w:t>Comparaison inter-régionale</w:t>
      </w:r>
      <w:r w:rsidRPr="00A2217E">
        <w:rPr>
          <w:lang w:val="en-US"/>
        </w:rPr>
        <w:t> : corrélation entre couverture vaccinale et calendrier de reprise RSV.</w:t>
      </w:r>
    </w:p>
    <w:p w14:paraId="3549422C" w14:textId="77777777" w:rsidR="00A2217E" w:rsidRPr="00A2217E" w:rsidRDefault="00A2217E" w:rsidP="00A2217E">
      <w:pPr>
        <w:numPr>
          <w:ilvl w:val="0"/>
          <w:numId w:val="13"/>
        </w:numPr>
        <w:rPr>
          <w:lang w:val="en-US"/>
        </w:rPr>
      </w:pPr>
      <w:r w:rsidRPr="00A2217E">
        <w:rPr>
          <w:b/>
          <w:bCs/>
          <w:lang w:val="en-US"/>
        </w:rPr>
        <w:t>Étude MNP</w:t>
      </w:r>
      <w:r w:rsidRPr="00A2217E">
        <w:rPr>
          <w:lang w:val="en-US"/>
        </w:rPr>
        <w:t> : superposition du score MNP et des courbes RSV pour mesurer la coïncidence entre niveaux de contraintes et absence de circulation virale.</w:t>
      </w:r>
    </w:p>
    <w:p w14:paraId="567C6873" w14:textId="77777777" w:rsidR="00A2217E" w:rsidRPr="00A2217E" w:rsidRDefault="00A2217E" w:rsidP="00A2217E">
      <w:pPr>
        <w:numPr>
          <w:ilvl w:val="0"/>
          <w:numId w:val="13"/>
        </w:numPr>
        <w:rPr>
          <w:lang w:val="en-US"/>
        </w:rPr>
      </w:pPr>
      <w:r w:rsidRPr="00A2217E">
        <w:rPr>
          <w:b/>
          <w:bCs/>
          <w:lang w:val="en-US"/>
        </w:rPr>
        <w:t>Analyses de modélisation</w:t>
      </w:r>
      <w:r w:rsidRPr="00A2217E">
        <w:rPr>
          <w:lang w:val="en-US"/>
        </w:rPr>
        <w:t> :</w:t>
      </w:r>
    </w:p>
    <w:p w14:paraId="7DBFF524" w14:textId="77777777" w:rsidR="00A2217E" w:rsidRPr="00A2217E" w:rsidRDefault="00A2217E" w:rsidP="00A2217E">
      <w:pPr>
        <w:numPr>
          <w:ilvl w:val="1"/>
          <w:numId w:val="13"/>
        </w:numPr>
        <w:rPr>
          <w:lang w:val="en-US"/>
        </w:rPr>
      </w:pPr>
      <w:r w:rsidRPr="00A2217E">
        <w:rPr>
          <w:b/>
          <w:bCs/>
          <w:lang w:val="en-US"/>
        </w:rPr>
        <w:t>SARIMAX</w:t>
      </w:r>
      <w:r w:rsidRPr="00A2217E">
        <w:rPr>
          <w:lang w:val="en-US"/>
        </w:rPr>
        <w:t> : prévision contrefactuelle du RSV selon les exogènes (vaccination, MNP, température).</w:t>
      </w:r>
    </w:p>
    <w:p w14:paraId="482C5F76" w14:textId="77777777" w:rsidR="00A2217E" w:rsidRPr="00A2217E" w:rsidRDefault="00A2217E" w:rsidP="00A2217E">
      <w:pPr>
        <w:numPr>
          <w:ilvl w:val="1"/>
          <w:numId w:val="13"/>
        </w:numPr>
        <w:rPr>
          <w:lang w:val="en-US"/>
        </w:rPr>
      </w:pPr>
      <w:r w:rsidRPr="00A2217E">
        <w:rPr>
          <w:b/>
          <w:bCs/>
          <w:lang w:val="en-US"/>
        </w:rPr>
        <w:t>ITS</w:t>
      </w:r>
      <w:r w:rsidRPr="00A2217E">
        <w:rPr>
          <w:lang w:val="en-US"/>
        </w:rPr>
        <w:t> : estimation des ruptures de tendance après confinement ou levée des restrictions.</w:t>
      </w:r>
    </w:p>
    <w:p w14:paraId="69571598" w14:textId="77777777" w:rsidR="00A2217E" w:rsidRPr="00A2217E" w:rsidRDefault="00A2217E" w:rsidP="00A2217E">
      <w:pPr>
        <w:numPr>
          <w:ilvl w:val="1"/>
          <w:numId w:val="13"/>
        </w:numPr>
        <w:rPr>
          <w:lang w:val="en-US"/>
        </w:rPr>
      </w:pPr>
      <w:r w:rsidRPr="00A2217E">
        <w:rPr>
          <w:b/>
          <w:bCs/>
          <w:lang w:val="en-US"/>
        </w:rPr>
        <w:t>OLS</w:t>
      </w:r>
      <w:r w:rsidRPr="00A2217E">
        <w:rPr>
          <w:lang w:val="en-US"/>
        </w:rPr>
        <w:t> : exploration linéaire simple entre RSV et variables explicatives.</w:t>
      </w:r>
    </w:p>
    <w:p w14:paraId="4CE45F5B" w14:textId="77777777" w:rsidR="00A2217E" w:rsidRPr="00A2217E" w:rsidRDefault="00A2217E" w:rsidP="00A2217E">
      <w:pPr>
        <w:rPr>
          <w:lang w:val="en-US"/>
        </w:rPr>
      </w:pPr>
      <w:r w:rsidRPr="00A2217E">
        <w:rPr>
          <w:lang w:val="en-US"/>
        </w:rPr>
        <w:t>Les variables exogènes ont été normalisées et décalées (lags) pour capter les effets retardés des comportements ou de la vaccination.</w:t>
      </w:r>
    </w:p>
    <w:p w14:paraId="702AF88D" w14:textId="77777777" w:rsidR="00A2217E" w:rsidRPr="00A2217E" w:rsidRDefault="00A2217E" w:rsidP="00A2217E">
      <w:pPr>
        <w:rPr>
          <w:b/>
          <w:bCs/>
          <w:lang w:val="en-US"/>
        </w:rPr>
      </w:pPr>
      <w:r w:rsidRPr="00A2217E">
        <w:rPr>
          <w:b/>
          <w:bCs/>
          <w:lang w:val="en-US"/>
        </w:rPr>
        <w:t>Validation</w:t>
      </w:r>
    </w:p>
    <w:p w14:paraId="3B8E38E7" w14:textId="77777777" w:rsidR="00A2217E" w:rsidRPr="00A2217E" w:rsidRDefault="00A2217E" w:rsidP="00A2217E">
      <w:pPr>
        <w:rPr>
          <w:lang w:val="en-US"/>
        </w:rPr>
      </w:pPr>
      <w:r w:rsidRPr="00A2217E">
        <w:rPr>
          <w:lang w:val="en-US"/>
        </w:rPr>
        <w:t>Les données virologiques ERVISS ont permis de vérifier la concordance entre pics cliniques et pics de positivité RSV, confirmant la validité du proxy “bronchiolite”.</w:t>
      </w:r>
      <w:r w:rsidRPr="00A2217E">
        <w:rPr>
          <w:lang w:val="en-US"/>
        </w:rPr>
        <w:br/>
        <w:t>Les tendances françaises ont été comparées à d’autres pays européens pour contextualiser les résultats.</w:t>
      </w:r>
    </w:p>
    <w:p w14:paraId="5A29BD2C" w14:textId="77777777" w:rsidR="00A2217E" w:rsidRPr="00A2217E" w:rsidRDefault="00A2217E" w:rsidP="00A2217E">
      <w:pPr>
        <w:rPr>
          <w:b/>
          <w:bCs/>
          <w:lang w:val="en-US"/>
        </w:rPr>
      </w:pPr>
      <w:r w:rsidRPr="00A2217E">
        <w:rPr>
          <w:b/>
          <w:bCs/>
          <w:lang w:val="en-US"/>
        </w:rPr>
        <w:t>Considérations éthiques</w:t>
      </w:r>
    </w:p>
    <w:p w14:paraId="0E4B3739" w14:textId="77777777" w:rsidR="00A2217E" w:rsidRPr="00A2217E" w:rsidRDefault="00A2217E" w:rsidP="00A2217E">
      <w:pPr>
        <w:rPr>
          <w:lang w:val="en-US"/>
        </w:rPr>
      </w:pPr>
      <w:r w:rsidRPr="00A2217E">
        <w:rPr>
          <w:lang w:val="en-US"/>
        </w:rPr>
        <w:t>Les données sont </w:t>
      </w:r>
      <w:r w:rsidRPr="00A2217E">
        <w:rPr>
          <w:b/>
          <w:bCs/>
          <w:lang w:val="en-US"/>
        </w:rPr>
        <w:t>publiques, anonymisées</w:t>
      </w:r>
      <w:r w:rsidRPr="00A2217E">
        <w:rPr>
          <w:lang w:val="en-US"/>
        </w:rPr>
        <w:t> et conformes au RGPD ; l’étude ne comporte pas de collecte individuelle.</w:t>
      </w:r>
    </w:p>
    <w:p w14:paraId="7692514F" w14:textId="6A2B11E5" w:rsidR="00A2217E" w:rsidRPr="00A2217E" w:rsidRDefault="00A2217E" w:rsidP="00A2217E">
      <w:pPr>
        <w:rPr>
          <w:lang w:val="en-US"/>
        </w:rPr>
      </w:pPr>
    </w:p>
    <w:p w14:paraId="6646281A" w14:textId="77777777" w:rsidR="00A2217E" w:rsidRPr="00A2217E" w:rsidRDefault="00A2217E" w:rsidP="00A2217E">
      <w:pPr>
        <w:rPr>
          <w:b/>
          <w:bCs/>
          <w:lang w:val="en-US"/>
        </w:rPr>
      </w:pPr>
      <w:r w:rsidRPr="00A2217E">
        <w:rPr>
          <w:b/>
          <w:bCs/>
          <w:lang w:val="en-US"/>
        </w:rPr>
        <w:t>Résultats (tendances générales)</w:t>
      </w:r>
    </w:p>
    <w:p w14:paraId="2C7D5692" w14:textId="77777777" w:rsidR="00A2217E" w:rsidRPr="00A2217E" w:rsidRDefault="00A2217E" w:rsidP="00A2217E">
      <w:pPr>
        <w:numPr>
          <w:ilvl w:val="0"/>
          <w:numId w:val="14"/>
        </w:numPr>
        <w:rPr>
          <w:lang w:val="en-US"/>
        </w:rPr>
      </w:pPr>
      <w:r w:rsidRPr="00A2217E">
        <w:rPr>
          <w:b/>
          <w:bCs/>
          <w:lang w:val="en-US"/>
        </w:rPr>
        <w:lastRenderedPageBreak/>
        <w:t>Chronologie des pics RSV (France, régions, départements)</w:t>
      </w:r>
      <w:r w:rsidRPr="00A2217E">
        <w:rPr>
          <w:lang w:val="en-US"/>
        </w:rPr>
        <w:br/>
        <w:t>Les analyses montrent quatre phases distinctes :</w:t>
      </w:r>
    </w:p>
    <w:p w14:paraId="5F6EF2CF" w14:textId="77777777" w:rsidR="00A2217E" w:rsidRPr="00A2217E" w:rsidRDefault="00A2217E" w:rsidP="00A2217E">
      <w:pPr>
        <w:numPr>
          <w:ilvl w:val="0"/>
          <w:numId w:val="15"/>
        </w:numPr>
        <w:rPr>
          <w:lang w:val="en-US"/>
        </w:rPr>
      </w:pPr>
      <w:r w:rsidRPr="00A2217E">
        <w:rPr>
          <w:b/>
          <w:bCs/>
          <w:lang w:val="en-US"/>
        </w:rPr>
        <w:t>2018–2019 :</w:t>
      </w:r>
      <w:r w:rsidRPr="00A2217E">
        <w:rPr>
          <w:lang w:val="en-US"/>
        </w:rPr>
        <w:t> saison hivernale normale (pic décembre-janvier).</w:t>
      </w:r>
    </w:p>
    <w:p w14:paraId="3E65CBE3" w14:textId="77777777" w:rsidR="00A2217E" w:rsidRPr="00A2217E" w:rsidRDefault="00A2217E" w:rsidP="00A2217E">
      <w:pPr>
        <w:numPr>
          <w:ilvl w:val="0"/>
          <w:numId w:val="15"/>
        </w:numPr>
        <w:rPr>
          <w:lang w:val="en-US"/>
        </w:rPr>
      </w:pPr>
      <w:r w:rsidRPr="00A2217E">
        <w:rPr>
          <w:b/>
          <w:bCs/>
          <w:lang w:val="en-US"/>
        </w:rPr>
        <w:t>2020–2021 :</w:t>
      </w:r>
      <w:r w:rsidRPr="00A2217E">
        <w:rPr>
          <w:lang w:val="en-US"/>
        </w:rPr>
        <w:t> effondrement complet du VRS.</w:t>
      </w:r>
    </w:p>
    <w:p w14:paraId="624B9163" w14:textId="77777777" w:rsidR="00A2217E" w:rsidRPr="00A2217E" w:rsidRDefault="00A2217E" w:rsidP="00A2217E">
      <w:pPr>
        <w:numPr>
          <w:ilvl w:val="0"/>
          <w:numId w:val="15"/>
        </w:numPr>
        <w:rPr>
          <w:lang w:val="en-US"/>
        </w:rPr>
      </w:pPr>
      <w:r w:rsidRPr="00A2217E">
        <w:rPr>
          <w:b/>
          <w:bCs/>
          <w:lang w:val="en-US"/>
        </w:rPr>
        <w:t>2021 :</w:t>
      </w:r>
      <w:r w:rsidRPr="00A2217E">
        <w:rPr>
          <w:lang w:val="en-US"/>
        </w:rPr>
        <w:t> réémergence décalée au printemps-été.</w:t>
      </w:r>
    </w:p>
    <w:p w14:paraId="08157F93" w14:textId="77777777" w:rsidR="00A2217E" w:rsidRPr="00A2217E" w:rsidRDefault="00A2217E" w:rsidP="00A2217E">
      <w:pPr>
        <w:numPr>
          <w:ilvl w:val="0"/>
          <w:numId w:val="15"/>
        </w:numPr>
        <w:rPr>
          <w:lang w:val="en-US"/>
        </w:rPr>
      </w:pPr>
      <w:r w:rsidRPr="00A2217E">
        <w:rPr>
          <w:b/>
          <w:bCs/>
          <w:lang w:val="en-US"/>
        </w:rPr>
        <w:t>2022–2025 :</w:t>
      </w:r>
      <w:r w:rsidRPr="00A2217E">
        <w:rPr>
          <w:lang w:val="en-US"/>
        </w:rPr>
        <w:t> recentrage progressif vers l’hiver, mais avec des pics plus précoces (novembre) et plus intenses.</w:t>
      </w:r>
    </w:p>
    <w:p w14:paraId="3BCBE080" w14:textId="77777777" w:rsidR="00A2217E" w:rsidRPr="00A2217E" w:rsidRDefault="00A2217E" w:rsidP="00A2217E">
      <w:pPr>
        <w:numPr>
          <w:ilvl w:val="0"/>
          <w:numId w:val="16"/>
        </w:numPr>
        <w:rPr>
          <w:lang w:val="en-US"/>
        </w:rPr>
      </w:pPr>
      <w:r w:rsidRPr="00A2217E">
        <w:rPr>
          <w:b/>
          <w:bCs/>
          <w:lang w:val="en-US"/>
        </w:rPr>
        <w:t>Décalage post-vaccination</w:t>
      </w:r>
      <w:r w:rsidRPr="00A2217E">
        <w:rPr>
          <w:lang w:val="en-US"/>
        </w:rPr>
        <w:br/>
        <w:t>Le retour du VRS coïncide avec la montée de la couverture vaccinale COVID (&gt; 50 %). Les régions les plus vaccinées ont connu les premières reprises.</w:t>
      </w:r>
      <w:r w:rsidRPr="00A2217E">
        <w:rPr>
          <w:lang w:val="en-US"/>
        </w:rPr>
        <w:br/>
        <w:t>Les épidémies post-COVID ont été </w:t>
      </w:r>
      <w:r w:rsidRPr="00A2217E">
        <w:rPr>
          <w:b/>
          <w:bCs/>
          <w:lang w:val="en-US"/>
        </w:rPr>
        <w:t>plus longues (jusqu’à avril)</w:t>
      </w:r>
      <w:r w:rsidRPr="00A2217E">
        <w:rPr>
          <w:lang w:val="en-US"/>
        </w:rPr>
        <w:t> et d’amplitude supérieure.</w:t>
      </w:r>
    </w:p>
    <w:p w14:paraId="17706DE3" w14:textId="77777777" w:rsidR="00A2217E" w:rsidRPr="00A2217E" w:rsidRDefault="00A2217E" w:rsidP="00A2217E">
      <w:pPr>
        <w:numPr>
          <w:ilvl w:val="0"/>
          <w:numId w:val="16"/>
        </w:numPr>
        <w:rPr>
          <w:lang w:val="en-US"/>
        </w:rPr>
      </w:pPr>
      <w:r w:rsidRPr="00A2217E">
        <w:rPr>
          <w:b/>
          <w:bCs/>
          <w:lang w:val="en-US"/>
        </w:rPr>
        <w:t>Relation dose-réponse</w:t>
      </w:r>
      <w:r w:rsidRPr="00A2217E">
        <w:rPr>
          <w:lang w:val="en-US"/>
        </w:rPr>
        <w:br/>
        <w:t>Les modèles SARIMAX et ITS indiquent une corrélation temporelle positive entre </w:t>
      </w:r>
      <w:r w:rsidRPr="00A2217E">
        <w:rPr>
          <w:b/>
          <w:bCs/>
          <w:lang w:val="en-US"/>
        </w:rPr>
        <w:t>hausse de vaccination COVID</w:t>
      </w:r>
      <w:r w:rsidRPr="00A2217E">
        <w:rPr>
          <w:lang w:val="en-US"/>
        </w:rPr>
        <w:t> et </w:t>
      </w:r>
      <w:r w:rsidRPr="00A2217E">
        <w:rPr>
          <w:b/>
          <w:bCs/>
          <w:lang w:val="en-US"/>
        </w:rPr>
        <w:t>reprise RSV</w:t>
      </w:r>
      <w:r w:rsidRPr="00A2217E">
        <w:rPr>
          <w:lang w:val="en-US"/>
        </w:rPr>
        <w:t>, via la levée des MNP.</w:t>
      </w:r>
    </w:p>
    <w:p w14:paraId="4F3459B5" w14:textId="77777777" w:rsidR="00A2217E" w:rsidRPr="00A2217E" w:rsidRDefault="00A2217E" w:rsidP="00A2217E">
      <w:pPr>
        <w:numPr>
          <w:ilvl w:val="0"/>
          <w:numId w:val="16"/>
        </w:numPr>
        <w:rPr>
          <w:lang w:val="en-US"/>
        </w:rPr>
      </w:pPr>
      <w:r w:rsidRPr="00A2217E">
        <w:rPr>
          <w:b/>
          <w:bCs/>
          <w:lang w:val="en-US"/>
        </w:rPr>
        <w:t>Effet des MNP</w:t>
      </w:r>
      <w:r w:rsidRPr="00A2217E">
        <w:rPr>
          <w:lang w:val="en-US"/>
        </w:rPr>
        <w:br/>
        <w:t>Les périodes de fortes contraintes (scores MNP négatifs) sont associées à une </w:t>
      </w:r>
      <w:r w:rsidRPr="00A2217E">
        <w:rPr>
          <w:b/>
          <w:bCs/>
          <w:lang w:val="en-US"/>
        </w:rPr>
        <w:t>quasi-absence de circulation du RSV</w:t>
      </w:r>
      <w:r w:rsidRPr="00A2217E">
        <w:rPr>
          <w:lang w:val="en-US"/>
        </w:rPr>
        <w:t>.</w:t>
      </w:r>
      <w:r w:rsidRPr="00A2217E">
        <w:rPr>
          <w:lang w:val="en-US"/>
        </w:rPr>
        <w:br/>
        <w:t>La régression montre que la mobilité explique une part significative des variations RSV, confirmant l’influence majeure des comportements sociaux.</w:t>
      </w:r>
    </w:p>
    <w:p w14:paraId="26625018" w14:textId="77777777" w:rsidR="00A2217E" w:rsidRPr="00A2217E" w:rsidRDefault="00A2217E" w:rsidP="00A2217E">
      <w:pPr>
        <w:numPr>
          <w:ilvl w:val="0"/>
          <w:numId w:val="16"/>
        </w:numPr>
        <w:rPr>
          <w:lang w:val="en-US"/>
        </w:rPr>
      </w:pPr>
      <w:r w:rsidRPr="00A2217E">
        <w:rPr>
          <w:b/>
          <w:bCs/>
          <w:lang w:val="en-US"/>
        </w:rPr>
        <w:t>Rôle du climat</w:t>
      </w:r>
      <w:r w:rsidRPr="00A2217E">
        <w:rPr>
          <w:lang w:val="en-US"/>
        </w:rPr>
        <w:br/>
        <w:t>La température reste un déterminant saisonnier, mais ne suffit pas à expliquer les anomalies : l’hiver 2020-2021, malgré un climat classique, a connu un effondrement complet du RSV.</w:t>
      </w:r>
    </w:p>
    <w:p w14:paraId="24A76C4E" w14:textId="77777777" w:rsidR="00A2217E" w:rsidRPr="00A2217E" w:rsidRDefault="00A2217E" w:rsidP="00A2217E">
      <w:pPr>
        <w:numPr>
          <w:ilvl w:val="0"/>
          <w:numId w:val="16"/>
        </w:numPr>
        <w:rPr>
          <w:lang w:val="en-US"/>
        </w:rPr>
      </w:pPr>
      <w:r w:rsidRPr="00A2217E">
        <w:rPr>
          <w:b/>
          <w:bCs/>
          <w:lang w:val="en-US"/>
        </w:rPr>
        <w:t>Comparaisons internationales</w:t>
      </w:r>
      <w:r w:rsidRPr="00A2217E">
        <w:rPr>
          <w:lang w:val="en-US"/>
        </w:rPr>
        <w:br/>
        <w:t>Les profils français s’alignent avec ceux observés en Europe et aux États-Unis : suppression totale → rebond décalé → recentrage progressif, confirmant le caractère global du phénomène.</w:t>
      </w:r>
    </w:p>
    <w:p w14:paraId="45F2C008" w14:textId="115A5C88" w:rsidR="00A2217E" w:rsidRPr="00A2217E" w:rsidRDefault="00A2217E" w:rsidP="00A2217E">
      <w:pPr>
        <w:rPr>
          <w:lang w:val="en-US"/>
        </w:rPr>
      </w:pPr>
    </w:p>
    <w:p w14:paraId="0CBDC8A1" w14:textId="77777777" w:rsidR="00A2217E" w:rsidRPr="00A2217E" w:rsidRDefault="00A2217E" w:rsidP="00A2217E">
      <w:pPr>
        <w:rPr>
          <w:b/>
          <w:bCs/>
          <w:lang w:val="en-US"/>
        </w:rPr>
      </w:pPr>
      <w:r w:rsidRPr="00A2217E">
        <w:rPr>
          <w:b/>
          <w:bCs/>
          <w:lang w:val="en-US"/>
        </w:rPr>
        <w:t>Conclusion</w:t>
      </w:r>
    </w:p>
    <w:p w14:paraId="67C6742B" w14:textId="77777777" w:rsidR="00A2217E" w:rsidRPr="00A2217E" w:rsidRDefault="00A2217E" w:rsidP="00A2217E">
      <w:pPr>
        <w:rPr>
          <w:lang w:val="en-US"/>
        </w:rPr>
      </w:pPr>
      <w:r w:rsidRPr="00A2217E">
        <w:rPr>
          <w:lang w:val="en-US"/>
        </w:rPr>
        <w:t xml:space="preserve">Cette étude démontre, à travers les données françaises de 2018–2025, que la pandémie de COVID-19 et les mesures qui l’ont accompagnée ont profondément modifié la dynamique </w:t>
      </w:r>
      <w:r w:rsidRPr="00A2217E">
        <w:rPr>
          <w:lang w:val="en-US"/>
        </w:rPr>
        <w:lastRenderedPageBreak/>
        <w:t>du VRS.</w:t>
      </w:r>
      <w:r w:rsidRPr="00A2217E">
        <w:rPr>
          <w:lang w:val="en-US"/>
        </w:rPr>
        <w:br/>
        <w:t>Les MNP ont interrompu la transmission du virus, tandis que la vaccination COVID-19, en permettant la levée des restrictions, a favorisé un retour accéléré mais désynchronisé des épidémies.</w:t>
      </w:r>
      <w:r w:rsidRPr="00A2217E">
        <w:rPr>
          <w:lang w:val="en-US"/>
        </w:rPr>
        <w:br/>
        <w:t>Le VRS a ainsi connu un </w:t>
      </w:r>
      <w:r w:rsidRPr="00A2217E">
        <w:rPr>
          <w:b/>
          <w:bCs/>
          <w:lang w:val="en-US"/>
        </w:rPr>
        <w:t>cycle anormal : effacement, résurgence estivale, puis ajustement progressif</w:t>
      </w:r>
      <w:r w:rsidRPr="00A2217E">
        <w:rPr>
          <w:lang w:val="en-US"/>
        </w:rPr>
        <w:t>.</w:t>
      </w:r>
    </w:p>
    <w:p w14:paraId="436391DA" w14:textId="77777777" w:rsidR="00A2217E" w:rsidRPr="00A2217E" w:rsidRDefault="00A2217E" w:rsidP="00A2217E">
      <w:pPr>
        <w:rPr>
          <w:lang w:val="en-US"/>
        </w:rPr>
      </w:pPr>
      <w:r w:rsidRPr="00A2217E">
        <w:rPr>
          <w:lang w:val="en-US"/>
        </w:rPr>
        <w:t>La combinaison de méthodes descriptives, SARIMAX et ITS appliquées à des données RWD multi-sources a permis de quantifier ces effets et de proposer un cadre reproductible pour de futures analyses épidémiologiques.</w:t>
      </w:r>
      <w:r w:rsidRPr="00A2217E">
        <w:rPr>
          <w:lang w:val="en-US"/>
        </w:rPr>
        <w:br/>
        <w:t>Ces résultats offrent des </w:t>
      </w:r>
      <w:r w:rsidRPr="00A2217E">
        <w:rPr>
          <w:b/>
          <w:bCs/>
          <w:lang w:val="en-US"/>
        </w:rPr>
        <w:t>repères pour les politiques de prévention</w:t>
      </w:r>
      <w:r w:rsidRPr="00A2217E">
        <w:rPr>
          <w:lang w:val="en-US"/>
        </w:rPr>
        <w:t> futures : anticiper les rebonds post-intervention, ajuster la surveillance pédiatrique et intégrer la dimension comportementale dans les modèles de transmission.</w:t>
      </w:r>
    </w:p>
    <w:p w14:paraId="5DDF382D" w14:textId="77777777" w:rsidR="00A2217E" w:rsidRPr="00A2217E" w:rsidRDefault="00A2217E" w:rsidP="00A2217E">
      <w:pPr>
        <w:rPr>
          <w:lang w:val="en-US"/>
        </w:rPr>
      </w:pPr>
      <w:r w:rsidRPr="00A2217E">
        <w:rPr>
          <w:lang w:val="en-US"/>
        </w:rPr>
        <w:t>Enfin, la période post-COVID constitue un laboratoire naturel pour comprendre comment les interventions sanitaires de grande ampleur influencent les cycles viraux, et comment les nouvelles stratégies vaccinales (anticorps monoclonaux, vaccins seniors) pourront, à leur tour, remodeler la saisonnalité du VRS dans les années à venir.</w:t>
      </w:r>
    </w:p>
    <w:p w14:paraId="513783F4" w14:textId="77777777" w:rsidR="00A2217E" w:rsidRPr="00A2217E" w:rsidRDefault="00A2217E" w:rsidP="00A2217E">
      <w:pPr>
        <w:rPr>
          <w:lang w:val="en-US"/>
        </w:rPr>
      </w:pPr>
    </w:p>
    <w:p w14:paraId="5B07924A" w14:textId="77777777" w:rsidR="00AB1E19" w:rsidRDefault="00AB1E19"/>
    <w:sectPr w:rsidR="00AB1E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E3842"/>
    <w:multiLevelType w:val="multilevel"/>
    <w:tmpl w:val="113EC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7F5CE8"/>
    <w:multiLevelType w:val="multilevel"/>
    <w:tmpl w:val="ECDC5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8B1815"/>
    <w:multiLevelType w:val="multilevel"/>
    <w:tmpl w:val="4978E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6109CF"/>
    <w:multiLevelType w:val="multilevel"/>
    <w:tmpl w:val="DCC4D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E81BD5"/>
    <w:multiLevelType w:val="multilevel"/>
    <w:tmpl w:val="F5FA2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93F46F9"/>
    <w:multiLevelType w:val="multilevel"/>
    <w:tmpl w:val="02E45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98A7A2F"/>
    <w:multiLevelType w:val="multilevel"/>
    <w:tmpl w:val="5F2482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E14252"/>
    <w:multiLevelType w:val="multilevel"/>
    <w:tmpl w:val="2E5251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7A1977"/>
    <w:multiLevelType w:val="multilevel"/>
    <w:tmpl w:val="29DE7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50433CD"/>
    <w:multiLevelType w:val="multilevel"/>
    <w:tmpl w:val="099AB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93494D"/>
    <w:multiLevelType w:val="multilevel"/>
    <w:tmpl w:val="89C6E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333A70"/>
    <w:multiLevelType w:val="multilevel"/>
    <w:tmpl w:val="1CEC0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59C7CC5"/>
    <w:multiLevelType w:val="multilevel"/>
    <w:tmpl w:val="BB204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E6D0F06"/>
    <w:multiLevelType w:val="multilevel"/>
    <w:tmpl w:val="1B723D4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E5D0DF1"/>
    <w:multiLevelType w:val="multilevel"/>
    <w:tmpl w:val="F4061F6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FEC5608"/>
    <w:multiLevelType w:val="multilevel"/>
    <w:tmpl w:val="7ABC1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33007753">
    <w:abstractNumId w:val="1"/>
  </w:num>
  <w:num w:numId="2" w16cid:durableId="1270702210">
    <w:abstractNumId w:val="11"/>
  </w:num>
  <w:num w:numId="3" w16cid:durableId="1780492067">
    <w:abstractNumId w:val="7"/>
  </w:num>
  <w:num w:numId="4" w16cid:durableId="1441216961">
    <w:abstractNumId w:val="8"/>
  </w:num>
  <w:num w:numId="5" w16cid:durableId="1623685321">
    <w:abstractNumId w:val="13"/>
  </w:num>
  <w:num w:numId="6" w16cid:durableId="1620185168">
    <w:abstractNumId w:val="5"/>
  </w:num>
  <w:num w:numId="7" w16cid:durableId="546377271">
    <w:abstractNumId w:val="14"/>
  </w:num>
  <w:num w:numId="8" w16cid:durableId="346562716">
    <w:abstractNumId w:val="4"/>
  </w:num>
  <w:num w:numId="9" w16cid:durableId="1655255512">
    <w:abstractNumId w:val="10"/>
  </w:num>
  <w:num w:numId="10" w16cid:durableId="1073818616">
    <w:abstractNumId w:val="12"/>
  </w:num>
  <w:num w:numId="11" w16cid:durableId="461312514">
    <w:abstractNumId w:val="2"/>
  </w:num>
  <w:num w:numId="12" w16cid:durableId="959385677">
    <w:abstractNumId w:val="15"/>
  </w:num>
  <w:num w:numId="13" w16cid:durableId="528570020">
    <w:abstractNumId w:val="3"/>
  </w:num>
  <w:num w:numId="14" w16cid:durableId="863635866">
    <w:abstractNumId w:val="9"/>
  </w:num>
  <w:num w:numId="15" w16cid:durableId="1779174123">
    <w:abstractNumId w:val="0"/>
  </w:num>
  <w:num w:numId="16" w16cid:durableId="3526099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17E"/>
    <w:rsid w:val="00237D0C"/>
    <w:rsid w:val="00684799"/>
    <w:rsid w:val="0094325C"/>
    <w:rsid w:val="009C1409"/>
    <w:rsid w:val="00A2217E"/>
    <w:rsid w:val="00AB1E19"/>
    <w:rsid w:val="00DE7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688C1"/>
  <w15:chartTrackingRefBased/>
  <w15:docId w15:val="{C3228DA4-78B9-5142-BDE3-3AEA5037E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21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21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21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21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21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21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21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21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21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17E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217E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217E"/>
    <w:rPr>
      <w:rFonts w:eastAsiaTheme="majorEastAsia" w:cstheme="majorBidi"/>
      <w:noProof/>
      <w:color w:val="0F4761" w:themeColor="accent1" w:themeShade="BF"/>
      <w:sz w:val="28"/>
      <w:szCs w:val="28"/>
      <w:lang w:val="fr-F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217E"/>
    <w:rPr>
      <w:rFonts w:eastAsiaTheme="majorEastAsia" w:cstheme="majorBidi"/>
      <w:i/>
      <w:iCs/>
      <w:noProof/>
      <w:color w:val="0F4761" w:themeColor="accent1" w:themeShade="BF"/>
      <w:lang w:val="fr-F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217E"/>
    <w:rPr>
      <w:rFonts w:eastAsiaTheme="majorEastAsia" w:cstheme="majorBidi"/>
      <w:noProof/>
      <w:color w:val="0F4761" w:themeColor="accent1" w:themeShade="BF"/>
      <w:lang w:val="fr-F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217E"/>
    <w:rPr>
      <w:rFonts w:eastAsiaTheme="majorEastAsia" w:cstheme="majorBidi"/>
      <w:i/>
      <w:iCs/>
      <w:noProof/>
      <w:color w:val="595959" w:themeColor="text1" w:themeTint="A6"/>
      <w:lang w:val="fr-F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217E"/>
    <w:rPr>
      <w:rFonts w:eastAsiaTheme="majorEastAsia" w:cstheme="majorBidi"/>
      <w:noProof/>
      <w:color w:val="595959" w:themeColor="text1" w:themeTint="A6"/>
      <w:lang w:val="fr-F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217E"/>
    <w:rPr>
      <w:rFonts w:eastAsiaTheme="majorEastAsia" w:cstheme="majorBidi"/>
      <w:i/>
      <w:iCs/>
      <w:noProof/>
      <w:color w:val="272727" w:themeColor="text1" w:themeTint="D8"/>
      <w:lang w:val="fr-F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217E"/>
    <w:rPr>
      <w:rFonts w:eastAsiaTheme="majorEastAsia" w:cstheme="majorBidi"/>
      <w:noProof/>
      <w:color w:val="272727" w:themeColor="text1" w:themeTint="D8"/>
      <w:lang w:val="fr-FR"/>
    </w:rPr>
  </w:style>
  <w:style w:type="paragraph" w:styleId="Title">
    <w:name w:val="Title"/>
    <w:basedOn w:val="Normal"/>
    <w:next w:val="Normal"/>
    <w:link w:val="TitleChar"/>
    <w:uiPriority w:val="10"/>
    <w:qFormat/>
    <w:rsid w:val="00A221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217E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fr-FR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21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217E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fr-FR"/>
    </w:rPr>
  </w:style>
  <w:style w:type="paragraph" w:styleId="Quote">
    <w:name w:val="Quote"/>
    <w:basedOn w:val="Normal"/>
    <w:next w:val="Normal"/>
    <w:link w:val="QuoteChar"/>
    <w:uiPriority w:val="29"/>
    <w:qFormat/>
    <w:rsid w:val="00A221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217E"/>
    <w:rPr>
      <w:i/>
      <w:iCs/>
      <w:noProof/>
      <w:color w:val="404040" w:themeColor="text1" w:themeTint="BF"/>
      <w:lang w:val="fr-FR"/>
    </w:rPr>
  </w:style>
  <w:style w:type="paragraph" w:styleId="ListParagraph">
    <w:name w:val="List Paragraph"/>
    <w:basedOn w:val="Normal"/>
    <w:uiPriority w:val="34"/>
    <w:qFormat/>
    <w:rsid w:val="00A221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21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21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217E"/>
    <w:rPr>
      <w:i/>
      <w:iCs/>
      <w:noProof/>
      <w:color w:val="0F4761" w:themeColor="accent1" w:themeShade="BF"/>
      <w:lang w:val="fr-FR"/>
    </w:rPr>
  </w:style>
  <w:style w:type="character" w:styleId="IntenseReference">
    <w:name w:val="Intense Reference"/>
    <w:basedOn w:val="DefaultParagraphFont"/>
    <w:uiPriority w:val="32"/>
    <w:qFormat/>
    <w:rsid w:val="00A2217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2217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21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774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2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2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53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107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362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837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1532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728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424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164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421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4476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5086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4456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8024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3384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54414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4610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4976302">
                                                                      <w:marLeft w:val="0"/>
                                                                      <w:marRight w:val="0"/>
                                                                      <w:marTop w:val="6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68667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679014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30823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445838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86971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55130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816926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492738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24506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43732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01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08166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72129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21263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27664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2060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700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15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803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37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0289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3962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8132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39497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7827474">
                                                                      <w:marLeft w:val="0"/>
                                                                      <w:marRight w:val="0"/>
                                                                      <w:marTop w:val="24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5157479">
                                      <w:marLeft w:val="0"/>
                                      <w:marRight w:val="0"/>
                                      <w:marTop w:val="1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1512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523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5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78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15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949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67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564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252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86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863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892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1550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3837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3208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7497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8157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299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93048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3374382">
                                                                      <w:marLeft w:val="0"/>
                                                                      <w:marRight w:val="0"/>
                                                                      <w:marTop w:val="6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63545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803999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508739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655097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69030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47224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067595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111646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55203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49181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6387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9748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6080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01750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89218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2281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599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5379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484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502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9034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21029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7544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1698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3366437">
                                                                      <w:marLeft w:val="0"/>
                                                                      <w:marRight w:val="0"/>
                                                                      <w:marTop w:val="24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6558189">
                                      <w:marLeft w:val="0"/>
                                      <w:marRight w:val="0"/>
                                      <w:marTop w:val="1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9020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1159</Words>
  <Characters>6611</Characters>
  <Application>Microsoft Office Word</Application>
  <DocSecurity>0</DocSecurity>
  <Lines>55</Lines>
  <Paragraphs>15</Paragraphs>
  <ScaleCrop>false</ScaleCrop>
  <Company/>
  <LinksUpToDate>false</LinksUpToDate>
  <CharactersWithSpaces>7755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RIGAUD Eddy</dc:creator>
  <cp:keywords/>
  <dc:description/>
  <cp:lastModifiedBy>RIGAUD Eddy</cp:lastModifiedBy>
  <cp:revision>1</cp:revision>
  <dcterms:created xsi:type="dcterms:W3CDTF">2025-10-24T16:07:00Z</dcterms:created>
  <dcterms:modified xsi:type="dcterms:W3CDTF">2025-10-24T16:08:00Z</dcterms:modified>
</cp:coreProperties>
</file>