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My Professional Book</w:t>
      </w:r>
    </w:p>
    <w:p>
      <w:pPr>
        <w:pStyle w:val="Author"/>
      </w:pPr>
      <w:r>
        <w:rPr>
          <w:rtl/>
        </w:rPr>
        <w:t xml:space="preserve">Your Name</w:t>
      </w:r>
    </w:p>
    <w:sdt>
      <w:sdtPr>
        <w:docPartObj>
          <w:docPartGallery w:val="Table of Contents"/>
          <w:docPartUnique/>
        </w:docPartObj>
      </w:sdtPr>
      <w:sdtContent>
        <w:p>
          <w:pPr>
            <w:pStyle w:val="TOCHeading"/>
            <w:bidi/>
          </w:pPr>
          <w:r>
            <w:rPr>
              <w:rtl/>
            </w:rPr>
            <w:t xml:space="preserve">תוכן עניינים</w:t>
          </w:r>
        </w:p>
        <w:p>
          <w:r>
            <w:fldChar w:fldCharType="begin" w:dirty="true"/>
            <w:instrText xml:space="preserve">TOC \o "1-3" \h \z \u</w:instrText>
            <w:fldChar w:fldCharType="separate"/>
            <w:fldChar w:fldCharType="end"/>
          </w:r>
        </w:p>
      </w:sdtContent>
    </w:sdt>
    <w:bookmarkStart w:id="10" w:name="הקדמה"/>
    <w:p>
      <w:pPr>
        <w:pStyle w:val="Heading1"/>
        <w:bidi/>
      </w:pPr>
      <w:r>
        <w:rPr>
          <w:rtl/>
        </w:rPr>
        <w:t xml:space="preserve">1. הקדמה</w:t>
      </w:r>
    </w:p>
    <w:p>
      <w:pPr>
        <w:bidi/>
      </w:pPr>
      <w:r>
        <w:rPr>
          <w:rtl/>
        </w:rPr>
        <w:t xml:space="preserve">זהו ספר שנכתב בעזרת</w:t>
      </w:r>
      <w:r>
        <w:rPr>
          <w:rtl/>
        </w:rPr>
        <w:t xml:space="preserve"> </w:t>
      </w:r>
      <w:r>
        <w:rPr>
          <w:b/>
          <w:bCs/>
          <w:rtl/>
        </w:rPr>
        <w:t xml:space="preserve">Quarto</w:t>
      </w:r>
      <w:r>
        <w:rPr>
          <w:rtl/>
        </w:rPr>
        <w:t xml:space="preserve"> </w:t>
      </w:r>
      <w:r>
        <w:rPr>
          <w:rtl/>
        </w:rPr>
        <w:t xml:space="preserve">ו-</w:t>
      </w:r>
      <w:r>
        <w:rPr>
          <w:b/>
          <w:bCs/>
          <w:rtl/>
        </w:rPr>
        <w:t xml:space="preserve">Typst</w:t>
      </w:r>
      <w:r>
        <w:rPr>
          <w:rtl/>
        </w:rPr>
        <w:t xml:space="preserve">.</w:t>
      </w:r>
    </w:p>
    <w:bookmarkStart w:id="9" w:name="פרק-ראשון-שלום-עולם"/>
    <w:p>
      <w:pPr>
        <w:pStyle w:val="Heading2"/>
        <w:bidi/>
      </w:pPr>
      <w:r>
        <w:rPr>
          <w:rtl/>
        </w:rPr>
        <w:t xml:space="preserve">1.1 פרק ראשון: שלום עולם</w:t>
      </w:r>
    </w:p>
    <w:p>
      <w:pPr>
        <w:bidi/>
      </w:pPr>
      <w:r>
        <w:rPr>
          <w:rtl/>
        </w:rPr>
        <w:t xml:space="preserve">כאן מתחיל התוכן של הספר שלך. מכיוון שהגדרנו</w:t>
      </w:r>
      <w:r>
        <w:rPr>
          <w:rtl/>
        </w:rPr>
        <w:t xml:space="preserve"> </w:t>
      </w:r>
      <w:r>
        <w:rPr>
          <w:rStyle w:val="VerbatimChar"/>
          <w:rtl/>
        </w:rPr>
        <w:t xml:space="preserve">dir: rtl</w:t>
      </w:r>
      <w:r>
        <w:rPr>
          <w:rtl/>
        </w:rPr>
        <w:t xml:space="preserve">, הטקסט ייושר לימין והמספרים יופיעו בצד המתאים.</w:t>
      </w:r>
    </w:p>
    <w:p>
      <w:pPr>
        <w:pStyle w:val="Compact"/>
        <w:numPr>
          <w:ilvl w:val="0"/>
          <w:numId w:val="1001"/>
        </w:numPr>
        <w:bidi/>
      </w:pPr>
      <w:r>
        <w:rPr>
          <w:rtl/>
        </w:rPr>
        <w:t xml:space="preserve">רשימה לדוגמה</w:t>
      </w:r>
    </w:p>
    <w:p>
      <w:pPr>
        <w:pStyle w:val="Compact"/>
        <w:numPr>
          <w:ilvl w:val="0"/>
          <w:numId w:val="1001"/>
        </w:numPr>
        <w:bidi/>
      </w:pPr>
      <w:r>
        <w:rPr>
          <w:rtl/>
        </w:rPr>
        <w:t xml:space="preserve">פריט שני</w:t>
      </w:r>
    </w:p>
    <w:p>
      <w:pPr>
        <w:pStyle w:val="Compact"/>
        <w:numPr>
          <w:ilvl w:val="0"/>
          <w:numId w:val="1001"/>
        </w:numPr>
        <w:bidi/>
      </w:pPr>
      <w:r>
        <w:rPr>
          <w:rtl/>
        </w:rPr>
        <w:t xml:space="preserve">פריט שלישי</w:t>
      </w:r>
    </w:p>
    <w:p>
      <w:pPr>
        <w:pStyle w:val="BlockText"/>
        <w:bidi/>
      </w:pPr>
      <w:r>
        <w:rPr>
          <w:rtl/>
        </w:rPr>
        <w:t xml:space="preserve">“ציטוט בעברית נראה מצוין בפורמט הזה.”</w:t>
      </w:r>
    </w:p>
    <w:bookmarkEnd w:id="9"/>
    <w:bookmarkEnd w:id="10"/>
    <w:bookmarkStart w:id="15" w:name="הקדמה-תורת-חיים-למציאות-מתחדשת"/>
    <w:p>
      <w:pPr>
        <w:pStyle w:val="Heading1"/>
        <w:bidi/>
      </w:pPr>
      <w:r>
        <w:rPr>
          <w:rtl/>
        </w:rPr>
        <w:t xml:space="preserve">2. הקדמה: תורת חיים למציאות מתחדשת</w:t>
      </w:r>
    </w:p>
    <w:bookmarkStart w:id="11" w:name="פתח-דבר-הצורך-בבירור-מחודש"/>
    <w:p>
      <w:pPr>
        <w:pStyle w:val="Heading3"/>
        <w:bidi/>
      </w:pPr>
      <w:r>
        <w:rPr>
          <w:rtl/>
        </w:rPr>
        <w:t xml:space="preserve">2.0.1 פתח דבר: הצורך בבירור מחודש</w:t>
      </w:r>
    </w:p>
    <w:p>
      <w:pPr>
        <w:bidi/>
      </w:pPr>
      <w:r>
        <w:rPr>
          <w:rtl/>
        </w:rPr>
        <w:t xml:space="preserve">ספר זה אינו נכתב בחלל ריק. הוא נולד מתוך הכרה עמוקה בחשיבותה של ההלכה כמרכיב המכונן של הזהות היהודית, אך בד בבד מתוך זיהוי של משבר שקט המלווה את עולם התורה בדורות האחרונים. לאורך מאות שנים, השולחן ערוך ונושאי כליו שימשו כעמוד השדרה של הקיום היהודי. אולם, המציאות האנושית, הטכנולוגית והחברתית עברה תמורות כבירות, בעוד שמערכת הפסיקה נותרה לעיתים כבולה למסגרות זמן ומקום שאינן רלוונטיות עוד.</w:t>
      </w:r>
    </w:p>
    <w:p>
      <w:pPr>
        <w:bidi/>
      </w:pPr>
      <w:r>
        <w:rPr>
          <w:rtl/>
        </w:rPr>
        <w:t xml:space="preserve">אין כאן כוונה לזלזל חלילה בענקי הדורות או במפעל הפסיקה המפואר. להפך – מתוך כבוד והערכה למסורת חז”ל, אנו מבקשים ליישם את המתודולוגיה שלהם עצמם: לבחון את המציאות בעיניים פקוחות ולגזור מתוכה את דבר השם. תורה שאינה מתכתבת עם המציאות מאבדת את חיוניותה והופכת ל”מצוות אנשים מלומדה”. ספר זה בא לגשר על הפער הזה, לא כפרשנות אישית, אלא כמניפסט של הציבור ועבור הציבור.</w:t>
      </w:r>
    </w:p>
    <w:bookmarkEnd w:id="11"/>
    <w:bookmarkStart w:id="12" w:name="יסודות-המתודולוגיה-שיבה-אל-המקור"/>
    <w:p>
      <w:pPr>
        <w:pStyle w:val="Heading3"/>
        <w:bidi/>
      </w:pPr>
      <w:r>
        <w:rPr>
          <w:rtl/>
        </w:rPr>
        <w:t xml:space="preserve">2.0.2 יסודות המתודולוגיה: שיבה אל המקור</w:t>
      </w:r>
    </w:p>
    <w:p>
      <w:pPr>
        <w:bidi/>
      </w:pPr>
      <w:r>
        <w:rPr>
          <w:rtl/>
        </w:rPr>
        <w:t xml:space="preserve">הקו המנחה בספר זה הוא ההיצמדות לטקסט המקראי ולאדני הפסיקה המקוריים של חז”ל, תוך הפרדה ברורה בין עיקרה של הלכה לבין סייגים, מנהגים ופרשנויות חברתיות שהשתרשו עם השנים. אנו יוצאים מנקודת הנחה שהתורה היא נצחית, אך יישומה תלוי בהבנה מדויקת של המציאות המשתנה.</w:t>
      </w:r>
    </w:p>
    <w:p>
      <w:pPr>
        <w:bidi/>
      </w:pPr>
      <w:r>
        <w:rPr>
          <w:rtl/>
        </w:rPr>
        <w:t xml:space="preserve">בחינת ההלכות בספר זה נעשית בשלושה שלבים:</w:t>
      </w:r>
      <w:r>
        <w:rPr>
          <w:rtl/>
        </w:rPr>
        <w:t xml:space="preserve"> </w:t>
      </w:r>
      <w:r>
        <w:rPr>
          <w:rtl/>
        </w:rPr>
        <w:t xml:space="preserve">1.</w:t>
      </w:r>
      <w:r>
        <w:rPr>
          <w:rtl/>
        </w:rPr>
        <w:t xml:space="preserve"> </w:t>
      </w:r>
      <w:r>
        <w:rPr>
          <w:b/>
          <w:bCs/>
          <w:rtl/>
        </w:rPr>
        <w:t xml:space="preserve">חקירת השורש:</w:t>
      </w:r>
      <w:r>
        <w:rPr>
          <w:rtl/>
        </w:rPr>
        <w:t xml:space="preserve"> </w:t>
      </w:r>
      <w:r>
        <w:rPr>
          <w:rtl/>
        </w:rPr>
        <w:t xml:space="preserve">איתור המקור הראשוני של הדין בתורה שבכתב ובמשנה.</w:t>
      </w:r>
      <w:r>
        <w:rPr>
          <w:rtl/>
        </w:rPr>
        <w:t xml:space="preserve"> </w:t>
      </w:r>
      <w:r>
        <w:rPr>
          <w:rtl/>
        </w:rPr>
        <w:t xml:space="preserve">2.</w:t>
      </w:r>
      <w:r>
        <w:rPr>
          <w:rtl/>
        </w:rPr>
        <w:t xml:space="preserve"> </w:t>
      </w:r>
      <w:r>
        <w:rPr>
          <w:b/>
          <w:bCs/>
          <w:rtl/>
        </w:rPr>
        <w:t xml:space="preserve">ניתוח הטעם:</w:t>
      </w:r>
      <w:r>
        <w:rPr>
          <w:rtl/>
        </w:rPr>
        <w:t xml:space="preserve"> </w:t>
      </w:r>
      <w:r>
        <w:rPr>
          <w:rtl/>
        </w:rPr>
        <w:t xml:space="preserve">הבנת הסיבה המקורית לפסיקה – האם היא נבעה מתנאים פיזיים, רפואיים, כלכליים או ביטחוניים שהיו קיימים בעבר?</w:t>
      </w:r>
      <w:r>
        <w:rPr>
          <w:rtl/>
        </w:rPr>
        <w:t xml:space="preserve"> </w:t>
      </w:r>
      <w:r>
        <w:rPr>
          <w:rtl/>
        </w:rPr>
        <w:t xml:space="preserve">3.</w:t>
      </w:r>
      <w:r>
        <w:rPr>
          <w:rtl/>
        </w:rPr>
        <w:t xml:space="preserve"> </w:t>
      </w:r>
      <w:r>
        <w:rPr>
          <w:b/>
          <w:bCs/>
          <w:rtl/>
        </w:rPr>
        <w:t xml:space="preserve">מבחן הרלוונטיות:</w:t>
      </w:r>
      <w:r>
        <w:rPr>
          <w:rtl/>
        </w:rPr>
        <w:t xml:space="preserve"> </w:t>
      </w:r>
      <w:r>
        <w:rPr>
          <w:rtl/>
        </w:rPr>
        <w:t xml:space="preserve">בחינה כנה של המציאות הנוכחית. במידה והטעם המקורי בטל או השתנה מהותית, ההלכה נבחנת מחדש – אם לצמצום, אם לשינוי ואם לביטול – במטרה להעמיד פסק הלכה מחייב ונכון לכלל קהילות ישראל.</w:t>
      </w:r>
    </w:p>
    <w:bookmarkEnd w:id="12"/>
    <w:bookmarkStart w:id="13" w:name="שבירת-המחיצות-והאחדות-ההלכתית"/>
    <w:p>
      <w:pPr>
        <w:pStyle w:val="Heading3"/>
        <w:bidi/>
      </w:pPr>
      <w:r>
        <w:rPr>
          <w:rtl/>
        </w:rPr>
        <w:t xml:space="preserve">2.0.3 שבירת המחיצות והאחדות ההלכתית</w:t>
      </w:r>
    </w:p>
    <w:p>
      <w:pPr>
        <w:bidi/>
      </w:pPr>
      <w:r>
        <w:rPr>
          <w:rtl/>
        </w:rPr>
        <w:t xml:space="preserve">אחד הכשלים המרכזיים בעולם ההלכה כיום הוא הפיצול לקהילות, עדות ותתי-מגזרים, המנציחים פסקי הלכה המבוססים על גיאוגרפיה היסטורית ולא על מהות תורנית. ספר זה מבקש לבטל את ההבחנות המלאכותיות הללו. התורה היא אחת, וההלכה אמורה לאחד את העם תחת קודקס התנהגותי רלוונטי ואחיד.</w:t>
      </w:r>
    </w:p>
    <w:p>
      <w:pPr>
        <w:bidi/>
      </w:pPr>
      <w:r>
        <w:rPr>
          <w:rtl/>
        </w:rPr>
        <w:t xml:space="preserve">הדברים המובאים כאן אינם בגדר</w:t>
      </w:r>
      <w:r>
        <w:rPr>
          <w:rtl/>
        </w:rPr>
        <w:t xml:space="preserve"> </w:t>
      </w:r>
      <w:r>
        <w:rPr>
          <w:rtl/>
        </w:rPr>
        <w:t xml:space="preserve">“הצעה למחשבה”</w:t>
      </w:r>
      <w:r>
        <w:rPr>
          <w:rtl/>
        </w:rPr>
        <w:t xml:space="preserve"> </w:t>
      </w:r>
      <w:r>
        <w:rPr>
          <w:rtl/>
        </w:rPr>
        <w:t xml:space="preserve">בלבד. זוהי קריאה לשינוי תפיסתי עמוק: החזרת הסמכות לידי הציבור הלומד והמבין, תוך דרישה ליושרה אינטלקטואלית מול המקורות. אנו מטפלים בכל תחומי החיים – החל מהלכות שבת ומועד, דרך דיני אישות ועד למשפט האזרחי – מתוך מטרה להעמיד</w:t>
      </w:r>
      <w:r>
        <w:rPr>
          <w:rtl/>
        </w:rPr>
        <w:t xml:space="preserve"> </w:t>
      </w:r>
      <w:r>
        <w:rPr>
          <w:rtl/>
        </w:rPr>
        <w:t xml:space="preserve">“שולחן ערוך”</w:t>
      </w:r>
      <w:r>
        <w:rPr>
          <w:rtl/>
        </w:rPr>
        <w:t xml:space="preserve"> </w:t>
      </w:r>
      <w:r>
        <w:rPr>
          <w:rtl/>
        </w:rPr>
        <w:t xml:space="preserve">חדש, כזה שניתן לחיות לאורו בגאווה ובאמונה בעולם המודרני.</w:t>
      </w:r>
    </w:p>
    <w:bookmarkEnd w:id="13"/>
    <w:bookmarkStart w:id="14" w:name="חתימה"/>
    <w:p>
      <w:pPr>
        <w:pStyle w:val="Heading3"/>
        <w:bidi/>
      </w:pPr>
      <w:r>
        <w:rPr>
          <w:rtl/>
        </w:rPr>
        <w:t xml:space="preserve">2.0.4 חתימה</w:t>
      </w:r>
    </w:p>
    <w:p>
      <w:pPr>
        <w:bidi/>
      </w:pPr>
      <w:r>
        <w:rPr>
          <w:rtl/>
        </w:rPr>
        <w:t xml:space="preserve">יהי רצון שספר זה ישמש כפתח לדיון נוקב ואמיתי בתוככי בית המדרש ומחוצה לו. שנזכה להבין כי התורה לא בשמיים היא, אלא בפינו ובלבבנו לעשותה – בכל זמן, בכל מקום ובכל מציאות.</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he"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Professional Book</dc:title>
  <dc:creator>Your Name</dc:creator>
  <dc:language>he</dc:language>
  <cp:keywords/>
  <dcterms:created xsi:type="dcterms:W3CDTF">2026-04-07T17:09:50Z</dcterms:created>
  <dcterms:modified xsi:type="dcterms:W3CDTF">2026-04-07T17:09:50Z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ir">
    <vt:lpwstr>rtl</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תוכן עניינים</vt:lpwstr>
  </property>
</Properties>
</file>