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Financial Data Websites 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b1c1d"/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Yes, there are several websites that provide historical financial data, ranging from free to paid options: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Free: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Yahoo Finance: Offers extensive historical data for stocks, ETFs, indices, and more, including charts and downloadable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Google Finance: Provides similar features to Yahoo Finance, with historical price data and basic charting tools.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SEC EDGAR Database: A comprehensive repository of financial filings from publicly traded companies in the United States. You can access 10-K reports, 10-Q reports, and other filings containing detailed financial information.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Paid: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Refinitiv Eikon: A powerful professional platform with a vast array of data, including real-time and historical financial data, news, analytics, and trading tools.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Bloomberg Terminal: Another leading professional platform known for its real-time data, news, and analytical tools, including historical data.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FactSet: A comprehensive research and data platform used by investment professionals, offering historical financial data, analytics, and research tools.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Other Options: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Koyfin: A user-friendly platform with a focus on visualization and interactive data exploration.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Quandl: Provides a wide range of financial, economic, and alternative data, including historical time series.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Factors to Consider When Choosing a Website: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Data coverage: The types of assets, markets, and time periods covered by the data.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Data frequency: Daily, weekly, monthly, or quarterly data availability.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Data accuracy and reliability: The source and quality of the data.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Ease of use: The user interface, navigation, and data search capabilities.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Cost: Whether the data is free or requires a subscription.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b1c1d"/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I recommend exploring these options and comparing their features to find the best fit for your specific needs and budget.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b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b1c1d"/>
          <w:sz w:val="20"/>
          <w:szCs w:val="20"/>
        </w:rPr>
      </w:pPr>
      <w:r w:rsidDel="00000000" w:rsidR="00000000" w:rsidRPr="00000000">
        <w:rPr>
          <w:color w:val="1b1c1d"/>
          <w:sz w:val="20"/>
          <w:szCs w:val="20"/>
          <w:rtl w:val="0"/>
        </w:rPr>
        <w:t xml:space="preserve">Brokers 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Several online brokers offer APIs that can be used for bot trading: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b1c1d"/>
          <w:rtl w:val="0"/>
        </w:rPr>
        <w:t xml:space="preserve">Interactive Brokers</w:t>
      </w:r>
      <w:r w:rsidDel="00000000" w:rsidR="00000000" w:rsidRPr="00000000">
        <w:rPr>
          <w:color w:val="1b1c1d"/>
          <w:rtl w:val="0"/>
        </w:rPr>
        <w:t xml:space="preserve">: Known for its advanced trading platform and extensive market access, Interactive Brokers provides a robust API for automated trading.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b1c1d"/>
          <w:rtl w:val="0"/>
        </w:rPr>
        <w:t xml:space="preserve">Tradier</w:t>
      </w:r>
      <w:r w:rsidDel="00000000" w:rsidR="00000000" w:rsidRPr="00000000">
        <w:rPr>
          <w:color w:val="1b1c1d"/>
          <w:rtl w:val="0"/>
        </w:rPr>
        <w:t xml:space="preserve">: A commission-free broker that focuses on algorithmic trading and provides a simple, scalable, and reliable API.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b1c1d"/>
          <w:rtl w:val="0"/>
        </w:rPr>
        <w:t xml:space="preserve">Alpaca</w:t>
      </w:r>
      <w:r w:rsidDel="00000000" w:rsidR="00000000" w:rsidRPr="00000000">
        <w:rPr>
          <w:color w:val="1b1c1d"/>
          <w:rtl w:val="0"/>
        </w:rPr>
        <w:t xml:space="preserve">: Another commission-free broker specifically designed for algorithmic trading with a user-friendly API.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TD Ameritrade</w:t>
      </w:r>
      <w:r w:rsidDel="00000000" w:rsidR="00000000" w:rsidRPr="00000000">
        <w:rPr>
          <w:color w:val="1b1c1d"/>
          <w:rtl w:val="0"/>
        </w:rPr>
        <w:t xml:space="preserve">: Offers a powerful trading platform, thinkorswim, which supports algorithmic trading and has an extensive range of tools for strategy development and backtesting.</w:t>
      </w:r>
      <w:r w:rsidDel="00000000" w:rsidR="00000000" w:rsidRPr="00000000">
        <w:rPr>
          <w:color w:val="575b5f"/>
          <w:sz w:val="18"/>
          <w:szCs w:val="18"/>
          <w:highlight w:val="white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TradeStation</w:t>
      </w:r>
      <w:r w:rsidDel="00000000" w:rsidR="00000000" w:rsidRPr="00000000">
        <w:rPr>
          <w:color w:val="1b1c1d"/>
          <w:rtl w:val="0"/>
        </w:rPr>
        <w:t xml:space="preserve">: Provides a suite of advanced trading technologies, including EasyLanguage, a proprietary coding language that enables traders to create or modify trading strategies.</w:t>
      </w:r>
      <w:r w:rsidDel="00000000" w:rsidR="00000000" w:rsidRPr="00000000">
        <w:rPr>
          <w:color w:val="575b5f"/>
          <w:sz w:val="18"/>
          <w:szCs w:val="18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Important Considerations: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API Documentation and Support: Thoroughly review the API documentation and ensure that the broker provides adequate support for developers.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Order Execution Speed: The speed of order execution is crucial for bot trading.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Order Types: Ensure the API supports the order types you need for your bot trading strategies.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Cost: Evaluate the costs associated with using the API, such as data fees or API usage fees.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Security: Prioritize brokers with robust security measures to protect your account and trading data.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Disclaimer: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I am an AI chatbot and cannot provide financial advice.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Bot trading involves significant risks and may not be suitable for all investors.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Always conduct thorough research and due diligence before engaging in any form of automated trading.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Yes, all of the brokers you mentioned offer simulation accounts: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b1c1d"/>
          <w:rtl w:val="0"/>
        </w:rPr>
        <w:t xml:space="preserve">Interactive Brokers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Name: Paper Trading Account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Features:</w:t>
      </w:r>
    </w:p>
    <w:p w:rsidR="00000000" w:rsidDel="00000000" w:rsidP="00000000" w:rsidRDefault="00000000" w:rsidRPr="00000000" w14:paraId="0000002B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Uses real market data.</w:t>
      </w:r>
    </w:p>
    <w:p w:rsidR="00000000" w:rsidDel="00000000" w:rsidP="00000000" w:rsidRDefault="00000000" w:rsidRPr="00000000" w14:paraId="0000002C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Allows you to use the full range of IBKR trading features.</w:t>
      </w:r>
    </w:p>
    <w:p w:rsidR="00000000" w:rsidDel="00000000" w:rsidP="00000000" w:rsidRDefault="00000000" w:rsidRPr="00000000" w14:paraId="0000002D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Provides $1,000,000 of virtual funds to start.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b1c1d"/>
          <w:rtl w:val="0"/>
        </w:rPr>
        <w:t xml:space="preserve">Tradier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Name: Paper Trading Account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Features: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Designed for testing trading strategies.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Provides access to their API for automated trading simulations.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b1c1d"/>
          <w:rtl w:val="0"/>
        </w:rPr>
        <w:t xml:space="preserve">Alpaca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Name: Paper Trading Account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Features:</w:t>
      </w:r>
    </w:p>
    <w:p w:rsidR="00000000" w:rsidDel="00000000" w:rsidP="00000000" w:rsidRDefault="00000000" w:rsidRPr="00000000" w14:paraId="00000036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Focuses on algorithmic trading simulations.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Integrates well with their API.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b1c1d"/>
          <w:rtl w:val="0"/>
        </w:rPr>
        <w:t xml:space="preserve">TD Ameritrade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Name: Thinkorswim Paper Trading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Features: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Allows you to use the full functionality of the thinkorswim platform in a simulated environment.</w:t>
      </w:r>
    </w:p>
    <w:p w:rsidR="00000000" w:rsidDel="00000000" w:rsidP="00000000" w:rsidRDefault="00000000" w:rsidRPr="00000000" w14:paraId="0000003C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Provides access to a wide range of tools for strategy development and backtesting.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b1c1d"/>
          <w:rtl w:val="0"/>
        </w:rPr>
        <w:t xml:space="preserve">TradeStation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Name: Paper Trading Account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Features:</w:t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Allows you to test trading strategies using real-time market data.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Provides access to their EasyLanguage platform for developing and backtesting automated trading strategies.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Key Points: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Purpose: Simulation accounts allow you to practice trading without risking real money.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Features: They typically replicate the features of the live trading platform, including order types, charting tools, and research resources.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Benefits: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Risk-free learning: Test strategies and refine your trading skills without financial risk.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Platform familiarity: Get comfortable with the broker's platform and its features.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Strategy development: Develop and backtest trading strategies in a simulated environment.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4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Disclaimer: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Simulation accounts may not perfectly replicate the real-world trading experience.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Always exercise caution and conduct thorough research before making any investment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