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33690" w14:textId="2F8A9C97" w:rsidR="005B695D" w:rsidRPr="005B695D" w:rsidRDefault="005B695D" w:rsidP="005B695D">
      <w:pPr>
        <w:rPr>
          <w:rFonts w:ascii="Times New Roman" w:hAnsi="Times New Roman" w:cs="Times New Roman"/>
          <w:sz w:val="24"/>
          <w:szCs w:val="24"/>
        </w:rPr>
      </w:pPr>
    </w:p>
    <w:p w14:paraId="42312674" w14:textId="77777777" w:rsidR="005B695D" w:rsidRPr="005B695D" w:rsidRDefault="005B695D" w:rsidP="005B695D">
      <w:pPr>
        <w:rPr>
          <w:rFonts w:ascii="Times New Roman" w:hAnsi="Times New Roman" w:cs="Times New Roman"/>
          <w:sz w:val="24"/>
          <w:szCs w:val="24"/>
        </w:rPr>
      </w:pPr>
    </w:p>
    <w:p w14:paraId="729CF872" w14:textId="77777777" w:rsidR="005B695D" w:rsidRPr="005B695D" w:rsidRDefault="005B695D" w:rsidP="005B695D">
      <w:pPr>
        <w:rPr>
          <w:rFonts w:ascii="Times New Roman" w:hAnsi="Times New Roman" w:cs="Times New Roman"/>
          <w:sz w:val="24"/>
          <w:szCs w:val="24"/>
        </w:rPr>
      </w:pPr>
    </w:p>
    <w:p w14:paraId="0AF4121F" w14:textId="77777777" w:rsidR="005B695D" w:rsidRPr="005B695D" w:rsidRDefault="005B695D" w:rsidP="005B695D">
      <w:pPr>
        <w:rPr>
          <w:rFonts w:ascii="Times New Roman" w:hAnsi="Times New Roman" w:cs="Times New Roman"/>
        </w:rPr>
      </w:pPr>
    </w:p>
    <w:p w14:paraId="5067E788" w14:textId="77777777" w:rsidR="005B695D" w:rsidRPr="005B695D" w:rsidRDefault="005B695D" w:rsidP="005B695D">
      <w:pPr>
        <w:suppressAutoHyphens/>
        <w:spacing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bCs/>
          <w:kern w:val="0"/>
          <w:sz w:val="32"/>
          <w:szCs w:val="32"/>
          <w14:ligatures w14:val="none"/>
        </w:rPr>
      </w:pPr>
      <w:r w:rsidRPr="005B695D">
        <w:rPr>
          <w:rFonts w:ascii="Times New Roman" w:eastAsia="Arial" w:hAnsi="Times New Roman" w:cs="Times New Roman"/>
          <w:b/>
          <w:bCs/>
          <w:kern w:val="0"/>
          <w:sz w:val="32"/>
          <w:szCs w:val="32"/>
          <w14:ligatures w14:val="none"/>
        </w:rPr>
        <w:t>CS-255 System Analysis And Design</w:t>
      </w:r>
    </w:p>
    <w:p w14:paraId="3D2A360E" w14:textId="45CBA77F" w:rsidR="005B695D" w:rsidRPr="005B695D" w:rsidRDefault="005B695D" w:rsidP="005B695D">
      <w:pPr>
        <w:suppressAutoHyphens/>
        <w:spacing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bCs/>
          <w:kern w:val="0"/>
          <w:sz w:val="32"/>
          <w:szCs w:val="32"/>
          <w14:ligatures w14:val="none"/>
        </w:rPr>
      </w:pPr>
      <w:r w:rsidRPr="005B695D">
        <w:rPr>
          <w:rFonts w:ascii="Times New Roman" w:eastAsia="Arial" w:hAnsi="Times New Roman" w:cs="Times New Roman"/>
          <w:b/>
          <w:bCs/>
          <w:kern w:val="0"/>
          <w:sz w:val="32"/>
          <w:szCs w:val="32"/>
          <w14:ligatures w14:val="none"/>
        </w:rPr>
        <w:t xml:space="preserve">Module </w:t>
      </w:r>
      <w:r w:rsidRPr="005B695D">
        <w:rPr>
          <w:rFonts w:ascii="Times New Roman" w:eastAsia="Arial" w:hAnsi="Times New Roman" w:cs="Times New Roman"/>
          <w:b/>
          <w:bCs/>
          <w:kern w:val="0"/>
          <w:sz w:val="32"/>
          <w:szCs w:val="32"/>
          <w14:ligatures w14:val="none"/>
        </w:rPr>
        <w:t>2</w:t>
      </w:r>
      <w:r w:rsidRPr="005B695D">
        <w:rPr>
          <w:rFonts w:ascii="Times New Roman" w:eastAsia="Arial" w:hAnsi="Times New Roman" w:cs="Times New Roman"/>
          <w:b/>
          <w:bCs/>
          <w:kern w:val="0"/>
          <w:sz w:val="32"/>
          <w:szCs w:val="32"/>
          <w14:ligatures w14:val="none"/>
        </w:rPr>
        <w:t xml:space="preserve"> Assignment</w:t>
      </w:r>
    </w:p>
    <w:p w14:paraId="17689546" w14:textId="2AD8462F" w:rsidR="005B695D" w:rsidRPr="005B695D" w:rsidRDefault="005B695D" w:rsidP="005B695D">
      <w:pPr>
        <w:suppressAutoHyphens/>
        <w:spacing w:line="240" w:lineRule="auto"/>
        <w:contextualSpacing/>
        <w:jc w:val="center"/>
        <w:outlineLvl w:val="0"/>
        <w:rPr>
          <w:rFonts w:ascii="Times New Roman" w:eastAsia="Arial" w:hAnsi="Times New Roman" w:cs="Times New Roman"/>
          <w:b/>
          <w:bCs/>
          <w:kern w:val="0"/>
          <w:sz w:val="32"/>
          <w:szCs w:val="32"/>
          <w14:ligatures w14:val="none"/>
        </w:rPr>
      </w:pPr>
      <w:r w:rsidRPr="005B695D">
        <w:rPr>
          <w:rFonts w:ascii="Times New Roman" w:eastAsia="Arial" w:hAnsi="Times New Roman" w:cs="Times New Roman"/>
          <w:b/>
          <w:bCs/>
          <w:kern w:val="0"/>
          <w:sz w:val="32"/>
          <w:szCs w:val="32"/>
          <w14:ligatures w14:val="none"/>
        </w:rPr>
        <w:t>Functional and Nonfunctional Requirements in Designing an LMS</w:t>
      </w:r>
    </w:p>
    <w:p w14:paraId="22335E45" w14:textId="77777777" w:rsidR="005B695D" w:rsidRPr="005B695D" w:rsidRDefault="005B695D" w:rsidP="005B695D">
      <w:pPr>
        <w:spacing w:after="0" w:line="276" w:lineRule="auto"/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</w:pPr>
    </w:p>
    <w:p w14:paraId="27B44D9E" w14:textId="77777777" w:rsidR="005B695D" w:rsidRPr="005B695D" w:rsidRDefault="005B695D" w:rsidP="005B695D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bCs/>
          <w:kern w:val="0"/>
          <w:sz w:val="32"/>
          <w:szCs w:val="32"/>
          <w:lang w:val="en"/>
          <w14:ligatures w14:val="none"/>
        </w:rPr>
      </w:pPr>
      <w:r w:rsidRPr="005B695D">
        <w:rPr>
          <w:rFonts w:ascii="Times New Roman" w:eastAsia="Arial" w:hAnsi="Times New Roman" w:cs="Times New Roman"/>
          <w:b/>
          <w:bCs/>
          <w:kern w:val="0"/>
          <w:sz w:val="32"/>
          <w:szCs w:val="32"/>
          <w:lang w:val="en"/>
          <w14:ligatures w14:val="none"/>
        </w:rPr>
        <w:t>Submitted By:</w:t>
      </w:r>
    </w:p>
    <w:p w14:paraId="4B1263FD" w14:textId="77777777" w:rsidR="005B695D" w:rsidRPr="005B695D" w:rsidRDefault="005B695D" w:rsidP="005B695D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</w:pPr>
      <w:r w:rsidRPr="005B695D"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  <w:t>HAMNA KHALID</w:t>
      </w:r>
    </w:p>
    <w:p w14:paraId="1B92C697" w14:textId="77777777" w:rsidR="005B695D" w:rsidRPr="005B695D" w:rsidRDefault="005B695D" w:rsidP="005B695D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</w:pPr>
      <w:r w:rsidRPr="005B695D"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  <w:t>ID: 2902671</w:t>
      </w:r>
    </w:p>
    <w:p w14:paraId="68D954FC" w14:textId="77777777" w:rsidR="005B695D" w:rsidRPr="005B695D" w:rsidRDefault="005B695D" w:rsidP="005B695D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24"/>
          <w:szCs w:val="24"/>
          <w:lang w:val="en"/>
          <w14:ligatures w14:val="none"/>
        </w:rPr>
      </w:pPr>
      <w:hyperlink r:id="rId7" w:history="1">
        <w:r w:rsidRPr="005B695D">
          <w:rPr>
            <w:rFonts w:ascii="Times New Roman" w:eastAsia="Arial" w:hAnsi="Times New Roman" w:cs="Times New Roman"/>
            <w:color w:val="467886" w:themeColor="hyperlink"/>
            <w:kern w:val="0"/>
            <w:sz w:val="32"/>
            <w:szCs w:val="32"/>
            <w:lang w:val="en"/>
            <w14:ligatures w14:val="none"/>
          </w:rPr>
          <w:t>hamna.khalid@snhu.edu</w:t>
        </w:r>
      </w:hyperlink>
    </w:p>
    <w:p w14:paraId="749E4859" w14:textId="77777777" w:rsidR="005B695D" w:rsidRPr="005B695D" w:rsidRDefault="005B695D" w:rsidP="005B695D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</w:pPr>
    </w:p>
    <w:p w14:paraId="774A6162" w14:textId="77777777" w:rsidR="005B695D" w:rsidRPr="005B695D" w:rsidRDefault="005B695D" w:rsidP="005B695D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b/>
          <w:bCs/>
          <w:kern w:val="0"/>
          <w:sz w:val="32"/>
          <w:szCs w:val="32"/>
          <w:lang w:val="en"/>
          <w14:ligatures w14:val="none"/>
        </w:rPr>
      </w:pPr>
      <w:r w:rsidRPr="005B695D">
        <w:rPr>
          <w:rFonts w:ascii="Times New Roman" w:eastAsia="Arial" w:hAnsi="Times New Roman" w:cs="Times New Roman"/>
          <w:b/>
          <w:bCs/>
          <w:kern w:val="0"/>
          <w:sz w:val="32"/>
          <w:szCs w:val="32"/>
          <w:lang w:val="en"/>
          <w14:ligatures w14:val="none"/>
        </w:rPr>
        <w:t>Submitted To:</w:t>
      </w:r>
    </w:p>
    <w:p w14:paraId="7B86F1E5" w14:textId="77777777" w:rsidR="005B695D" w:rsidRPr="005B695D" w:rsidRDefault="005B695D" w:rsidP="005B695D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</w:pPr>
      <w:r w:rsidRPr="005B695D"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  <w:t>PROFESSOR PARUL HIRPARA</w:t>
      </w:r>
    </w:p>
    <w:p w14:paraId="02FAE3CB" w14:textId="77777777" w:rsidR="005B695D" w:rsidRPr="005B695D" w:rsidRDefault="005B695D" w:rsidP="005B695D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</w:pPr>
      <w:r w:rsidRPr="005B695D">
        <w:rPr>
          <w:rFonts w:ascii="Times New Roman" w:eastAsia="Arial" w:hAnsi="Times New Roman" w:cs="Times New Roman"/>
          <w:color w:val="467886" w:themeColor="hyperlink"/>
          <w:kern w:val="0"/>
          <w:sz w:val="32"/>
          <w:szCs w:val="32"/>
          <w:lang w:val="en"/>
          <w14:ligatures w14:val="none"/>
        </w:rPr>
        <w:t>p.hirpara@snhu.edu</w:t>
      </w:r>
    </w:p>
    <w:p w14:paraId="6E019120" w14:textId="77777777" w:rsidR="005B695D" w:rsidRPr="005B695D" w:rsidRDefault="005B695D" w:rsidP="005B695D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</w:pPr>
    </w:p>
    <w:p w14:paraId="4D29632D" w14:textId="77777777" w:rsidR="005B695D" w:rsidRPr="005B695D" w:rsidRDefault="005B695D" w:rsidP="005B695D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</w:pPr>
      <w:r w:rsidRPr="005B695D"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  <w:t>Southern New Hampshire University</w:t>
      </w:r>
    </w:p>
    <w:p w14:paraId="47CE8B24" w14:textId="654661DA" w:rsidR="005B695D" w:rsidRPr="005B695D" w:rsidRDefault="005B695D" w:rsidP="005B695D">
      <w:pPr>
        <w:suppressAutoHyphens/>
        <w:spacing w:after="0" w:line="240" w:lineRule="auto"/>
        <w:jc w:val="center"/>
        <w:rPr>
          <w:rFonts w:ascii="Times New Roman" w:eastAsia="Arial" w:hAnsi="Times New Roman" w:cs="Times New Roman"/>
          <w:kern w:val="0"/>
          <w:sz w:val="24"/>
          <w:szCs w:val="24"/>
          <w:lang w:val="en"/>
          <w14:ligatures w14:val="none"/>
        </w:rPr>
      </w:pPr>
      <w:r w:rsidRPr="005B695D"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  <w:t>Sunday, September 0</w:t>
      </w:r>
      <w:r w:rsidRPr="005B695D"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  <w:t>9</w:t>
      </w:r>
      <w:r w:rsidRPr="005B695D">
        <w:rPr>
          <w:rFonts w:ascii="Times New Roman" w:eastAsia="Arial" w:hAnsi="Times New Roman" w:cs="Times New Roman"/>
          <w:kern w:val="0"/>
          <w:sz w:val="32"/>
          <w:szCs w:val="32"/>
          <w:lang w:val="en"/>
          <w14:ligatures w14:val="none"/>
        </w:rPr>
        <w:t>, 2025</w:t>
      </w:r>
    </w:p>
    <w:p w14:paraId="59BCBD17" w14:textId="77777777" w:rsidR="005B695D" w:rsidRPr="005B695D" w:rsidRDefault="005B695D" w:rsidP="005B695D">
      <w:pPr>
        <w:rPr>
          <w:rFonts w:ascii="Times New Roman" w:eastAsia="Cambria" w:hAnsi="Times New Roman" w:cs="Times New Roman"/>
          <w:spacing w:val="-10"/>
          <w:kern w:val="28"/>
          <w:sz w:val="24"/>
          <w:szCs w:val="24"/>
          <w:lang w:val="en-US"/>
        </w:rPr>
      </w:pPr>
      <w:r w:rsidRPr="005B695D">
        <w:rPr>
          <w:rFonts w:ascii="Times New Roman" w:eastAsia="Arial" w:hAnsi="Times New Roman" w:cs="Times New Roman"/>
          <w:kern w:val="0"/>
          <w:sz w:val="24"/>
          <w:szCs w:val="24"/>
          <w:lang w:val="en"/>
          <w14:ligatures w14:val="none"/>
        </w:rPr>
        <w:br w:type="page"/>
      </w:r>
    </w:p>
    <w:p w14:paraId="1467CD42" w14:textId="4163FE94" w:rsidR="005B695D" w:rsidRPr="007360FD" w:rsidRDefault="005B695D" w:rsidP="005B695D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7360F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lastRenderedPageBreak/>
        <w:t>Functional and Nonfunctional Requirements for a Learning Management System</w:t>
      </w:r>
    </w:p>
    <w:p w14:paraId="1872E0F0" w14:textId="77777777" w:rsidR="005B695D" w:rsidRPr="000F6E81" w:rsidRDefault="005B695D" w:rsidP="005B695D">
      <w:pPr>
        <w:rPr>
          <w:rFonts w:ascii="Times New Roman" w:hAnsi="Times New Roman" w:cs="Times New Roman"/>
          <w:sz w:val="24"/>
          <w:szCs w:val="24"/>
        </w:rPr>
      </w:pPr>
    </w:p>
    <w:p w14:paraId="56C46BE0" w14:textId="77777777" w:rsidR="005B695D" w:rsidRPr="000F6E81" w:rsidRDefault="005B695D" w:rsidP="005B695D">
      <w:pPr>
        <w:rPr>
          <w:rFonts w:ascii="Times New Roman" w:hAnsi="Times New Roman" w:cs="Times New Roman"/>
          <w:sz w:val="24"/>
          <w:szCs w:val="24"/>
        </w:rPr>
      </w:pPr>
    </w:p>
    <w:p w14:paraId="6D3A147F" w14:textId="77777777" w:rsidR="005B695D" w:rsidRPr="002C2794" w:rsidRDefault="005B695D" w:rsidP="005B695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"/>
        </w:rPr>
      </w:pPr>
      <w:bookmarkStart w:id="0" w:name="_heading=h.gjdgxs"/>
      <w:bookmarkEnd w:id="0"/>
      <w:r w:rsidRPr="002C279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"/>
        </w:rPr>
        <w:t>Functional Requirements</w:t>
      </w:r>
    </w:p>
    <w:p w14:paraId="68313CD4" w14:textId="77777777" w:rsidR="005B695D" w:rsidRPr="005B695D" w:rsidRDefault="005B695D" w:rsidP="005B695D">
      <w:pPr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5B695D" w:rsidRPr="005B695D" w14:paraId="089C7D59" w14:textId="77777777" w:rsidTr="005B695D">
        <w:trPr>
          <w:tblHeader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F7720C" w14:textId="77777777" w:rsidR="005B695D" w:rsidRPr="005B695D" w:rsidRDefault="005B695D" w:rsidP="007C7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Functional Requirement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F18D2" w14:textId="77777777" w:rsidR="005B695D" w:rsidRPr="005B695D" w:rsidRDefault="005B695D" w:rsidP="007C7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Rationale for Requirement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C7D754" w14:textId="77777777" w:rsidR="005B695D" w:rsidRPr="005B695D" w:rsidRDefault="005B695D" w:rsidP="007C7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Source(s), APA format</w:t>
            </w:r>
          </w:p>
        </w:tc>
      </w:tr>
      <w:tr w:rsidR="005B695D" w:rsidRPr="005B695D" w14:paraId="6D9C1EBA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F42163" w14:textId="77777777" w:rsidR="007C7A50" w:rsidRPr="007C7A50" w:rsidRDefault="007C7A50" w:rsidP="007C7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16BE9" w14:textId="398719C3" w:rsidR="005B695D" w:rsidRPr="005B695D" w:rsidRDefault="00155130" w:rsidP="007C7A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Role-Based Access &amp; Account Management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7F3B43" w14:textId="77777777" w:rsidR="007C7A50" w:rsidRPr="007C7A50" w:rsidRDefault="007C7A5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7AA9F" w14:textId="77777777" w:rsidR="005B695D" w:rsidRPr="007C7A50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An LMS must differentiate permissions for students, faculty, TAs, and admins to protect data and enable appropriate capabilities (e.g., grading vs. viewing). This is foundational to security and </w:t>
            </w:r>
            <w:r w:rsidR="007C7A50"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correct operation of course workflows.</w:t>
            </w:r>
          </w:p>
          <w:p w14:paraId="5E15CCC4" w14:textId="673E84F3" w:rsidR="007C7A50" w:rsidRPr="005B695D" w:rsidRDefault="007C7A50" w:rsidP="007C7A50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02AE73" w14:textId="77777777" w:rsidR="007C7A50" w:rsidRPr="007C7A50" w:rsidRDefault="007C7A5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F50D8" w14:textId="77777777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Blackboard privacy guidance emphasizes configuration to meet FERPA obligations, implying role-appropriate controls.</w:t>
            </w:r>
          </w:p>
          <w:p w14:paraId="422BC2FB" w14:textId="77777777" w:rsidR="004107F4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(Blackboard Help, n.d.)</w:t>
            </w:r>
          </w:p>
          <w:p w14:paraId="055D769D" w14:textId="4601B261" w:rsidR="004107F4" w:rsidRPr="005B695D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</w:p>
        </w:tc>
      </w:tr>
      <w:tr w:rsidR="005B695D" w:rsidRPr="005B695D" w14:paraId="18ED442B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A6BAD" w14:textId="77777777" w:rsidR="007C7A50" w:rsidRPr="007C7A50" w:rsidRDefault="007C7A50" w:rsidP="007C7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53C088" w14:textId="46B19ABF" w:rsidR="005B695D" w:rsidRPr="005B695D" w:rsidRDefault="00155130" w:rsidP="007C7A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Course Content Delivery &amp; Organization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CCEE0D" w14:textId="77777777" w:rsidR="007C7A50" w:rsidRPr="007C7A50" w:rsidRDefault="007C7A5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43567" w14:textId="69C6C6B7" w:rsidR="005B695D" w:rsidRPr="007C7A50" w:rsidRDefault="007C7A5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Instructors must upload, organize, and schedule course materials (modules, pages, files, videos) so students can access learning content both asynchronously and synchronously. This is the LMS’s primary instructional function.</w:t>
            </w:r>
          </w:p>
          <w:p w14:paraId="3D0DD7BB" w14:textId="00116E9B" w:rsidR="007C7A50" w:rsidRPr="005B695D" w:rsidRDefault="007C7A50" w:rsidP="007C7A50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F48EF" w14:textId="77777777" w:rsidR="007C7A50" w:rsidRPr="007C7A50" w:rsidRDefault="007C7A5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64171C" w14:textId="77777777" w:rsidR="00155130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General LMS capability informed by vendor documentation across platforms.</w:t>
            </w:r>
          </w:p>
          <w:p w14:paraId="781E61D1" w14:textId="77777777" w:rsidR="004107F4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(Author’s analysis based on LMS practices)</w:t>
            </w:r>
          </w:p>
          <w:p w14:paraId="5719EEDC" w14:textId="42826575" w:rsidR="004107F4" w:rsidRPr="005B695D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</w:p>
        </w:tc>
      </w:tr>
      <w:tr w:rsidR="005B695D" w:rsidRPr="005B695D" w14:paraId="55A2F82F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990AC3" w14:textId="77777777" w:rsidR="007C7A50" w:rsidRPr="007C7A50" w:rsidRDefault="007C7A50" w:rsidP="007C7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5CDBB8" w14:textId="2751A0F8" w:rsidR="005B695D" w:rsidRPr="005B695D" w:rsidRDefault="00155130" w:rsidP="007C7A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Assessments, Quizzes, Assignments &amp; Gradebook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848359" w14:textId="77777777" w:rsidR="007C7A50" w:rsidRPr="007C7A50" w:rsidRDefault="007C7A5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1F7A50" w14:textId="28AE5DD9" w:rsidR="005B695D" w:rsidRPr="007C7A50" w:rsidRDefault="007C7A5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The LMS must allow instructors to create assessments, collect submissions, automatically or manually grade, and publish grades securely; these functions are essential for teaching and accreditation.</w:t>
            </w:r>
          </w:p>
          <w:p w14:paraId="4266013A" w14:textId="4BD535FA" w:rsidR="007C7A50" w:rsidRPr="005B695D" w:rsidRDefault="007C7A50" w:rsidP="007C7A50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0E9464" w14:textId="77777777" w:rsidR="007C7A50" w:rsidRPr="007C7A50" w:rsidRDefault="007C7A5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B1C4E5" w14:textId="77777777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Common feature across modern </w:t>
            </w:r>
            <w:r w:rsidR="007C7A50" w:rsidRPr="007C7A50">
              <w:rPr>
                <w:rFonts w:ascii="Times New Roman" w:hAnsi="Times New Roman" w:cs="Times New Roman"/>
                <w:sz w:val="24"/>
                <w:szCs w:val="24"/>
              </w:rPr>
              <w:t>LMSs: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 Blackboard FERPA emphasis on secure grade handling.</w:t>
            </w:r>
          </w:p>
          <w:p w14:paraId="2B197360" w14:textId="77777777" w:rsidR="004107F4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(Blackboard Help, n.d.)</w:t>
            </w:r>
          </w:p>
          <w:p w14:paraId="5E49F0AD" w14:textId="75FDC444" w:rsidR="004107F4" w:rsidRPr="005B695D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</w:p>
        </w:tc>
      </w:tr>
      <w:tr w:rsidR="005B695D" w:rsidRPr="005B695D" w14:paraId="4E3157C4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A888D" w14:textId="77777777" w:rsidR="007C7A50" w:rsidRPr="007C7A50" w:rsidRDefault="007C7A50" w:rsidP="007C7A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80D05" w14:textId="17A3FA00" w:rsidR="005B695D" w:rsidRPr="005B695D" w:rsidRDefault="00155130" w:rsidP="007C7A5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Communication &amp; Collaboration Tools (announcements, messaging, discussions)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F612F" w14:textId="77777777" w:rsidR="007C7A50" w:rsidRPr="007C7A50" w:rsidRDefault="007C7A5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79B2C" w14:textId="77777777" w:rsidR="005B695D" w:rsidRPr="007C7A50" w:rsidRDefault="0015513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Students need timely updates and spaces to collaborate; instructors need reliable channels to guide learning and foster engagement.</w:t>
            </w:r>
          </w:p>
          <w:p w14:paraId="7DB872DF" w14:textId="771545B0" w:rsidR="007C7A50" w:rsidRPr="005B695D" w:rsidRDefault="007C7A50" w:rsidP="005B695D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D057A3" w14:textId="77777777" w:rsidR="007C7A50" w:rsidRPr="007C7A50" w:rsidRDefault="007C7A5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7B9FA" w14:textId="77777777" w:rsidR="005B695D" w:rsidRDefault="0015513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Common LMS capability.</w:t>
            </w:r>
          </w:p>
          <w:p w14:paraId="69425E68" w14:textId="77777777" w:rsidR="004107F4" w:rsidRDefault="004107F4" w:rsidP="005B69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(Author’s analysis based on LMS practices)</w:t>
            </w:r>
          </w:p>
          <w:p w14:paraId="281BD118" w14:textId="3A2C4D80" w:rsidR="004107F4" w:rsidRPr="005B695D" w:rsidRDefault="004107F4" w:rsidP="005B69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</w:p>
        </w:tc>
      </w:tr>
      <w:tr w:rsidR="005B695D" w:rsidRPr="005B695D" w14:paraId="441E5D12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1627AC" w14:textId="77777777" w:rsidR="007C7A50" w:rsidRPr="007C7A50" w:rsidRDefault="007C7A5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0D012" w14:textId="0F283216" w:rsidR="005B695D" w:rsidRPr="005B695D" w:rsidRDefault="00155130" w:rsidP="005B695D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Standards-Based Integrations via LTI 1.3/Advantage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C3F8B0" w14:textId="77777777" w:rsidR="007C7A50" w:rsidRPr="007C7A50" w:rsidRDefault="007C7A5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2D534" w14:textId="77777777" w:rsidR="005B695D" w:rsidRPr="007C7A50" w:rsidRDefault="0015513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To plug in proctoring, publisher content, simulations, and custom tools, the LMS should support </w:t>
            </w:r>
            <w:r w:rsidRPr="007C7A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IMS Global (1EdTech) LTI 1.3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 with OIDC security. This future-proofs the platform and avoids vendor lock-in.</w:t>
            </w:r>
          </w:p>
          <w:p w14:paraId="783B2285" w14:textId="2A29558E" w:rsidR="007C7A50" w:rsidRPr="005B695D" w:rsidRDefault="007C7A50" w:rsidP="005B695D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A79A14" w14:textId="77777777" w:rsidR="007C7A50" w:rsidRPr="007C7A50" w:rsidRDefault="007C7A5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8E7934" w14:textId="77777777" w:rsidR="005B695D" w:rsidRDefault="0015513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Canvas documents LTI 1.3 and its OIDC-based security model, reflecting standard LMS practice</w:t>
            </w:r>
            <w:r w:rsidR="00967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4ED557D" w14:textId="77777777" w:rsidR="004107F4" w:rsidRDefault="004107F4" w:rsidP="005B695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(Instructure, n.d.-a; Instructure, n.d.-b)</w:t>
            </w:r>
          </w:p>
          <w:p w14:paraId="0FA83C4F" w14:textId="7667358F" w:rsidR="004107F4" w:rsidRPr="005B695D" w:rsidRDefault="004107F4" w:rsidP="005B695D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5B695D" w:rsidRPr="005B695D" w14:paraId="67B22A62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D1ABF" w14:textId="77777777" w:rsidR="007C7A50" w:rsidRPr="007C7A50" w:rsidRDefault="007C7A5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E5421F" w14:textId="6FBAE8AD" w:rsidR="005B695D" w:rsidRPr="005B695D" w:rsidRDefault="00155130" w:rsidP="005B695D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Backup &amp; Restore of Courses and Site Data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B50CDA" w14:textId="77777777" w:rsidR="007C7A50" w:rsidRPr="007C7A50" w:rsidRDefault="007C7A5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2A577" w14:textId="77777777" w:rsidR="007C7A50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Regular backup and reliable restore minimize downtime 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and data loss from errors or incidents</w:t>
            </w:r>
            <w:r w:rsidR="007C7A50" w:rsidRPr="007C7A5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 and support rollover between terms.</w:t>
            </w:r>
          </w:p>
          <w:p w14:paraId="05267D27" w14:textId="720A521C" w:rsidR="007C7A50" w:rsidRPr="005B695D" w:rsidRDefault="007C7A5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BF8DC" w14:textId="77777777" w:rsidR="007C7A50" w:rsidRPr="007C7A50" w:rsidRDefault="007C7A5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132DF8" w14:textId="77777777" w:rsidR="005B695D" w:rsidRDefault="00155130" w:rsidP="005B69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MoodleDocs recommends site-level backups to shorten 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recovery time and preserve all data; restore capabilities are </w:t>
            </w:r>
            <w:r w:rsidR="007C7A50" w:rsidRPr="007C7A50">
              <w:rPr>
                <w:rFonts w:ascii="Times New Roman" w:hAnsi="Times New Roman" w:cs="Times New Roman"/>
                <w:sz w:val="24"/>
                <w:szCs w:val="24"/>
              </w:rPr>
              <w:t>built in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C0A6A45" w14:textId="569BA3D8" w:rsidR="004107F4" w:rsidRPr="004107F4" w:rsidRDefault="004107F4" w:rsidP="004107F4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PK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PK"/>
              </w:rPr>
              <w:t>(MoodleDocs, 2024; MoodleDocs, 2025)</w:t>
            </w:r>
          </w:p>
          <w:p w14:paraId="309BE523" w14:textId="6F32AC05" w:rsidR="004107F4" w:rsidRPr="005B695D" w:rsidRDefault="004107F4" w:rsidP="005B695D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14:paraId="3910D40F" w14:textId="77777777" w:rsidR="005B695D" w:rsidRPr="005B695D" w:rsidRDefault="005B695D" w:rsidP="005B695D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55A410D9" w14:textId="77777777" w:rsidR="005B695D" w:rsidRPr="002C2794" w:rsidRDefault="005B695D" w:rsidP="005B695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"/>
        </w:rPr>
      </w:pPr>
      <w:r w:rsidRPr="002C279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"/>
        </w:rPr>
        <w:t>Nonfunctional Requirements</w:t>
      </w:r>
    </w:p>
    <w:p w14:paraId="12274707" w14:textId="77777777" w:rsidR="005B695D" w:rsidRPr="005B695D" w:rsidRDefault="005B695D" w:rsidP="007C7A50">
      <w:pPr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5B695D" w:rsidRPr="005B695D" w14:paraId="6BCA080A" w14:textId="77777777" w:rsidTr="005B695D">
        <w:trPr>
          <w:tblHeader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DC8421" w14:textId="77777777" w:rsidR="005B695D" w:rsidRPr="005B695D" w:rsidRDefault="005B695D" w:rsidP="007C7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Nonfunctional Requirement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C59C63" w14:textId="77777777" w:rsidR="005B695D" w:rsidRPr="005B695D" w:rsidRDefault="005B695D" w:rsidP="007C7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Rationale for Requirement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0D56DD" w14:textId="77777777" w:rsidR="005B695D" w:rsidRPr="005B695D" w:rsidRDefault="005B695D" w:rsidP="007C7A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Source(s), APA format</w:t>
            </w:r>
          </w:p>
        </w:tc>
      </w:tr>
      <w:tr w:rsidR="005B695D" w:rsidRPr="005B695D" w14:paraId="521264C8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FAB6B8" w14:textId="77777777" w:rsidR="00967BC3" w:rsidRDefault="00967BC3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A36AD5" w14:textId="38E2E868" w:rsidR="005B695D" w:rsidRPr="005B695D" w:rsidRDefault="00155130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Accessibility: WCAG 2.1 AA Conformance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4ACBCE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F68DC1" w14:textId="3C05F508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To serve diverse learners equitably (screen readers, keyboard nav</w:t>
            </w:r>
            <w:r w:rsidR="00967BC3">
              <w:rPr>
                <w:rFonts w:ascii="Times New Roman" w:hAnsi="Times New Roman" w:cs="Times New Roman"/>
                <w:sz w:val="24"/>
                <w:szCs w:val="24"/>
              </w:rPr>
              <w:t>igation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, captions), the LMS UI and content experiences should meet </w:t>
            </w:r>
            <w:r w:rsidRPr="007C7A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WCAG 2.1 AA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 at </w:t>
            </w:r>
            <w:r w:rsidR="00967BC3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minimum.</w:t>
            </w:r>
          </w:p>
          <w:p w14:paraId="58464951" w14:textId="1E060717" w:rsidR="00967BC3" w:rsidRPr="005B695D" w:rsidRDefault="00967BC3" w:rsidP="007C7A50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D2B69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7321B8" w14:textId="77777777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W3C WCAG 2.1 standard overview and conformance levels.</w:t>
            </w:r>
          </w:p>
          <w:p w14:paraId="36F82902" w14:textId="77777777" w:rsidR="004107F4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(W3C, 2025; W3C WAI, n.d.)</w:t>
            </w:r>
          </w:p>
          <w:p w14:paraId="1B777D66" w14:textId="689FB348" w:rsidR="004107F4" w:rsidRPr="005B695D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</w:p>
        </w:tc>
      </w:tr>
      <w:tr w:rsidR="005B695D" w:rsidRPr="005B695D" w14:paraId="7AEA8130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3252C" w14:textId="77777777" w:rsidR="00967BC3" w:rsidRDefault="00967BC3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12560" w14:textId="7440A1FC" w:rsidR="005B695D" w:rsidRPr="005B695D" w:rsidRDefault="00155130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Security &amp; Compliance (FERPA/GDPR-aware; ISO/IEC 27001 controls)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C33C6F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294A7" w14:textId="77777777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Protecting student PII, grades, and coursework requires robust security controls and alignment with education privacy laws; ISO/IEC 27001 frameworks help institutionalize security practices.</w:t>
            </w:r>
          </w:p>
          <w:p w14:paraId="74F389BF" w14:textId="18A8E0C2" w:rsidR="00967BC3" w:rsidRPr="005B695D" w:rsidRDefault="00967BC3" w:rsidP="007C7A50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E7D99A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78371C" w14:textId="77777777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D2L highlights ISO/IEC 27001 alignment; Blackboard describes configurations that support FERPA</w:t>
            </w:r>
            <w:r w:rsidR="00967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7239CEF" w14:textId="77777777" w:rsidR="004107F4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(D2L, n.d.; Blackboard Help, n.d.)</w:t>
            </w:r>
          </w:p>
          <w:p w14:paraId="3DF8553B" w14:textId="0C4A8293" w:rsidR="004107F4" w:rsidRPr="005B695D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</w:p>
        </w:tc>
      </w:tr>
      <w:tr w:rsidR="005B695D" w:rsidRPr="005B695D" w14:paraId="4BBCE77F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CCE3A" w14:textId="77777777" w:rsidR="00967BC3" w:rsidRDefault="00967BC3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B203D3" w14:textId="77777777" w:rsidR="00967BC3" w:rsidRDefault="00967BC3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AF697" w14:textId="29B77937" w:rsidR="005B695D" w:rsidRPr="005B695D" w:rsidRDefault="00155130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Performance/Capacity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30C9C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A537B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123A6" w14:textId="77777777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The system must remain responsive at peak times (e.g., submission deadlines, exams) and support thousands of concurrent users globally to avoid timeouts and frustration.</w:t>
            </w:r>
          </w:p>
          <w:p w14:paraId="4F82C4EA" w14:textId="4F944049" w:rsidR="00967BC3" w:rsidRPr="005B695D" w:rsidRDefault="00967BC3" w:rsidP="007C7A50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204BE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C40507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3B2F7" w14:textId="77777777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General NFR best practice for LMS scale.</w:t>
            </w:r>
          </w:p>
          <w:p w14:paraId="51A121DB" w14:textId="77777777" w:rsidR="004107F4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(Author’s analysis based on NFR best practices)</w:t>
            </w:r>
          </w:p>
          <w:p w14:paraId="66C9187A" w14:textId="1897FBFE" w:rsidR="004107F4" w:rsidRPr="005B695D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</w:p>
        </w:tc>
      </w:tr>
      <w:tr w:rsidR="005B695D" w:rsidRPr="005B695D" w14:paraId="3EBEA901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2DF5D4" w14:textId="77777777" w:rsidR="00967BC3" w:rsidRDefault="00967BC3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9D18C" w14:textId="7648C802" w:rsidR="005B695D" w:rsidRPr="005B695D" w:rsidRDefault="00155130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Availability &amp; Disaster Recovery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4284F6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75CD10" w14:textId="77777777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Courses run 24/7 across time zones; high uptime plus defined RTO/RPO ensures continuity. Backups (see Functional #6) underpin disaster recovery.</w:t>
            </w:r>
          </w:p>
          <w:p w14:paraId="78B8BC9A" w14:textId="09014F0E" w:rsidR="00967BC3" w:rsidRPr="005B695D" w:rsidRDefault="00967BC3" w:rsidP="007C7A50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0E72F8" w14:textId="77777777" w:rsidR="00967BC3" w:rsidRDefault="00967BC3" w:rsidP="007C7A50">
            <w:pPr>
              <w:tabs>
                <w:tab w:val="left" w:pos="906"/>
              </w:tabs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76F6E52D" w14:textId="77777777" w:rsidR="00155130" w:rsidRDefault="00155130" w:rsidP="007C7A50">
            <w:pPr>
              <w:tabs>
                <w:tab w:val="left" w:pos="90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MoodleDocs </w:t>
            </w:r>
            <w:r w:rsidR="00967BC3">
              <w:rPr>
                <w:rFonts w:ascii="Times New Roman" w:hAnsi="Times New Roman" w:cs="Times New Roman"/>
                <w:sz w:val="24"/>
                <w:szCs w:val="24"/>
              </w:rPr>
              <w:t>emphasizes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 backup frequency to speed recovery.</w:t>
            </w:r>
          </w:p>
          <w:p w14:paraId="6EA19AF7" w14:textId="77777777" w:rsidR="004107F4" w:rsidRDefault="004107F4" w:rsidP="007C7A50">
            <w:pPr>
              <w:tabs>
                <w:tab w:val="left" w:pos="906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(MoodleDocs, 2025)</w:t>
            </w:r>
          </w:p>
          <w:p w14:paraId="62284A7E" w14:textId="03EF6BB9" w:rsidR="004107F4" w:rsidRPr="005B695D" w:rsidRDefault="004107F4" w:rsidP="007C7A50">
            <w:pPr>
              <w:tabs>
                <w:tab w:val="left" w:pos="906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"/>
              </w:rPr>
            </w:pPr>
          </w:p>
        </w:tc>
      </w:tr>
      <w:tr w:rsidR="005B695D" w:rsidRPr="005B695D" w14:paraId="34FD06F6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9F684D" w14:textId="77777777" w:rsidR="00967BC3" w:rsidRDefault="00967BC3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664E0D" w14:textId="3B3C9EA8" w:rsidR="005B695D" w:rsidRPr="005B695D" w:rsidRDefault="00155130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Scalability (Cloud-Ready, Global Delivery)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56983F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310AD" w14:textId="225CE647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Enrollment and content integrations grow over time; horizontal/elastic scaling ensures </w:t>
            </w:r>
            <w:r w:rsidR="00967BC3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stable experience during term starts and finals.</w:t>
            </w:r>
          </w:p>
          <w:p w14:paraId="76CD1585" w14:textId="67F67796" w:rsidR="00967BC3" w:rsidRPr="005B695D" w:rsidRDefault="00967BC3" w:rsidP="007C7A50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4CF23" w14:textId="77777777" w:rsidR="00967BC3" w:rsidRDefault="00155130" w:rsidP="007C7A50">
            <w:pPr>
              <w:tabs>
                <w:tab w:val="left" w:pos="2090"/>
              </w:tabs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  <w:lang w:val="en"/>
              </w:rPr>
              <w:tab/>
            </w:r>
          </w:p>
          <w:p w14:paraId="01CC6F81" w14:textId="77777777" w:rsidR="005B695D" w:rsidRDefault="00155130" w:rsidP="007C7A50">
            <w:pPr>
              <w:tabs>
                <w:tab w:val="left" w:pos="20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General NFR principle; widely expected for modern LMS</w:t>
            </w:r>
            <w:r w:rsidR="00967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0255E6" w14:textId="77777777" w:rsidR="004107F4" w:rsidRDefault="004107F4" w:rsidP="007C7A50">
            <w:pPr>
              <w:tabs>
                <w:tab w:val="left" w:pos="2090"/>
              </w:tabs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(Author’s analysis based on NFR best practices)</w:t>
            </w:r>
          </w:p>
          <w:p w14:paraId="34BF967D" w14:textId="376097AF" w:rsidR="004107F4" w:rsidRPr="005B695D" w:rsidRDefault="004107F4" w:rsidP="007C7A50">
            <w:pPr>
              <w:tabs>
                <w:tab w:val="left" w:pos="209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B695D" w:rsidRPr="005B695D" w14:paraId="7EA5CD6E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FB6FA3" w14:textId="77777777" w:rsidR="00967BC3" w:rsidRDefault="00967BC3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0E521" w14:textId="41712093" w:rsidR="005B695D" w:rsidRPr="005B695D" w:rsidRDefault="00155130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>Usability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FE2DE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AA128" w14:textId="77777777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Clear navigation, consistent UI patterns, and informative feedback reduce cognitive load, improving learning 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outcomes and lowering support burden. WCAG practices also improve general usability.</w:t>
            </w:r>
          </w:p>
          <w:p w14:paraId="3F63140E" w14:textId="55E5093A" w:rsidR="00967BC3" w:rsidRPr="005B695D" w:rsidRDefault="00967BC3" w:rsidP="007C7A50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1F82AD" w14:textId="77777777" w:rsidR="00967BC3" w:rsidRDefault="00967BC3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A0DBB6" w14:textId="77777777" w:rsidR="005B695D" w:rsidRDefault="00155130" w:rsidP="007C7A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7A50">
              <w:rPr>
                <w:rFonts w:ascii="Times New Roman" w:hAnsi="Times New Roman" w:cs="Times New Roman"/>
                <w:sz w:val="24"/>
                <w:szCs w:val="24"/>
              </w:rPr>
              <w:t xml:space="preserve">WCAG’s POUR principles (perceivable, operable, understandable, robust) </w:t>
            </w:r>
            <w:r w:rsidRPr="007C7A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connect accessibility to overall usability.</w:t>
            </w:r>
          </w:p>
          <w:p w14:paraId="170ED688" w14:textId="49F9F4E3" w:rsidR="004107F4" w:rsidRPr="004107F4" w:rsidRDefault="004107F4" w:rsidP="007C7A50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(W3C WAI, n.d.)</w:t>
            </w:r>
          </w:p>
          <w:p w14:paraId="57053A98" w14:textId="303B32FB" w:rsidR="004107F4" w:rsidRPr="005B695D" w:rsidRDefault="004107F4" w:rsidP="007C7A50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14:paraId="39C6EA99" w14:textId="77777777" w:rsidR="005B695D" w:rsidRPr="005B695D" w:rsidRDefault="005B695D" w:rsidP="005B695D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1F22D051" w14:textId="77777777" w:rsidR="005B695D" w:rsidRPr="002C2794" w:rsidRDefault="005B695D" w:rsidP="005B695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"/>
        </w:rPr>
      </w:pPr>
      <w:r w:rsidRPr="002C279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"/>
        </w:rPr>
        <w:t>Assumptions</w:t>
      </w:r>
    </w:p>
    <w:p w14:paraId="159E7A03" w14:textId="77777777" w:rsidR="005B695D" w:rsidRPr="005B695D" w:rsidRDefault="005B695D" w:rsidP="00967BC3">
      <w:pPr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5B695D" w:rsidRPr="005B695D" w14:paraId="14A3C962" w14:textId="77777777" w:rsidTr="005B695D">
        <w:trPr>
          <w:tblHeader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BB7C9C" w14:textId="77777777" w:rsidR="005B695D" w:rsidRPr="005B695D" w:rsidRDefault="005B695D" w:rsidP="0096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Assumption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A85D5D" w14:textId="77777777" w:rsidR="005B695D" w:rsidRPr="005B695D" w:rsidRDefault="005B695D" w:rsidP="0096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Rationale for Requirement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1299D1" w14:textId="77777777" w:rsidR="005B695D" w:rsidRPr="005B695D" w:rsidRDefault="005B695D" w:rsidP="0096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Source(s), APA format</w:t>
            </w:r>
          </w:p>
        </w:tc>
      </w:tr>
      <w:tr w:rsidR="005B695D" w:rsidRPr="005B695D" w14:paraId="37ECEA8E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1AFE6" w14:textId="77777777" w:rsidR="00967BC3" w:rsidRDefault="00967BC3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18226" w14:textId="68254269" w:rsidR="005B695D" w:rsidRPr="005B695D" w:rsidRDefault="00155130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Institutional SSO is Available (SAML/OIDC) for Identity &amp; Access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BDB29" w14:textId="77777777" w:rsidR="00967BC3" w:rsidRDefault="00967BC3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FE782" w14:textId="77777777" w:rsidR="005B695D" w:rsidRDefault="00155130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Most universities provide centralized identity providers; integrating SSO reduces password fatigue and strengthens security for all roles. LTI 1.3 also relies on OIDC flows, indicating an OIDC-friendly environment.</w:t>
            </w:r>
          </w:p>
          <w:p w14:paraId="1F9AEBEF" w14:textId="3C761120" w:rsidR="00967BC3" w:rsidRPr="005B695D" w:rsidRDefault="00967BC3" w:rsidP="00967BC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1FA2A0" w14:textId="77777777" w:rsidR="00967BC3" w:rsidRDefault="00967BC3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8D3EBA" w14:textId="77777777" w:rsidR="005B695D" w:rsidRDefault="00155130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Canvas LTI overview references OIDC security</w:t>
            </w:r>
            <w:r w:rsidR="00967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3AD127" w14:textId="47084307" w:rsidR="004107F4" w:rsidRPr="004107F4" w:rsidRDefault="004107F4" w:rsidP="00967BC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(Instructure, n.d.-a)</w:t>
            </w:r>
          </w:p>
          <w:p w14:paraId="1559FA88" w14:textId="7CDA1163" w:rsidR="004107F4" w:rsidRPr="005B695D" w:rsidRDefault="004107F4" w:rsidP="00967BC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5B695D" w:rsidRPr="005B695D" w14:paraId="5BAAF45C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F5A9CF" w14:textId="77777777" w:rsidR="00967BC3" w:rsidRDefault="00967BC3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F1770" w14:textId="79CFBB9B" w:rsidR="005B695D" w:rsidRPr="005B695D" w:rsidRDefault="00155130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Reliable Student/Faculty Internet &amp; Modern Browsers/</w:t>
            </w:r>
            <w:r w:rsidR="00967BC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Devices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2557C9" w14:textId="77777777" w:rsidR="00967BC3" w:rsidRDefault="00967BC3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6B44B4" w14:textId="652A0B64" w:rsidR="005B695D" w:rsidRDefault="00967BC3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cloud LMS requires </w:t>
            </w:r>
            <w:r w:rsidR="007360FD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consistent internet connection and standards-compliant browsers for media, assessments, and real-time features.</w:t>
            </w:r>
          </w:p>
          <w:p w14:paraId="6D62F2F6" w14:textId="08C58253" w:rsidR="00967BC3" w:rsidRPr="005B695D" w:rsidRDefault="00967BC3" w:rsidP="00967BC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A99A8" w14:textId="77777777" w:rsidR="00967BC3" w:rsidRDefault="00967BC3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354BB" w14:textId="77777777" w:rsidR="005B695D" w:rsidRDefault="00155130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Common operational assumption for online programs</w:t>
            </w:r>
            <w:r w:rsidR="00967B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3F2E491" w14:textId="735966D7" w:rsidR="004107F4" w:rsidRDefault="004107F4" w:rsidP="00967BC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(Author’s analysis based on online program standards)</w:t>
            </w:r>
          </w:p>
          <w:p w14:paraId="080FA7F4" w14:textId="54DA0DA8" w:rsidR="004107F4" w:rsidRPr="005B695D" w:rsidRDefault="004107F4" w:rsidP="00967BC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14:paraId="486D5A84" w14:textId="77777777" w:rsidR="005B695D" w:rsidRPr="005B695D" w:rsidRDefault="005B695D" w:rsidP="00967BC3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263665C7" w14:textId="77777777" w:rsidR="005B695D" w:rsidRPr="002C2794" w:rsidRDefault="005B695D" w:rsidP="005B695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"/>
        </w:rPr>
      </w:pPr>
      <w:r w:rsidRPr="002C279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"/>
        </w:rPr>
        <w:lastRenderedPageBreak/>
        <w:t>Limitations</w:t>
      </w:r>
    </w:p>
    <w:p w14:paraId="0FEB4562" w14:textId="77777777" w:rsidR="005B695D" w:rsidRPr="005B695D" w:rsidRDefault="005B695D" w:rsidP="00967BC3">
      <w:pPr>
        <w:rPr>
          <w:rFonts w:ascii="Times New Roman" w:hAnsi="Times New Roman" w:cs="Times New Roman"/>
          <w:sz w:val="24"/>
          <w:szCs w:val="24"/>
          <w:lang w:val="en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3115"/>
        <w:gridCol w:w="3115"/>
      </w:tblGrid>
      <w:tr w:rsidR="005B695D" w:rsidRPr="005B695D" w14:paraId="0209557D" w14:textId="77777777" w:rsidTr="005B695D">
        <w:trPr>
          <w:tblHeader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D17C05" w14:textId="77777777" w:rsidR="005B695D" w:rsidRPr="005B695D" w:rsidRDefault="005B695D" w:rsidP="0096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Limitation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8FA73B" w14:textId="77777777" w:rsidR="005B695D" w:rsidRPr="005B695D" w:rsidRDefault="005B695D" w:rsidP="0096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Rationale for Requirement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0F4CFD" w14:textId="77777777" w:rsidR="005B695D" w:rsidRPr="005B695D" w:rsidRDefault="005B695D" w:rsidP="00967BC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</w:pPr>
            <w:r w:rsidRPr="005B695D">
              <w:rPr>
                <w:rFonts w:ascii="Times New Roman" w:hAnsi="Times New Roman" w:cs="Times New Roman"/>
                <w:b/>
                <w:sz w:val="24"/>
                <w:szCs w:val="24"/>
                <w:lang w:val="en"/>
              </w:rPr>
              <w:t>Source(s), APA format</w:t>
            </w:r>
          </w:p>
        </w:tc>
      </w:tr>
      <w:tr w:rsidR="005B695D" w:rsidRPr="005B695D" w14:paraId="5EE0F131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367429" w14:textId="77777777" w:rsidR="00967BC3" w:rsidRDefault="00967BC3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214C24" w14:textId="5BBE224B" w:rsidR="005B695D" w:rsidRPr="005B695D" w:rsidRDefault="00155130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Third-Party Tool Risk (via LTI) &amp; Vendor Roadmaps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C9B69A" w14:textId="77777777" w:rsidR="00967BC3" w:rsidRDefault="00967BC3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DA70A" w14:textId="77777777" w:rsidR="005B695D" w:rsidRDefault="00155130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While LTI expands capability, the LMS inherits availability, privacy, and UX constraints from external tools; not all tools reach the same accessibility/compliance bar.</w:t>
            </w:r>
          </w:p>
          <w:p w14:paraId="0772CF9C" w14:textId="3873BA95" w:rsidR="00967BC3" w:rsidRPr="005B695D" w:rsidRDefault="00967BC3" w:rsidP="00967BC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9CAA43" w14:textId="77777777" w:rsidR="00967BC3" w:rsidRDefault="00967BC3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7A361" w14:textId="77777777" w:rsidR="005B695D" w:rsidRDefault="00155130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LTI is the integration path; quality varies by tool provider.</w:t>
            </w:r>
          </w:p>
          <w:p w14:paraId="78C911BC" w14:textId="092D4341" w:rsidR="004107F4" w:rsidRDefault="004107F4" w:rsidP="00967BC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(Instructure, n.d.-b)</w:t>
            </w:r>
          </w:p>
          <w:p w14:paraId="5A934593" w14:textId="376F0EEF" w:rsidR="004107F4" w:rsidRPr="005B695D" w:rsidRDefault="004107F4" w:rsidP="00967BC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  <w:tr w:rsidR="005B695D" w:rsidRPr="005B695D" w14:paraId="71681E04" w14:textId="77777777" w:rsidTr="005B695D"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18AAB" w14:textId="77777777" w:rsidR="00967BC3" w:rsidRDefault="00967BC3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91C801" w14:textId="4C13055C" w:rsidR="005B695D" w:rsidRPr="005B695D" w:rsidRDefault="00155130" w:rsidP="0096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Compliance Landscape Varies by Jurisdiction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C8F9CA" w14:textId="77777777" w:rsidR="00967BC3" w:rsidRDefault="00155130" w:rsidP="00967BC3">
            <w:pPr>
              <w:tabs>
                <w:tab w:val="left" w:pos="987"/>
              </w:tabs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  <w:lang w:val="en"/>
              </w:rPr>
              <w:tab/>
            </w:r>
          </w:p>
          <w:p w14:paraId="093940FA" w14:textId="67E2996C" w:rsidR="00967BC3" w:rsidRDefault="00155130" w:rsidP="00967BC3">
            <w:pPr>
              <w:tabs>
                <w:tab w:val="left" w:pos="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The LMS can support FERPA/GDPR-aware configuration, but ultimate compliance depends on institutional policies and correct configuration</w:t>
            </w:r>
            <w:r w:rsidR="002C2794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 xml:space="preserve">some </w:t>
            </w:r>
          </w:p>
          <w:p w14:paraId="2B695DF1" w14:textId="77777777" w:rsidR="005B695D" w:rsidRDefault="00155130" w:rsidP="00967BC3">
            <w:pPr>
              <w:tabs>
                <w:tab w:val="left" w:pos="9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obligations lie outside the LMS’s direct control.</w:t>
            </w:r>
          </w:p>
          <w:p w14:paraId="51B2BB15" w14:textId="09CFF010" w:rsidR="002C2794" w:rsidRPr="005B695D" w:rsidRDefault="002C2794" w:rsidP="00967BC3">
            <w:pPr>
              <w:tabs>
                <w:tab w:val="left" w:pos="987"/>
              </w:tabs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6EB9E1" w14:textId="77777777" w:rsidR="005B695D" w:rsidRPr="00967BC3" w:rsidRDefault="005B695D" w:rsidP="00967BC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14:paraId="570F7C19" w14:textId="77777777" w:rsidR="00155130" w:rsidRDefault="00155130" w:rsidP="00967B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Blackboard notes product support for FERPA</w:t>
            </w:r>
            <w:r w:rsidR="007360F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 xml:space="preserve"> while institutions must configure </w:t>
            </w:r>
            <w:r w:rsidR="007360FD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Pr="00967BC3">
              <w:rPr>
                <w:rFonts w:ascii="Times New Roman" w:hAnsi="Times New Roman" w:cs="Times New Roman"/>
                <w:sz w:val="24"/>
                <w:szCs w:val="24"/>
              </w:rPr>
              <w:t>to their policies.</w:t>
            </w:r>
          </w:p>
          <w:p w14:paraId="348742E4" w14:textId="6BFD591F" w:rsidR="004107F4" w:rsidRPr="004107F4" w:rsidRDefault="004107F4" w:rsidP="00967BC3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4107F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(Blackboard Help, n.d.)</w:t>
            </w:r>
          </w:p>
          <w:p w14:paraId="50C0040C" w14:textId="3B43D6AC" w:rsidR="004107F4" w:rsidRPr="005B695D" w:rsidRDefault="004107F4" w:rsidP="00967BC3">
            <w:pPr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14:paraId="6E764928" w14:textId="77777777" w:rsidR="002C2794" w:rsidRPr="005B695D" w:rsidRDefault="002C2794" w:rsidP="00967BC3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79759F64" w14:textId="77777777" w:rsidR="007C7A50" w:rsidRPr="002C2794" w:rsidRDefault="007C7A50" w:rsidP="002C27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PK"/>
        </w:rPr>
      </w:pPr>
      <w:r w:rsidRPr="002C279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PK"/>
        </w:rPr>
        <w:t>Acronyms and Full Forms</w:t>
      </w:r>
    </w:p>
    <w:p w14:paraId="301E6C54" w14:textId="77777777" w:rsidR="007C7A50" w:rsidRPr="002C2794" w:rsidRDefault="007C7A50" w:rsidP="00155130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13958B93" w14:textId="77777777" w:rsidR="002C2794" w:rsidRPr="007360FD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</w:rPr>
        <w:t xml:space="preserve">1EdTech </w:t>
      </w:r>
      <w:r w:rsidRPr="007360FD">
        <w:rPr>
          <w:rFonts w:ascii="Times New Roman" w:hAnsi="Times New Roman" w:cs="Times New Roman"/>
          <w:sz w:val="24"/>
          <w:szCs w:val="24"/>
        </w:rPr>
        <w:t>– The new name for IMS Global Learning Consortium, which develops learning technology standards such as LTI.</w:t>
      </w:r>
    </w:p>
    <w:p w14:paraId="1E681C45" w14:textId="77777777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3D8838BE" w14:textId="777BD52A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A11y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Accessibility (short form where “11” represents the 11 letters between “A” and “y”)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2099A45" w14:textId="77777777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2DF5ABC3" w14:textId="64ADA3EB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APA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American Psychological Association (citation and formatting style)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5466603" w14:textId="77777777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44CB3068" w14:textId="74764B5B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D2L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Desire2Learn (the company behind Brightspace LMS)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12B2ADD3" w14:textId="77777777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420CD415" w14:textId="7935CBDB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FERPA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Family Educational Rights and Privacy Act (U.S. law protecting student education records)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3B9668ED" w14:textId="77777777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0130FC5B" w14:textId="1FDA7CAF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FERPA/GDPR-aware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Refers to systems configured to comply with both U.S. (FERPA) and EU (GDPR) data privacy rules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13371378" w14:textId="77777777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4F4DD08D" w14:textId="25A5DAF6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GDPR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General Data Protection Regulation (European Union law on data privacy and protection)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0EF7123" w14:textId="14193228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7746927A" w14:textId="66CDCC35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IMS Global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Instructional Management Systems Global Learning Consortium (now called </w:t>
      </w: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1EdTech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>; the standards body that created LTI)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65794CA" w14:textId="77777777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696E5525" w14:textId="001FF9FB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ISO/IEC 27001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International Standard for Information Security Management Systems (ISMS)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53630535" w14:textId="77777777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48C54BFA" w14:textId="65C5B4CC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LMS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Learning Management System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59DC0C1A" w14:textId="77777777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54008000" w14:textId="6CB5F32A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LTI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Learning Tools Interoperability (a standard for integrating external tools into an LMS, developed by IMS Global)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25C7A5F" w14:textId="77777777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323B5319" w14:textId="1B3E808E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NFR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Nonfunctional Requirement (system quality attributes, like performance, scalability, usability)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36C8DA2" w14:textId="77777777" w:rsidR="002C2794" w:rsidRPr="002C2794" w:rsidRDefault="002C2794" w:rsidP="002C2794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28EFAA6B" w14:textId="47D68973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OIDC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OpenID Connect (an identity layer on top of OAuth 2.0 for secure authentication)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C0CEE1A" w14:textId="77777777" w:rsidR="007360FD" w:rsidRPr="007360FD" w:rsidRDefault="007360FD" w:rsidP="007360FD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0D699787" w14:textId="0C63CDA8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PII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Personally Identifiable Information (any data that can identify an individual, like name, SSN, student ID)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64BFF3D" w14:textId="77777777" w:rsidR="007360FD" w:rsidRPr="007360FD" w:rsidRDefault="007360FD" w:rsidP="007360FD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26E6C28D" w14:textId="6BD56771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RPO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Recovery Point Objective (the maximum acceptable data loss measured in time, e.g., “15 minutes of lost data”)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7808292" w14:textId="77777777" w:rsidR="007360FD" w:rsidRPr="007360FD" w:rsidRDefault="007360FD" w:rsidP="007360FD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7DC27103" w14:textId="74EE49D7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lastRenderedPageBreak/>
        <w:t>RTO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Recovery Time Objective (how quickly a system must be restored after a failure)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525635E4" w14:textId="77777777" w:rsidR="007360FD" w:rsidRPr="007360FD" w:rsidRDefault="007360FD" w:rsidP="007360FD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27767F78" w14:textId="7C782FBF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SAML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Security Assertion Markup Language (an open standard for exchanging authentication/authorization data, often used in SSO)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4F9FF4E2" w14:textId="77777777" w:rsidR="007360FD" w:rsidRPr="007360FD" w:rsidRDefault="007360FD" w:rsidP="007360FD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0804F058" w14:textId="29CC9CF0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SNHU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Southern New Hampshire University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113667ED" w14:textId="77777777" w:rsidR="007360FD" w:rsidRPr="007360FD" w:rsidRDefault="007360FD" w:rsidP="007360FD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408519F7" w14:textId="29AD620E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SSO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Single Sign-On (a login solution allowing access to multiple systems with one set of credentials)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2AD4D01A" w14:textId="77777777" w:rsidR="007360FD" w:rsidRPr="007360FD" w:rsidRDefault="007360FD" w:rsidP="007360FD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4D41E2D6" w14:textId="7B9775C5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TA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Teaching Assistant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586B5501" w14:textId="77777777" w:rsidR="007360FD" w:rsidRPr="007360FD" w:rsidRDefault="007360FD" w:rsidP="007360FD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73A7F7DE" w14:textId="7C8DF9BA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UI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User Interface (the visual/interactive part of a system where users interact)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435BE24" w14:textId="77777777" w:rsidR="007360FD" w:rsidRDefault="007360FD" w:rsidP="007360FD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5D8D7107" w14:textId="6DB25BD0" w:rsidR="007360FD" w:rsidRDefault="007360FD" w:rsidP="007360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360FD">
        <w:rPr>
          <w:rFonts w:ascii="Times New Roman" w:hAnsi="Times New Roman" w:cs="Times New Roman"/>
          <w:b/>
          <w:bCs/>
          <w:sz w:val="24"/>
          <w:szCs w:val="24"/>
        </w:rPr>
        <w:t>UX</w:t>
      </w:r>
      <w:r w:rsidRPr="007360FD">
        <w:rPr>
          <w:rFonts w:ascii="Times New Roman" w:hAnsi="Times New Roman" w:cs="Times New Roman"/>
          <w:sz w:val="24"/>
          <w:szCs w:val="24"/>
        </w:rPr>
        <w:t xml:space="preserve"> – User Experience (the overall experience and satisfaction of a user interacting with the system)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F38546" w14:textId="77777777" w:rsidR="007360FD" w:rsidRPr="007360FD" w:rsidRDefault="007360FD" w:rsidP="007360FD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0DDCEE79" w14:textId="6E793584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W3C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World Wide Web Consortium (the main international standards organization for the web)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5A78ACAD" w14:textId="77777777" w:rsidR="007360FD" w:rsidRPr="007360FD" w:rsidRDefault="007360FD" w:rsidP="007360FD">
      <w:pPr>
        <w:pStyle w:val="ListParagraph"/>
        <w:rPr>
          <w:rFonts w:ascii="Times New Roman" w:hAnsi="Times New Roman" w:cs="Times New Roman"/>
          <w:sz w:val="24"/>
          <w:szCs w:val="24"/>
          <w:lang w:val="en-PK"/>
        </w:rPr>
      </w:pPr>
    </w:p>
    <w:p w14:paraId="6FB53DF1" w14:textId="3B070C01" w:rsidR="002C2794" w:rsidRPr="002C2794" w:rsidRDefault="002C2794" w:rsidP="002C27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2C2794">
        <w:rPr>
          <w:rFonts w:ascii="Times New Roman" w:hAnsi="Times New Roman" w:cs="Times New Roman"/>
          <w:b/>
          <w:bCs/>
          <w:sz w:val="24"/>
          <w:szCs w:val="24"/>
          <w:lang w:val="en-PK"/>
        </w:rPr>
        <w:t>WCAG</w:t>
      </w:r>
      <w:r w:rsidRPr="002C2794">
        <w:rPr>
          <w:rFonts w:ascii="Times New Roman" w:hAnsi="Times New Roman" w:cs="Times New Roman"/>
          <w:sz w:val="24"/>
          <w:szCs w:val="24"/>
          <w:lang w:val="en-PK"/>
        </w:rPr>
        <w:t xml:space="preserve"> – Web Content Accessibility Guidelines (rules for making web content accessible to people with disabilities)</w:t>
      </w:r>
      <w:r w:rsidR="007360FD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7D3FC0F" w14:textId="77777777" w:rsidR="007C7A50" w:rsidRPr="002C2794" w:rsidRDefault="007C7A50" w:rsidP="00155130">
      <w:pPr>
        <w:rPr>
          <w:rFonts w:ascii="Times New Roman" w:hAnsi="Times New Roman" w:cs="Times New Roman"/>
          <w:sz w:val="24"/>
          <w:szCs w:val="24"/>
          <w:lang w:val="en-PK"/>
        </w:rPr>
      </w:pPr>
    </w:p>
    <w:p w14:paraId="7DCD9C35" w14:textId="1AC93B40" w:rsidR="00155130" w:rsidRPr="002C2794" w:rsidRDefault="00155130" w:rsidP="002C2794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PK"/>
        </w:rPr>
      </w:pPr>
      <w:r w:rsidRPr="002C279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PK"/>
        </w:rPr>
        <w:t>References</w:t>
      </w:r>
    </w:p>
    <w:p w14:paraId="592E66AE" w14:textId="77777777" w:rsidR="007360FD" w:rsidRPr="000F6E81" w:rsidRDefault="007360FD" w:rsidP="007360FD">
      <w:pPr>
        <w:ind w:left="360"/>
        <w:rPr>
          <w:sz w:val="24"/>
          <w:szCs w:val="24"/>
          <w:lang w:val="en-PK"/>
        </w:rPr>
      </w:pPr>
    </w:p>
    <w:p w14:paraId="31C73156" w14:textId="77777777" w:rsidR="007360FD" w:rsidRPr="007360FD" w:rsidRDefault="007360FD" w:rsidP="00736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Blackboard Help. (n.d.). </w:t>
      </w:r>
      <w:r w:rsidRPr="007360FD">
        <w:rPr>
          <w:rFonts w:ascii="Times New Roman" w:hAnsi="Times New Roman" w:cs="Times New Roman"/>
          <w:i/>
          <w:iCs/>
          <w:sz w:val="24"/>
          <w:szCs w:val="24"/>
          <w:lang w:val="en-PK"/>
        </w:rPr>
        <w:t>U.S. privacy definitions and regulations (FERPA).</w:t>
      </w: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 Blackboard. </w:t>
      </w:r>
    </w:p>
    <w:p w14:paraId="46B171E1" w14:textId="0F923443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hyperlink r:id="rId8" w:history="1">
        <w:r w:rsidRPr="007360F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PK"/>
          </w:rPr>
          <w:t>https://help.blackboard.com/Learn/Administrator/Hosting/Security/Privacy/US_Privacy_Definitions_and_Regulations</w:t>
        </w:r>
      </w:hyperlink>
    </w:p>
    <w:p w14:paraId="7C6DC788" w14:textId="77777777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</w:p>
    <w:p w14:paraId="20E95874" w14:textId="77777777" w:rsidR="007360FD" w:rsidRPr="007360FD" w:rsidRDefault="007360FD" w:rsidP="00736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D2L. (n.d.). </w:t>
      </w:r>
      <w:r w:rsidRPr="007360FD">
        <w:rPr>
          <w:rFonts w:ascii="Times New Roman" w:hAnsi="Times New Roman" w:cs="Times New Roman"/>
          <w:i/>
          <w:iCs/>
          <w:sz w:val="24"/>
          <w:szCs w:val="24"/>
          <w:lang w:val="en-PK"/>
        </w:rPr>
        <w:t>Security &amp; privacy compliance.</w:t>
      </w: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 Desire2Learn. </w:t>
      </w:r>
    </w:p>
    <w:p w14:paraId="206AA6D2" w14:textId="1FDD267A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hyperlink r:id="rId9" w:history="1">
        <w:r w:rsidRPr="007360F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PK"/>
          </w:rPr>
          <w:t>https://www.d2l.com/security/compliance/</w:t>
        </w:r>
      </w:hyperlink>
    </w:p>
    <w:p w14:paraId="7C9FFB26" w14:textId="77777777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</w:p>
    <w:p w14:paraId="726E18A0" w14:textId="77777777" w:rsidR="007360FD" w:rsidRPr="007360FD" w:rsidRDefault="007360FD" w:rsidP="00736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Instructure. (n.d.-a). </w:t>
      </w:r>
      <w:r w:rsidRPr="007360FD">
        <w:rPr>
          <w:rFonts w:ascii="Times New Roman" w:hAnsi="Times New Roman" w:cs="Times New Roman"/>
          <w:i/>
          <w:iCs/>
          <w:sz w:val="24"/>
          <w:szCs w:val="24"/>
          <w:lang w:val="en-PK"/>
        </w:rPr>
        <w:t>Overview of an LTI launch (IMS OIDC flow).</w:t>
      </w: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 Instructure Developer Documentation. </w:t>
      </w:r>
    </w:p>
    <w:p w14:paraId="368E9736" w14:textId="7C26AF22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hyperlink r:id="rId10" w:history="1">
        <w:r w:rsidRPr="007360F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PK"/>
          </w:rPr>
          <w:t>https://documentation.instructure.com/doc/api/file.lti_launch_overview.html</w:t>
        </w:r>
      </w:hyperlink>
    </w:p>
    <w:p w14:paraId="4E56F5BB" w14:textId="77777777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</w:p>
    <w:p w14:paraId="0A3C3DFE" w14:textId="77777777" w:rsidR="007360FD" w:rsidRPr="007360FD" w:rsidRDefault="007360FD" w:rsidP="00736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Instructure. (n.d.-b). </w:t>
      </w:r>
      <w:r w:rsidRPr="007360FD">
        <w:rPr>
          <w:rFonts w:ascii="Times New Roman" w:hAnsi="Times New Roman" w:cs="Times New Roman"/>
          <w:i/>
          <w:iCs/>
          <w:sz w:val="24"/>
          <w:szCs w:val="24"/>
          <w:lang w:val="en-PK"/>
        </w:rPr>
        <w:t>External tools &amp; LTI (Intro).</w:t>
      </w: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 Instructure Developer Documentation. </w:t>
      </w:r>
    </w:p>
    <w:p w14:paraId="174BD30D" w14:textId="5DCC4C1D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hyperlink r:id="rId11" w:history="1">
        <w:r w:rsidRPr="007360F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PK"/>
          </w:rPr>
          <w:t>https://developerdocs.instructure.com/services/canvas/external-tools/lti/file.tools_intro</w:t>
        </w:r>
      </w:hyperlink>
    </w:p>
    <w:p w14:paraId="083D6BAA" w14:textId="77777777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</w:p>
    <w:p w14:paraId="49C89539" w14:textId="77777777" w:rsidR="007360FD" w:rsidRPr="007360FD" w:rsidRDefault="007360FD" w:rsidP="00736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MoodleDocs. (2024, November 15). </w:t>
      </w:r>
      <w:r w:rsidRPr="007360FD">
        <w:rPr>
          <w:rFonts w:ascii="Times New Roman" w:hAnsi="Times New Roman" w:cs="Times New Roman"/>
          <w:i/>
          <w:iCs/>
          <w:sz w:val="24"/>
          <w:szCs w:val="24"/>
          <w:lang w:val="en-PK"/>
        </w:rPr>
        <w:t>Site backup.</w:t>
      </w: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 Moodle. </w:t>
      </w:r>
    </w:p>
    <w:p w14:paraId="52EC6ACB" w14:textId="0948DAB2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hyperlink r:id="rId12" w:history="1">
        <w:r w:rsidRPr="007360F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PK"/>
          </w:rPr>
          <w:t>https://docs.moodle.org/en/Site_backup</w:t>
        </w:r>
      </w:hyperlink>
    </w:p>
    <w:p w14:paraId="46A176BF" w14:textId="77777777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</w:p>
    <w:p w14:paraId="5678814A" w14:textId="77777777" w:rsidR="007360FD" w:rsidRPr="007360FD" w:rsidRDefault="007360FD" w:rsidP="00736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MoodleDocs. (2025, February 11). </w:t>
      </w:r>
      <w:r w:rsidRPr="007360FD">
        <w:rPr>
          <w:rFonts w:ascii="Times New Roman" w:hAnsi="Times New Roman" w:cs="Times New Roman"/>
          <w:i/>
          <w:iCs/>
          <w:sz w:val="24"/>
          <w:szCs w:val="24"/>
          <w:lang w:val="en-PK"/>
        </w:rPr>
        <w:t>Backup and restore FAQ.</w:t>
      </w: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 Moodle. </w:t>
      </w:r>
    </w:p>
    <w:p w14:paraId="52C9DC1D" w14:textId="635DE133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hyperlink r:id="rId13" w:history="1">
        <w:r w:rsidRPr="007360F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PK"/>
          </w:rPr>
          <w:t>https://docs.moodle.org/en/Backup_and_restore_FAQ</w:t>
        </w:r>
      </w:hyperlink>
    </w:p>
    <w:p w14:paraId="43F8FFA5" w14:textId="77777777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</w:p>
    <w:p w14:paraId="7FDC4306" w14:textId="77777777" w:rsidR="007360FD" w:rsidRPr="007360FD" w:rsidRDefault="007360FD" w:rsidP="00736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W3C. (2025, May 6). </w:t>
      </w:r>
      <w:r w:rsidRPr="007360FD">
        <w:rPr>
          <w:rFonts w:ascii="Times New Roman" w:hAnsi="Times New Roman" w:cs="Times New Roman"/>
          <w:i/>
          <w:iCs/>
          <w:sz w:val="24"/>
          <w:szCs w:val="24"/>
          <w:lang w:val="en-PK"/>
        </w:rPr>
        <w:t>Web Content Accessibility Guidelines (WCAG) 2.1.</w:t>
      </w: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 World Wide Web Consortium.</w:t>
      </w:r>
    </w:p>
    <w:p w14:paraId="250E33BB" w14:textId="427439DA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hyperlink r:id="rId14" w:tgtFrame="_new" w:history="1">
        <w:r w:rsidRPr="007360F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PK"/>
          </w:rPr>
          <w:t>https://www.w3.org/TR/WCAG21/</w:t>
        </w:r>
      </w:hyperlink>
    </w:p>
    <w:p w14:paraId="7B4F65F7" w14:textId="77777777" w:rsidR="007360FD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</w:p>
    <w:p w14:paraId="340B1742" w14:textId="77777777" w:rsidR="007360FD" w:rsidRPr="007360FD" w:rsidRDefault="007360FD" w:rsidP="007360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PK"/>
        </w:rPr>
      </w:pP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W3C WAI. (n.d.). </w:t>
      </w:r>
      <w:r w:rsidRPr="007360FD">
        <w:rPr>
          <w:rFonts w:ascii="Times New Roman" w:hAnsi="Times New Roman" w:cs="Times New Roman"/>
          <w:i/>
          <w:iCs/>
          <w:sz w:val="24"/>
          <w:szCs w:val="24"/>
          <w:lang w:val="en-PK"/>
        </w:rPr>
        <w:t>WCAG 2 overview (principles &amp; conformance).</w:t>
      </w: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 World Wide Web Consortium.</w:t>
      </w:r>
    </w:p>
    <w:p w14:paraId="0EF30B50" w14:textId="28880842" w:rsidR="00E85025" w:rsidRPr="007360FD" w:rsidRDefault="007360FD" w:rsidP="007360FD">
      <w:pPr>
        <w:ind w:left="720"/>
        <w:rPr>
          <w:rFonts w:ascii="Times New Roman" w:hAnsi="Times New Roman" w:cs="Times New Roman"/>
          <w:sz w:val="24"/>
          <w:szCs w:val="24"/>
          <w:lang w:val="en-PK"/>
        </w:rPr>
      </w:pPr>
      <w:r w:rsidRPr="007360FD">
        <w:rPr>
          <w:rFonts w:ascii="Times New Roman" w:hAnsi="Times New Roman" w:cs="Times New Roman"/>
          <w:sz w:val="24"/>
          <w:szCs w:val="24"/>
          <w:lang w:val="en-PK"/>
        </w:rPr>
        <w:t xml:space="preserve"> </w:t>
      </w:r>
      <w:hyperlink r:id="rId15" w:tgtFrame="_new" w:history="1">
        <w:r w:rsidRPr="007360F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PK"/>
          </w:rPr>
          <w:t>https://www.w3.org/WAI/standards-guidelines/wcag/</w:t>
        </w:r>
      </w:hyperlink>
    </w:p>
    <w:p w14:paraId="0927EC23" w14:textId="77777777" w:rsidR="007360FD" w:rsidRPr="000F6E81" w:rsidRDefault="007360FD" w:rsidP="007360FD">
      <w:pPr>
        <w:ind w:left="720"/>
        <w:rPr>
          <w:sz w:val="24"/>
          <w:szCs w:val="24"/>
          <w:lang w:val="en-PK"/>
        </w:rPr>
      </w:pPr>
    </w:p>
    <w:sectPr w:rsidR="007360FD" w:rsidRPr="000F6E81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66BE0" w14:textId="77777777" w:rsidR="00D124E8" w:rsidRDefault="00D124E8" w:rsidP="005B695D">
      <w:pPr>
        <w:spacing w:after="0" w:line="240" w:lineRule="auto"/>
      </w:pPr>
      <w:r>
        <w:separator/>
      </w:r>
    </w:p>
  </w:endnote>
  <w:endnote w:type="continuationSeparator" w:id="0">
    <w:p w14:paraId="6BD6AB21" w14:textId="77777777" w:rsidR="00D124E8" w:rsidRDefault="00D124E8" w:rsidP="005B6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88792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B96BD5" w14:textId="603F6BA4" w:rsidR="005B695D" w:rsidRDefault="005B69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72E8C" w14:textId="77777777" w:rsidR="005B695D" w:rsidRDefault="005B6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83BEB6" w14:textId="77777777" w:rsidR="00D124E8" w:rsidRDefault="00D124E8" w:rsidP="005B695D">
      <w:pPr>
        <w:spacing w:after="0" w:line="240" w:lineRule="auto"/>
      </w:pPr>
      <w:r>
        <w:separator/>
      </w:r>
    </w:p>
  </w:footnote>
  <w:footnote w:type="continuationSeparator" w:id="0">
    <w:p w14:paraId="4201319A" w14:textId="77777777" w:rsidR="00D124E8" w:rsidRDefault="00D124E8" w:rsidP="005B6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EC154" w14:textId="77777777" w:rsidR="005B695D" w:rsidRPr="008325A0" w:rsidRDefault="005B695D" w:rsidP="005B695D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1BF0D248" wp14:editId="00BFD7D2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3B77A1" w14:textId="77777777" w:rsidR="005B695D" w:rsidRPr="008325A0" w:rsidRDefault="005B695D" w:rsidP="005B695D">
    <w:pPr>
      <w:pStyle w:val="Header"/>
      <w:spacing w:after="200"/>
    </w:pPr>
    <w:r w:rsidRPr="008325A0">
      <w:t xml:space="preserve">Hamna Khalid  </w:t>
    </w:r>
  </w:p>
  <w:p w14:paraId="1B69133D" w14:textId="77777777" w:rsidR="005B695D" w:rsidRPr="008325A0" w:rsidRDefault="005B695D" w:rsidP="005B695D">
    <w:pPr>
      <w:pStyle w:val="Header"/>
      <w:spacing w:after="200"/>
    </w:pPr>
    <w:r w:rsidRPr="008325A0">
      <w:t>CS-2</w:t>
    </w:r>
    <w:r>
      <w:t>55</w:t>
    </w:r>
    <w:r w:rsidRPr="008325A0">
      <w:t xml:space="preserve"> </w:t>
    </w:r>
  </w:p>
  <w:p w14:paraId="2913C409" w14:textId="77777777" w:rsidR="005B695D" w:rsidRPr="008325A0" w:rsidRDefault="005B695D" w:rsidP="005B695D">
    <w:pPr>
      <w:pStyle w:val="Header"/>
      <w:spacing w:after="200"/>
    </w:pPr>
    <w:r w:rsidRPr="008325A0">
      <w:t xml:space="preserve">Southern New Hampshire University  </w:t>
    </w:r>
  </w:p>
  <w:p w14:paraId="76545293" w14:textId="7E304C36" w:rsidR="005B695D" w:rsidRPr="008325A0" w:rsidRDefault="005B695D" w:rsidP="005B695D">
    <w:pPr>
      <w:pStyle w:val="Header"/>
      <w:spacing w:after="200"/>
    </w:pPr>
    <w:r>
      <w:t xml:space="preserve">September </w:t>
    </w:r>
    <w:r>
      <w:t>09</w:t>
    </w:r>
    <w:r w:rsidRPr="008325A0">
      <w:t>, 2025</w:t>
    </w:r>
  </w:p>
  <w:p w14:paraId="19341258" w14:textId="77777777" w:rsidR="005B695D" w:rsidRPr="005B695D" w:rsidRDefault="005B695D" w:rsidP="005B69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87E30"/>
    <w:multiLevelType w:val="hybridMultilevel"/>
    <w:tmpl w:val="1F9E68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800BA"/>
    <w:multiLevelType w:val="hybridMultilevel"/>
    <w:tmpl w:val="7A5CA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D5185"/>
    <w:multiLevelType w:val="multilevel"/>
    <w:tmpl w:val="4202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734AAD"/>
    <w:multiLevelType w:val="hybridMultilevel"/>
    <w:tmpl w:val="F9EA3896"/>
    <w:lvl w:ilvl="0" w:tplc="200A91F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24356"/>
    <w:multiLevelType w:val="multilevel"/>
    <w:tmpl w:val="EEC4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A6AE2"/>
    <w:multiLevelType w:val="multilevel"/>
    <w:tmpl w:val="4B82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655A2"/>
    <w:multiLevelType w:val="hybridMultilevel"/>
    <w:tmpl w:val="D3A84BB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53647">
    <w:abstractNumId w:val="5"/>
  </w:num>
  <w:num w:numId="2" w16cid:durableId="2116435313">
    <w:abstractNumId w:val="4"/>
  </w:num>
  <w:num w:numId="3" w16cid:durableId="787747083">
    <w:abstractNumId w:val="6"/>
  </w:num>
  <w:num w:numId="4" w16cid:durableId="302740424">
    <w:abstractNumId w:val="3"/>
  </w:num>
  <w:num w:numId="5" w16cid:durableId="169685570">
    <w:abstractNumId w:val="1"/>
  </w:num>
  <w:num w:numId="6" w16cid:durableId="1189031826">
    <w:abstractNumId w:val="0"/>
  </w:num>
  <w:num w:numId="7" w16cid:durableId="1025444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5D"/>
    <w:rsid w:val="000F6E81"/>
    <w:rsid w:val="00155130"/>
    <w:rsid w:val="002C2794"/>
    <w:rsid w:val="003B02C9"/>
    <w:rsid w:val="004107F4"/>
    <w:rsid w:val="00414748"/>
    <w:rsid w:val="00523850"/>
    <w:rsid w:val="00586AFF"/>
    <w:rsid w:val="005B695D"/>
    <w:rsid w:val="007360FD"/>
    <w:rsid w:val="007C7A50"/>
    <w:rsid w:val="00967BC3"/>
    <w:rsid w:val="00BE5475"/>
    <w:rsid w:val="00D124E8"/>
    <w:rsid w:val="00E8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4F4E3"/>
  <w15:chartTrackingRefBased/>
  <w15:docId w15:val="{42E69C2F-20C1-4D29-9D6D-4C9EA36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9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9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9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9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9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9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9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9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9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9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9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9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9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9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9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9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9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9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9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9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9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9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9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9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9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9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9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9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6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95D"/>
  </w:style>
  <w:style w:type="paragraph" w:styleId="Footer">
    <w:name w:val="footer"/>
    <w:basedOn w:val="Normal"/>
    <w:link w:val="FooterChar"/>
    <w:uiPriority w:val="99"/>
    <w:unhideWhenUsed/>
    <w:rsid w:val="005B6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95D"/>
  </w:style>
  <w:style w:type="character" w:styleId="Hyperlink">
    <w:name w:val="Hyperlink"/>
    <w:basedOn w:val="DefaultParagraphFont"/>
    <w:uiPriority w:val="99"/>
    <w:unhideWhenUsed/>
    <w:rsid w:val="001551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blackboard.com/Learn/Administrator/Hosting/Security/Privacy/US_Privacy_Definitions_and_Regulations" TargetMode="External"/><Relationship Id="rId13" Type="http://schemas.openxmlformats.org/officeDocument/2006/relationships/hyperlink" Target="https://docs.moodle.org/en/Backup_and_restore_FA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mna.khalid@snhu.edu" TargetMode="External"/><Relationship Id="rId12" Type="http://schemas.openxmlformats.org/officeDocument/2006/relationships/hyperlink" Target="https://docs.moodle.org/en/Site_backup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docs.instructure.com/services/canvas/external-tools/lti/file.tools_intr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.org/WAI/standards-guidelines/wcag/?utm_source=chatgpt.com" TargetMode="External"/><Relationship Id="rId10" Type="http://schemas.openxmlformats.org/officeDocument/2006/relationships/hyperlink" Target="https://documentation.instructure.com/doc/api/file.lti_launch_overview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2l.com/security/compliance/" TargetMode="External"/><Relationship Id="rId14" Type="http://schemas.openxmlformats.org/officeDocument/2006/relationships/hyperlink" Target="https://www.w3.org/TR/WCAG21/?utm_source=chatgp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1173</Words>
  <Characters>8225</Characters>
  <Application>Microsoft Office Word</Application>
  <DocSecurity>0</DocSecurity>
  <Lines>461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HAMNA KHALID</dc:creator>
  <cp:keywords/>
  <dc:description/>
  <cp:lastModifiedBy>HAMNA KHALID</cp:lastModifiedBy>
  <cp:revision>4</cp:revision>
  <dcterms:created xsi:type="dcterms:W3CDTF">2025-09-10T00:36:00Z</dcterms:created>
  <dcterms:modified xsi:type="dcterms:W3CDTF">2025-09-10T01:59:00Z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779dc81a-facd-45da-82ab-21acba536cd5</vt:lpwstr>
  </property>
</Properties>
</file>