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Challenge HAMU 2026</w:t>
      </w:r>
    </w:p>
    <w:p>
      <w:pPr>
        <w:pStyle w:val="Subtitle"/>
      </w:pPr>
      <w:r>
        <w:t>Unified regulations in English</w:t>
      </w:r>
    </w:p>
    <w:p>
      <w:pPr>
        <w:pStyle w:val="Heading1"/>
      </w:pPr>
      <w:r>
        <w:t>Article 1 Purpose and objectives</w:t>
      </w:r>
    </w:p>
    <w:p>
      <w:pPr>
        <w:widowControl/>
        <w:numPr>
          <w:ilvl w:val="0"/>
          <w:numId w:val="23"/>
        </w:numPr>
        <w:ind w:left="312" w:hanging="312"/>
      </w:pPr>
      <w:r>
        <w:t>The Challenge is an inter-university educational, cultural and project-based initiative, organised in collaboration with Google for Education for students at HAMU universities in the Abruzzo, Marche and Umbria regions. The initiative is exclusively educational, cultural and representative in nature.</w:t>
      </w:r>
    </w:p>
    <w:p>
      <w:pPr>
        <w:widowControl/>
        <w:numPr>
          <w:ilvl w:val="0"/>
          <w:numId w:val="23"/>
        </w:numPr>
        <w:ind w:left="312" w:hanging="312"/>
      </w:pPr>
      <w:r>
        <w:t>The Challenge consists of two stages: a preliminary stage to identify the teams that will represent the universities at the Google Challenge HAMU 2026 final, and a final stage to select the winning teams from those that have passed the preliminary stage. These Regulations govern both stages.</w:t>
      </w:r>
    </w:p>
    <w:p>
      <w:pPr>
        <w:widowControl/>
        <w:numPr>
          <w:ilvl w:val="0"/>
          <w:numId w:val="23"/>
        </w:numPr>
        <w:ind w:left="312" w:hanging="312"/>
      </w:pPr>
      <w:r>
        <w:t>The initiative aims to develop skills in the informed, responsible and creative use of generative artificial intelligence tools through the development and presentation of project proposals consistent with the procedures and criteria set out in these Regulations.</w:t>
      </w:r>
    </w:p>
    <w:p>
      <w:pPr>
        <w:widowControl/>
        <w:numPr>
          <w:ilvl w:val="0"/>
          <w:numId w:val="23"/>
        </w:numPr>
        <w:ind w:left="312" w:hanging="312"/>
      </w:pPr>
      <w:r>
        <w:t>The preliminary stage takes place at the regional venues designated by the Organising Committee. The final stage will take place at the University of L’Aquila. Both stages will follow common rules to ensure consistent procedures, transparency and equal treatment of participants.</w:t>
      </w:r>
    </w:p>
    <w:p>
      <w:pPr>
        <w:keepNext/>
        <w:widowControl/>
        <w:numPr>
          <w:ilvl w:val="0"/>
          <w:numId w:val="23"/>
        </w:numPr>
        <w:ind w:left="312" w:hanging="312"/>
      </w:pPr>
      <w:r>
        <w:t>The selection does not constitute:</w:t>
      </w:r>
    </w:p>
    <w:p>
      <w:pPr>
        <w:keepNext/>
        <w:widowControl/>
        <w:numPr>
          <w:ilvl w:val="1"/>
          <w:numId w:val="23"/>
        </w:numPr>
        <w:ind w:left="567" w:hanging="255"/>
      </w:pPr>
      <w:r>
        <w:t>a public recruitment competition;</w:t>
      </w:r>
    </w:p>
    <w:p>
      <w:pPr>
        <w:keepNext/>
        <w:widowControl/>
        <w:numPr>
          <w:ilvl w:val="1"/>
          <w:numId w:val="23"/>
        </w:numPr>
        <w:ind w:left="567" w:hanging="255"/>
      </w:pPr>
      <w:r>
        <w:t>a comparative selection procedure for access to employment or appointments;</w:t>
      </w:r>
    </w:p>
    <w:p>
      <w:pPr>
        <w:keepNext/>
        <w:widowControl/>
        <w:numPr>
          <w:ilvl w:val="1"/>
          <w:numId w:val="23"/>
        </w:numPr>
        <w:ind w:left="567" w:hanging="255"/>
      </w:pPr>
      <w:r>
        <w:t>a procedure for awarding financial benefits;</w:t>
      </w:r>
    </w:p>
    <w:p>
      <w:pPr>
        <w:widowControl/>
        <w:numPr>
          <w:ilvl w:val="1"/>
          <w:numId w:val="23"/>
        </w:numPr>
        <w:ind w:left="567" w:hanging="255"/>
      </w:pPr>
      <w:r>
        <w:t>a prize competition within the meaning of Italian Presidential Decree No. 430/2001.</w:t>
      </w:r>
    </w:p>
    <w:p>
      <w:pPr>
        <w:pStyle w:val="Heading1"/>
      </w:pPr>
      <w:r>
        <w:t>Article 2 Nature and characteristics of the initiative</w:t>
      </w:r>
    </w:p>
    <w:p>
      <w:pPr>
        <w:widowControl/>
        <w:numPr>
          <w:ilvl w:val="0"/>
          <w:numId w:val="21"/>
        </w:numPr>
        <w:ind w:left="312" w:hanging="312"/>
      </w:pPr>
      <w:r>
        <w:t>Google Challenge HAMU 2026 is an educational selection procedure.</w:t>
      </w:r>
    </w:p>
    <w:p>
      <w:pPr>
        <w:widowControl/>
        <w:numPr>
          <w:ilvl w:val="0"/>
          <w:numId w:val="21"/>
        </w:numPr>
        <w:ind w:left="312" w:hanging="312"/>
      </w:pPr>
      <w:r>
        <w:t>The selection is neither a public recruitment competition nor a comparative procedure for access to employment, appointments or other collaborative relationships with the participating universities or Google.</w:t>
      </w:r>
    </w:p>
    <w:p>
      <w:pPr>
        <w:widowControl/>
        <w:numPr>
          <w:ilvl w:val="0"/>
          <w:numId w:val="21"/>
        </w:numPr>
        <w:ind w:left="312" w:hanging="312"/>
      </w:pPr>
      <w:r>
        <w:t>Participation is free of charge and does not entail the award of prizes, remuneration, grants or other financial benefits. Winning teams may receive certificates, mentions or other forms of recognition with no monetary value.</w:t>
      </w:r>
    </w:p>
    <w:p>
      <w:pPr>
        <w:widowControl/>
        <w:numPr>
          <w:ilvl w:val="0"/>
          <w:numId w:val="21"/>
        </w:numPr>
        <w:ind w:left="312" w:hanging="312"/>
      </w:pPr>
      <w:r>
        <w:t>No reimbursement of expenses or other financial support from HAMU universities is provided.</w:t>
      </w:r>
    </w:p>
    <w:p>
      <w:pPr>
        <w:widowControl/>
        <w:numPr>
          <w:ilvl w:val="0"/>
          <w:numId w:val="21"/>
        </w:numPr>
        <w:ind w:left="312" w:hanging="312"/>
      </w:pPr>
      <w:r>
        <w:t>Admission to the final stage does not establish any contractual, professional or employment relationship with the participating universities, the Organising Committee or Google.</w:t>
      </w:r>
    </w:p>
    <w:p>
      <w:pPr>
        <w:widowControl/>
        <w:numPr>
          <w:ilvl w:val="0"/>
          <w:numId w:val="21"/>
        </w:numPr>
        <w:ind w:left="312" w:hanging="312"/>
      </w:pPr>
      <w:r>
        <w:t>The selection follows the principles of transparency, impartiality, equal treatment and publication of results.</w:t>
      </w:r>
    </w:p>
    <w:p>
      <w:pPr>
        <w:pStyle w:val="Heading1"/>
      </w:pPr>
      <w:r>
        <w:t>Article 3 Eligibility requirements</w:t>
      </w:r>
    </w:p>
    <w:p>
      <w:pPr>
        <w:widowControl/>
        <w:numPr>
          <w:ilvl w:val="0"/>
          <w:numId w:val="7"/>
        </w:numPr>
        <w:ind w:left="312" w:hanging="312"/>
      </w:pPr>
      <w:r>
        <w:t>Students may take part in the preliminary stage if, at the application deadline, they are duly enrolled in a bachelor’s degree, master’s degree or single-cycle master’s degree programme at one of the universities participating in Google Challenge HAMU 2026 and are up to date with tuition fee payments.</w:t>
      </w:r>
    </w:p>
    <w:p>
      <w:pPr>
        <w:widowControl/>
        <w:numPr>
          <w:ilvl w:val="0"/>
          <w:numId w:val="7"/>
        </w:numPr>
        <w:ind w:left="312" w:hanging="312"/>
      </w:pPr>
      <w:r>
        <w:t>In view of the specific nature of its educational programmes, the Gran Sasso Science Institute may also admit PhD students enrolled in their first or second year.</w:t>
      </w:r>
    </w:p>
    <w:p>
      <w:pPr>
        <w:widowControl/>
        <w:numPr>
          <w:ilvl w:val="0"/>
          <w:numId w:val="7"/>
        </w:numPr>
        <w:ind w:left="312" w:hanging="312"/>
      </w:pPr>
      <w:r>
        <w:t>Participants must remain enrolled until the end of the final stage, which will take place by the end of November 2026. Any loss of this requirement must be promptly reported by the participant to their home university and their team contact person.</w:t>
      </w:r>
    </w:p>
    <w:p>
      <w:pPr>
        <w:widowControl/>
        <w:numPr>
          <w:ilvl w:val="0"/>
          <w:numId w:val="7"/>
        </w:numPr>
        <w:ind w:left="312" w:hanging="312"/>
      </w:pPr>
      <w:r>
        <w:t>Applicants declare that they meet the requirements when applying. Their home university verifies compliance in accordance with its applicable rules.</w:t>
      </w:r>
    </w:p>
    <w:p>
      <w:pPr>
        <w:widowControl/>
        <w:numPr>
          <w:ilvl w:val="0"/>
          <w:numId w:val="7"/>
        </w:numPr>
        <w:ind w:left="312" w:hanging="312"/>
      </w:pPr>
      <w:r>
        <w:t>Failure to meet the requirements results in the participant’s exclusion from the selection.</w:t>
      </w:r>
    </w:p>
    <w:p>
      <w:pPr>
        <w:pStyle w:val="Heading1"/>
      </w:pPr>
      <w:r>
        <w:t>Article 4 Application procedure</w:t>
      </w:r>
    </w:p>
    <w:p>
      <w:pPr>
        <w:widowControl/>
        <w:numPr>
          <w:ilvl w:val="0"/>
          <w:numId w:val="9"/>
        </w:numPr>
        <w:ind w:left="312" w:hanging="312"/>
      </w:pPr>
      <w:r>
        <w:t>Applications are submitted individually.</w:t>
      </w:r>
    </w:p>
    <w:p>
      <w:pPr>
        <w:widowControl/>
        <w:numPr>
          <w:ilvl w:val="0"/>
          <w:numId w:val="9"/>
        </w:numPr>
        <w:ind w:left="312" w:hanging="312"/>
      </w:pPr>
      <w:r>
        <w:t>Applications must be submitted by the date and time specified in the call for applications, using the single application form provided by the Organising Committee.</w:t>
      </w:r>
    </w:p>
    <w:p>
      <w:pPr>
        <w:widowControl/>
        <w:numPr>
          <w:ilvl w:val="0"/>
          <w:numId w:val="9"/>
        </w:numPr>
        <w:ind w:left="312" w:hanging="312"/>
      </w:pPr>
      <w:r>
        <w:t>Incomplete or late applications are excluded. No procedure for remedying deficiencies in an application is permitted.</w:t>
      </w:r>
    </w:p>
    <w:p>
      <w:pPr>
        <w:widowControl/>
        <w:numPr>
          <w:ilvl w:val="0"/>
          <w:numId w:val="9"/>
        </w:numPr>
        <w:ind w:left="312" w:hanging="312"/>
      </w:pPr>
      <w:r>
        <w:t>By submitting an application, each participant declares that they have read and accept these Regulations and have received the personal data processing notice.</w:t>
      </w:r>
    </w:p>
    <w:p>
      <w:pPr>
        <w:widowControl/>
        <w:numPr>
          <w:ilvl w:val="0"/>
          <w:numId w:val="9"/>
        </w:numPr>
        <w:ind w:left="312" w:hanging="312"/>
      </w:pPr>
      <w:r>
        <w:t>The venue for the preliminary stage is assigned by the Organising Committee and may differ from the participant’s home university.</w:t>
      </w:r>
    </w:p>
    <w:p>
      <w:pPr>
        <w:pStyle w:val="Heading1"/>
      </w:pPr>
      <w:r>
        <w:t>Article 5 Team composition</w:t>
      </w:r>
    </w:p>
    <w:p>
      <w:pPr>
        <w:widowControl/>
        <w:numPr>
          <w:ilvl w:val="0"/>
          <w:numId w:val="8"/>
        </w:numPr>
        <w:ind w:left="312" w:hanging="312"/>
      </w:pPr>
      <w:r>
        <w:t>The Organising Committee is responsible for forming teams on the basis of predetermined, uniform criteria, taking account, where possible, of diversity in participants’ skills and academic backgrounds. Team composition will be communicated at least one week before the preliminary stage.</w:t>
      </w:r>
    </w:p>
    <w:p>
      <w:pPr>
        <w:widowControl/>
        <w:numPr>
          <w:ilvl w:val="0"/>
          <w:numId w:val="8"/>
        </w:numPr>
        <w:ind w:left="312" w:hanging="312"/>
      </w:pPr>
      <w:r>
        <w:t>Each team will consist of a minimum of five and a maximum of seven students from HAMU universities.</w:t>
      </w:r>
    </w:p>
    <w:p>
      <w:pPr>
        <w:pStyle w:val="Heading1"/>
      </w:pPr>
      <w:r>
        <w:t>Article 6 Project themes and choice of theme</w:t>
      </w:r>
    </w:p>
    <w:p>
      <w:pPr>
        <w:widowControl/>
        <w:numPr>
          <w:ilvl w:val="0"/>
          <w:numId w:val="17"/>
        </w:numPr>
        <w:ind w:left="312" w:hanging="312"/>
      </w:pPr>
      <w:r>
        <w:t>The Organising Committee will propose four project themes.</w:t>
      </w:r>
    </w:p>
    <w:p>
      <w:pPr>
        <w:widowControl/>
        <w:numPr>
          <w:ilvl w:val="0"/>
          <w:numId w:val="17"/>
        </w:numPr>
        <w:ind w:left="312" w:hanging="312"/>
      </w:pPr>
      <w:r>
        <w:t>Each team may select only one of the proposed themes.</w:t>
      </w:r>
    </w:p>
    <w:p>
      <w:pPr>
        <w:widowControl/>
        <w:numPr>
          <w:ilvl w:val="0"/>
          <w:numId w:val="17"/>
        </w:numPr>
        <w:ind w:left="312" w:hanging="312"/>
      </w:pPr>
      <w:r>
        <w:t>The themes will be announced at the same time as the team composition.</w:t>
      </w:r>
    </w:p>
    <w:p>
      <w:pPr>
        <w:pStyle w:val="Heading1"/>
      </w:pPr>
      <w:r>
        <w:t>Article 7 Conduct of the preliminary stage</w:t>
      </w:r>
    </w:p>
    <w:p>
      <w:pPr>
        <w:widowControl/>
        <w:numPr>
          <w:ilvl w:val="0"/>
          <w:numId w:val="10"/>
        </w:numPr>
        <w:ind w:left="312" w:hanging="312"/>
      </w:pPr>
      <w:r>
        <w:t>The preliminary stage takes place at three regional venues designated by the Organising Committee and communicated to participants at least seven days before the date of the challenge.</w:t>
      </w:r>
    </w:p>
    <w:p>
      <w:pPr>
        <w:widowControl/>
        <w:numPr>
          <w:ilvl w:val="0"/>
          <w:numId w:val="10"/>
        </w:numPr>
        <w:ind w:left="312" w:hanging="312"/>
      </w:pPr>
      <w:r>
        <w:t>Students, organised into teams, take part in the preliminary stage at the venue assigned to them under Article 4. Team composition is communicated at least one week before the preliminary stage.</w:t>
      </w:r>
    </w:p>
    <w:p>
      <w:pPr>
        <w:widowControl/>
        <w:numPr>
          <w:ilvl w:val="0"/>
          <w:numId w:val="10"/>
        </w:numPr>
        <w:ind w:left="312" w:hanging="312"/>
      </w:pPr>
      <w:r>
        <w:t>The challenge follows uniform procedures, timings and conditions across the three venues. The maximum time allowed for developing the project proposal is four hours.</w:t>
      </w:r>
    </w:p>
    <w:p>
      <w:pPr>
        <w:widowControl/>
        <w:numPr>
          <w:ilvl w:val="0"/>
          <w:numId w:val="10"/>
        </w:numPr>
        <w:ind w:left="312" w:hanging="312"/>
      </w:pPr>
      <w:r>
        <w:t>Participants may use only the tools specified by the organisers during the challenge. Additional applications, sources or tools may be used only if expressly permitted by the operational instructions.</w:t>
      </w:r>
    </w:p>
    <w:p>
      <w:pPr>
        <w:keepNext/>
        <w:widowControl/>
        <w:numPr>
          <w:ilvl w:val="0"/>
          <w:numId w:val="10"/>
        </w:numPr>
        <w:ind w:left="312" w:hanging="312"/>
      </w:pPr>
      <w:r>
        <w:t>Teams must use generative artificial intelligence tools in an informed and responsible manner and are required to:</w:t>
      </w:r>
    </w:p>
    <w:p>
      <w:pPr>
        <w:keepNext/>
        <w:widowControl/>
        <w:spacing w:after="60"/>
        <w:ind w:left="255" w:hanging="255"/>
      </w:pPr>
      <w:r>
        <w:t>a) refrain from entering personal data, confidential information or third-party content whose use is not permitted;</w:t>
      </w:r>
    </w:p>
    <w:p>
      <w:pPr>
        <w:keepNext/>
        <w:widowControl/>
        <w:spacing w:after="60"/>
        <w:ind w:left="255" w:hanging="255"/>
      </w:pPr>
      <w:r>
        <w:t>b) verify the accuracy, reliability and lawfulness of generated content;</w:t>
      </w:r>
    </w:p>
    <w:p>
      <w:pPr>
        <w:keepNext/>
        <w:widowControl/>
        <w:spacing w:after="60"/>
        <w:ind w:left="255" w:hanging="255"/>
      </w:pPr>
      <w:r>
        <w:t>c) identify, in accordance with the procedures specified by the organisers, the artificial intelligence tools used and the main ways in which they were used;</w:t>
      </w:r>
    </w:p>
    <w:p>
      <w:pPr>
        <w:widowControl/>
        <w:spacing w:after="60"/>
        <w:ind w:left="255" w:hanging="255"/>
      </w:pPr>
      <w:r>
        <w:t>d) comply with the platforms’ terms of use and the organisers’ instructions.</w:t>
      </w:r>
    </w:p>
    <w:p>
      <w:pPr>
        <w:widowControl/>
        <w:numPr>
          <w:ilvl w:val="0"/>
          <w:numId w:val="10"/>
        </w:numPr>
        <w:ind w:left="312" w:hanging="312"/>
      </w:pPr>
      <w:r>
        <w:t>The submitted proposal must be original and must not infringe intellectual property rights, copyright, image rights or other third-party rights.</w:t>
      </w:r>
    </w:p>
    <w:p>
      <w:pPr>
        <w:widowControl/>
        <w:numPr>
          <w:ilvl w:val="0"/>
          <w:numId w:val="10"/>
        </w:numPr>
        <w:ind w:left="312" w:hanging="312"/>
      </w:pPr>
      <w:r>
        <w:t>At the end of the challenge, each team presents its project to the judging panel. The presentation must last no more than seven minutes and may be followed by a question-and-answer session.</w:t>
      </w:r>
    </w:p>
    <w:p>
      <w:pPr>
        <w:pStyle w:val="Heading1"/>
      </w:pPr>
      <w:r>
        <w:t>Article 8 Judging panels for the preliminary stage</w:t>
      </w:r>
    </w:p>
    <w:p>
      <w:pPr>
        <w:widowControl/>
        <w:numPr>
          <w:ilvl w:val="0"/>
          <w:numId w:val="11"/>
        </w:numPr>
        <w:ind w:left="312" w:hanging="312"/>
      </w:pPr>
      <w:r>
        <w:t>A judging panel is established for each venue to assess the projects submitted by teams taking part in the preliminary stage.</w:t>
      </w:r>
    </w:p>
    <w:p>
      <w:pPr>
        <w:widowControl/>
        <w:numPr>
          <w:ilvl w:val="0"/>
          <w:numId w:val="11"/>
        </w:numPr>
        <w:ind w:left="312" w:hanging="312"/>
      </w:pPr>
      <w:r>
        <w:t>The Organising Committee coordinates the composition of the panels.</w:t>
      </w:r>
    </w:p>
    <w:p>
      <w:pPr>
        <w:widowControl/>
        <w:numPr>
          <w:ilvl w:val="0"/>
          <w:numId w:val="11"/>
        </w:numPr>
        <w:ind w:left="312" w:hanging="312"/>
      </w:pPr>
      <w:r>
        <w:t>Each panel consists of at least six members selected for expertise consistent with the objectives and themes of the Challenge.</w:t>
      </w:r>
    </w:p>
    <w:p>
      <w:pPr>
        <w:keepNext/>
        <w:widowControl/>
        <w:numPr>
          <w:ilvl w:val="0"/>
          <w:numId w:val="11"/>
        </w:numPr>
        <w:ind w:left="312" w:hanging="312"/>
      </w:pPr>
      <w:r>
        <w:t>Before assessment begins, panel members declare:</w:t>
      </w:r>
    </w:p>
    <w:p>
      <w:pPr>
        <w:keepNext/>
        <w:widowControl/>
        <w:numPr>
          <w:ilvl w:val="1"/>
          <w:numId w:val="11"/>
        </w:numPr>
        <w:ind w:left="567" w:hanging="255"/>
      </w:pPr>
      <w:r>
        <w:t>that they have no actual or potential conflict of interest involving participants;</w:t>
      </w:r>
    </w:p>
    <w:p>
      <w:pPr>
        <w:keepNext/>
        <w:widowControl/>
        <w:numPr>
          <w:ilvl w:val="1"/>
          <w:numId w:val="11"/>
        </w:numPr>
        <w:ind w:left="567" w:hanging="255"/>
      </w:pPr>
      <w:r>
        <w:t>that no grounds of incompatibility apply to them;</w:t>
      </w:r>
    </w:p>
    <w:p>
      <w:pPr>
        <w:widowControl/>
        <w:numPr>
          <w:ilvl w:val="1"/>
          <w:numId w:val="11"/>
        </w:numPr>
        <w:ind w:left="567" w:hanging="255"/>
      </w:pPr>
      <w:r>
        <w:t>their commitment to keeping confidential the information and project content acquired during the selection.</w:t>
      </w:r>
    </w:p>
    <w:p>
      <w:pPr>
        <w:widowControl/>
        <w:numPr>
          <w:ilvl w:val="0"/>
          <w:numId w:val="11"/>
        </w:numPr>
        <w:ind w:left="312" w:hanging="312"/>
      </w:pPr>
      <w:r>
        <w:t>If a conflict of interest or incompatibility arises, the member concerned must report it immediately and refrain from assessing the team involved. Where necessary, the member is replaced in accordance with the procedures established by the Organising Committee.</w:t>
      </w:r>
    </w:p>
    <w:p>
      <w:pPr>
        <w:widowControl/>
        <w:numPr>
          <w:ilvl w:val="0"/>
          <w:numId w:val="11"/>
        </w:numPr>
        <w:ind w:left="312" w:hanging="312"/>
      </w:pPr>
      <w:r>
        <w:t>The assessment of each project is valid if at least a majority of the panel members take part. If that number is not reached because of absences, abstentions or incompatibilities, the Organising Committee arranges, where necessary, for the members concerned to be replaced.</w:t>
      </w:r>
    </w:p>
    <w:p>
      <w:pPr>
        <w:widowControl/>
        <w:numPr>
          <w:ilvl w:val="0"/>
          <w:numId w:val="11"/>
        </w:numPr>
        <w:ind w:left="312" w:hanging="312"/>
      </w:pPr>
      <w:r>
        <w:t>During the preliminary stage, each panel member independently awards a score for each criterion. The project’s overall score is the arithmetic mean of the total scores awarded by the panel members, rounded to two decimal places.</w:t>
      </w:r>
    </w:p>
    <w:p>
      <w:pPr>
        <w:widowControl/>
        <w:numPr>
          <w:ilvl w:val="0"/>
          <w:numId w:val="11"/>
        </w:numPr>
        <w:ind w:left="312" w:hanging="312"/>
      </w:pPr>
      <w:r>
        <w:t>Without prejudice to paragraph 7 concerning the individual award of scores, the panel acts collectively in its other activities and applies the assessment grid and criteria set out in Article 9. Collective decisions are taken by a majority of the members present; in the event of a tie, the chair has the casting vote.</w:t>
      </w:r>
    </w:p>
    <w:p>
      <w:pPr>
        <w:widowControl/>
        <w:numPr>
          <w:ilvl w:val="0"/>
          <w:numId w:val="11"/>
        </w:numPr>
        <w:ind w:left="312" w:hanging="312"/>
      </w:pPr>
      <w:r>
        <w:t>Assessment activities, scores awarded and decisions taken are recorded in minutes signed by the chair and the recording secretary.</w:t>
      </w:r>
    </w:p>
    <w:p>
      <w:pPr>
        <w:pStyle w:val="Heading1"/>
      </w:pPr>
      <w:r>
        <w:t>Article 9 Assessment criteria common to all HAMU universities</w:t>
      </w:r>
    </w:p>
    <w:p>
      <w:pPr>
        <w:keepNext/>
        <w:widowControl/>
        <w:numPr>
          <w:ilvl w:val="0"/>
          <w:numId w:val="20"/>
        </w:numPr>
        <w:ind w:left="312" w:hanging="312"/>
      </w:pPr>
      <w:r>
        <w:t>Projects are assessed using a common grid applied uniformly by the three panels.</w:t>
      </w:r>
    </w:p>
    <w:p>
      <w:pPr>
        <w:keepNext/>
        <w:widowControl/>
        <w:numPr>
          <w:ilvl w:val="0"/>
          <w:numId w:val="20"/>
        </w:numPr>
        <w:ind w:left="312" w:hanging="312"/>
      </w:pPr>
      <w:r>
        <w:t>Each project may receive a maximum of 100 points, allocated as follows:</w:t>
      </w:r>
    </w:p>
    <w:tbl>
      <w:tblPr>
        <w:tblW w:type="auto" w:w="0"/>
        <w:jc w:val="center"/>
        <w:tblLayout w:type="fixed"/>
        <w:tblLook w:firstColumn="1" w:firstRow="1" w:lastColumn="0" w:lastRow="0" w:noHBand="0" w:noVBand="1" w:val="04A0"/>
      </w:tblPr>
      <w:tblGrid>
        <w:gridCol w:w="2665"/>
        <w:gridCol w:w="5669"/>
        <w:gridCol w:w="1304"/>
      </w:tblGrid>
      <w:tr>
        <w:trPr>
          <w:tblHeade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left"/>
            </w:pPr>
            <w:r>
              <w:rPr>
                <w:b/>
                <w:sz w:val="19"/>
              </w:rPr>
              <w:t>Criterion</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left"/>
            </w:pPr>
            <w:r>
              <w:rPr>
                <w:b/>
                <w:sz w:val="19"/>
              </w:rPr>
              <w:t>Description</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center"/>
            </w:pPr>
            <w:r>
              <w:rPr>
                <w:b/>
                <w:sz w:val="19"/>
              </w:rPr>
              <w:t>Maximum score</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Innovation</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Originality of the proposal and ability to identify new solutions in relation to the assigned theme</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30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Impact on the local area or community</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Significance of the expected results and the proposal’s ability to deliver tangible benefits</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center"/>
            </w:pPr>
            <w:r>
              <w:rPr>
                <w:b w:val="0"/>
                <w:sz w:val="19"/>
              </w:rPr>
              <w:t>25</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Technical feasibility</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Clarity, sustainability and practical feasibility of the proposed solution</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20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Quality of the use of generative AI technologies</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Relevance, awareness, effectiveness and responsibility in the use of generative AI tools</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center"/>
            </w:pPr>
            <w:r>
              <w:rPr>
                <w:b w:val="0"/>
                <w:sz w:val="19"/>
              </w:rPr>
              <w:t>15</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Clarity and quality of the presentation</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Ability to explain the proposal clearly, coherently and convincingly within the time allowed</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10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left"/>
            </w:pPr>
            <w:r>
              <w:rPr>
                <w:b/>
                <w:sz w:val="19"/>
              </w:rPr>
              <w:t>Total</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left"/>
            </w:pPr>
            <w:r>
              <w:rPr>
                <w:b/>
                <w:sz w:val="19"/>
              </w:rPr>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center"/>
            </w:pPr>
            <w:r>
              <w:rPr>
                <w:b/>
                <w:sz w:val="19"/>
              </w:rPr>
              <w:t>100</w:t>
            </w:r>
          </w:p>
        </w:tc>
      </w:tr>
    </w:tbl>
    <w:p>
      <w:pPr>
        <w:spacing w:after="0"/>
      </w:pPr>
    </w:p>
    <w:p>
      <w:pPr>
        <w:pStyle w:val="Heading1"/>
      </w:pPr>
      <w:r>
        <w:t>Article 10 Preliminary rankings and admission to the final stage</w:t>
      </w:r>
    </w:p>
    <w:p>
      <w:pPr>
        <w:widowControl/>
        <w:numPr>
          <w:ilvl w:val="0"/>
          <w:numId w:val="3"/>
        </w:numPr>
        <w:ind w:left="312" w:hanging="312"/>
      </w:pPr>
      <w:r>
        <w:t>After completing its assessment, each judging panel draws up a separate ranking for its venue for each of the four project themes set out in Article 6. Teams are ranked in descending order of their overall scores.</w:t>
      </w:r>
    </w:p>
    <w:p>
      <w:pPr>
        <w:widowControl/>
        <w:numPr>
          <w:ilvl w:val="0"/>
          <w:numId w:val="3"/>
        </w:numPr>
        <w:ind w:left="312" w:hanging="312"/>
      </w:pPr>
      <w:r>
        <w:t>A total of up to thirty-six teams are admitted to the final stage. For each of the three venues, the top three teams in each of the four thematic rankings are admitted, up to a maximum of twelve teams per venue.</w:t>
      </w:r>
    </w:p>
    <w:p>
      <w:pPr>
        <w:widowControl/>
        <w:numPr>
          <w:ilvl w:val="0"/>
          <w:numId w:val="3"/>
        </w:numPr>
        <w:ind w:left="312" w:hanging="312"/>
      </w:pPr>
      <w:r>
        <w:t>If fewer than three teams are admitted to assessment for one or more themes at a given venue, the remaining places are allocated, within that same venue, to the teams not yet admitted that have obtained the highest overall scores, regardless of their chosen theme. Ties are resolved using the criteria in paragraph 4.</w:t>
      </w:r>
    </w:p>
    <w:p>
      <w:pPr>
        <w:keepNext/>
        <w:widowControl/>
        <w:numPr>
          <w:ilvl w:val="0"/>
          <w:numId w:val="3"/>
        </w:numPr>
        <w:ind w:left="312" w:hanging="312"/>
      </w:pPr>
      <w:r>
        <w:t>If two or more teams have the same score, precedence is given to the team with the higher score in the following criteria, in this order:</w:t>
      </w:r>
    </w:p>
    <w:p>
      <w:pPr>
        <w:keepNext/>
        <w:widowControl/>
        <w:numPr>
          <w:ilvl w:val="1"/>
          <w:numId w:val="3"/>
        </w:numPr>
        <w:ind w:left="567" w:hanging="255"/>
      </w:pPr>
      <w:r>
        <w:t>impact on the local area or community;</w:t>
      </w:r>
    </w:p>
    <w:p>
      <w:pPr>
        <w:keepNext/>
        <w:widowControl/>
        <w:numPr>
          <w:ilvl w:val="1"/>
          <w:numId w:val="3"/>
        </w:numPr>
        <w:ind w:left="567" w:hanging="255"/>
      </w:pPr>
      <w:r>
        <w:t>innovation;</w:t>
      </w:r>
    </w:p>
    <w:p>
      <w:pPr>
        <w:keepNext/>
        <w:widowControl/>
        <w:numPr>
          <w:ilvl w:val="1"/>
          <w:numId w:val="3"/>
        </w:numPr>
        <w:ind w:left="567" w:hanging="255"/>
      </w:pPr>
      <w:r>
        <w:t>technical feasibility;</w:t>
      </w:r>
    </w:p>
    <w:p>
      <w:pPr>
        <w:keepNext/>
        <w:widowControl/>
        <w:numPr>
          <w:ilvl w:val="1"/>
          <w:numId w:val="3"/>
        </w:numPr>
        <w:ind w:left="567" w:hanging="255"/>
      </w:pPr>
      <w:r>
        <w:t>quality of the use of generative artificial intelligence technologies;</w:t>
      </w:r>
    </w:p>
    <w:p>
      <w:pPr>
        <w:widowControl/>
        <w:numPr>
          <w:ilvl w:val="1"/>
          <w:numId w:val="3"/>
        </w:numPr>
        <w:ind w:left="567" w:hanging="255"/>
      </w:pPr>
      <w:r>
        <w:t>clarity and quality of the presentation.</w:t>
      </w:r>
    </w:p>
    <w:p>
      <w:pPr>
        <w:widowControl/>
      </w:pPr>
      <w:r>
        <w:t>If the tie persists, the panel draws lots and records the procedure in the minutes.</w:t>
      </w:r>
    </w:p>
    <w:p>
      <w:pPr>
        <w:keepNext/>
        <w:widowControl/>
        <w:numPr>
          <w:ilvl w:val="0"/>
          <w:numId w:val="24"/>
        </w:numPr>
        <w:ind w:left="312" w:hanging="312"/>
      </w:pPr>
      <w:r>
        <w:t>The panel records the following in the minutes:</w:t>
      </w:r>
    </w:p>
    <w:p>
      <w:pPr>
        <w:keepNext/>
        <w:widowControl/>
        <w:numPr>
          <w:ilvl w:val="1"/>
          <w:numId w:val="24"/>
        </w:numPr>
        <w:ind w:left="567" w:hanging="255"/>
      </w:pPr>
      <w:r>
        <w:t>the scores awarded to each project for each assessment criterion;</w:t>
      </w:r>
    </w:p>
    <w:p>
      <w:pPr>
        <w:keepNext/>
        <w:widowControl/>
        <w:numPr>
          <w:ilvl w:val="1"/>
          <w:numId w:val="24"/>
        </w:numPr>
        <w:ind w:left="567" w:hanging="255"/>
      </w:pPr>
      <w:r>
        <w:t>each team’s overall score;</w:t>
      </w:r>
    </w:p>
    <w:p>
      <w:pPr>
        <w:keepNext/>
        <w:widowControl/>
        <w:numPr>
          <w:ilvl w:val="1"/>
          <w:numId w:val="24"/>
        </w:numPr>
        <w:ind w:left="567" w:hanging="255"/>
      </w:pPr>
      <w:r>
        <w:t>the rankings for the four project themes;</w:t>
      </w:r>
    </w:p>
    <w:p>
      <w:pPr>
        <w:keepNext/>
        <w:widowControl/>
        <w:numPr>
          <w:ilvl w:val="1"/>
          <w:numId w:val="24"/>
        </w:numPr>
        <w:ind w:left="567" w:hanging="255"/>
      </w:pPr>
      <w:r>
        <w:t>the list of teams admitted to the final stage;</w:t>
      </w:r>
    </w:p>
    <w:p>
      <w:pPr>
        <w:widowControl/>
        <w:numPr>
          <w:ilvl w:val="1"/>
          <w:numId w:val="24"/>
        </w:numPr>
        <w:ind w:left="567" w:hanging="255"/>
      </w:pPr>
      <w:r>
        <w:t>any exclusions, withdrawals, ties and drawing of lots.</w:t>
      </w:r>
    </w:p>
    <w:p>
      <w:pPr>
        <w:widowControl/>
      </w:pPr>
      <w:r>
        <w:t>The minutes are signed by the chair and the recording secretary and forwarded to the Organising Committee.</w:t>
      </w:r>
    </w:p>
    <w:p>
      <w:pPr>
        <w:widowControl/>
        <w:numPr>
          <w:ilvl w:val="0"/>
          <w:numId w:val="2"/>
        </w:numPr>
        <w:ind w:left="312" w:hanging="312"/>
      </w:pPr>
      <w:r>
        <w:t>The results of the preliminary stage are published on the institutional websites of the universities concerned, in compliance with personal data protection legislation. Publication constitutes official notification. Any communications sent to team contact persons are for information only.</w:t>
      </w:r>
    </w:p>
    <w:p>
      <w:pPr>
        <w:widowControl/>
        <w:numPr>
          <w:ilvl w:val="0"/>
          <w:numId w:val="2"/>
        </w:numPr>
        <w:ind w:left="312" w:hanging="312"/>
      </w:pPr>
      <w:r>
        <w:t>If an entire team admitted to the final stage withdraws, its place is offered to the next team in the relevant thematic ranking for the same venue.</w:t>
      </w:r>
    </w:p>
    <w:p>
      <w:pPr>
        <w:widowControl/>
        <w:numPr>
          <w:ilvl w:val="0"/>
          <w:numId w:val="2"/>
        </w:numPr>
        <w:ind w:left="312" w:hanging="312"/>
      </w:pPr>
      <w:r>
        <w:t>If individual team members withdraw, the remaining members may take part in the final stage by way of exception to Article 5, paragraph 2, provided that the team consists of at least three participants. If fewer members remain, the team loses its admission and the replacement procedure set out in paragraph 9 applies.</w:t>
      </w:r>
    </w:p>
    <w:p>
      <w:pPr>
        <w:widowControl/>
        <w:numPr>
          <w:ilvl w:val="0"/>
          <w:numId w:val="2"/>
        </w:numPr>
        <w:ind w:left="312" w:hanging="312"/>
      </w:pPr>
      <w:r>
        <w:t>If no further teams remain in the thematic ranking, the place is allocated to the team not yet admitted with the highest overall score at the same venue, regardless of the chosen theme.</w:t>
      </w:r>
    </w:p>
    <w:p>
      <w:pPr>
        <w:pStyle w:val="Heading1"/>
      </w:pPr>
      <w:r>
        <w:t>Article 11 Conduct of the final stage</w:t>
      </w:r>
    </w:p>
    <w:p>
      <w:pPr>
        <w:widowControl/>
        <w:numPr>
          <w:ilvl w:val="0"/>
          <w:numId w:val="12"/>
        </w:numPr>
        <w:ind w:left="312" w:hanging="312"/>
      </w:pPr>
      <w:r>
        <w:t>Teams admitted under Article 10 take part in the final stage at the University of L’Aquila, at the location, date and times communicated sufficiently in advance by the Organising Committee.</w:t>
      </w:r>
    </w:p>
    <w:p>
      <w:pPr>
        <w:keepNext/>
        <w:widowControl/>
        <w:numPr>
          <w:ilvl w:val="0"/>
          <w:numId w:val="12"/>
        </w:numPr>
        <w:ind w:left="312" w:hanging="312"/>
      </w:pPr>
      <w:r>
        <w:t>The final stage follows uniform procedures for all teams. The Organising Committee communicates the following in advance:</w:t>
      </w:r>
    </w:p>
    <w:p>
      <w:pPr>
        <w:keepNext/>
        <w:widowControl/>
        <w:numPr>
          <w:ilvl w:val="1"/>
          <w:numId w:val="4"/>
        </w:numPr>
        <w:ind w:left="567" w:hanging="255"/>
      </w:pPr>
      <w:r>
        <w:t>the programme and duration of activities;</w:t>
      </w:r>
    </w:p>
    <w:p>
      <w:pPr>
        <w:keepNext/>
        <w:widowControl/>
        <w:numPr>
          <w:ilvl w:val="1"/>
          <w:numId w:val="4"/>
        </w:numPr>
        <w:ind w:left="567" w:hanging="255"/>
      </w:pPr>
      <w:r>
        <w:t>the format and characteristics of the materials to be presented;</w:t>
      </w:r>
    </w:p>
    <w:p>
      <w:pPr>
        <w:keepNext/>
        <w:widowControl/>
        <w:numPr>
          <w:ilvl w:val="1"/>
          <w:numId w:val="4"/>
        </w:numPr>
        <w:ind w:left="567" w:hanging="255"/>
      </w:pPr>
      <w:r>
        <w:t>the format of the challenge;</w:t>
      </w:r>
    </w:p>
    <w:p>
      <w:pPr>
        <w:keepNext/>
        <w:widowControl/>
        <w:numPr>
          <w:ilvl w:val="1"/>
          <w:numId w:val="4"/>
        </w:numPr>
        <w:ind w:left="567" w:hanging="255"/>
      </w:pPr>
      <w:r>
        <w:t>the submission deadline and procedure;</w:t>
      </w:r>
    </w:p>
    <w:p>
      <w:pPr>
        <w:keepNext/>
        <w:widowControl/>
        <w:numPr>
          <w:ilvl w:val="1"/>
          <w:numId w:val="4"/>
        </w:numPr>
        <w:ind w:left="567" w:hanging="255"/>
      </w:pPr>
      <w:r>
        <w:t>the permitted technological tools;</w:t>
      </w:r>
    </w:p>
    <w:p>
      <w:pPr>
        <w:keepNext/>
        <w:widowControl/>
        <w:numPr>
          <w:ilvl w:val="1"/>
          <w:numId w:val="4"/>
        </w:numPr>
        <w:ind w:left="567" w:hanging="255"/>
      </w:pPr>
      <w:r>
        <w:t>the procedure for declaring the use of artificial intelligence tools;</w:t>
      </w:r>
    </w:p>
    <w:p>
      <w:pPr>
        <w:widowControl/>
        <w:numPr>
          <w:ilvl w:val="1"/>
          <w:numId w:val="4"/>
        </w:numPr>
        <w:ind w:left="567" w:hanging="255"/>
      </w:pPr>
      <w:r>
        <w:t>any additional technical and organisational instructions.</w:t>
      </w:r>
    </w:p>
    <w:p>
      <w:pPr>
        <w:widowControl/>
        <w:numPr>
          <w:ilvl w:val="0"/>
          <w:numId w:val="5"/>
        </w:numPr>
        <w:ind w:left="312" w:hanging="312"/>
      </w:pPr>
      <w:r>
        <w:t>During the final stage, each team presents a project on the same theme chosen for the preliminary stage. The project may be developed, expanded or refined from the version presented at the preliminary stage, in accordance with the Organising Committee’s instructions and conditions ensuring equal treatment of participants.</w:t>
      </w:r>
    </w:p>
    <w:p>
      <w:pPr>
        <w:widowControl/>
        <w:numPr>
          <w:ilvl w:val="0"/>
          <w:numId w:val="5"/>
        </w:numPr>
        <w:ind w:left="312" w:hanging="312"/>
      </w:pPr>
      <w:r>
        <w:t>The final stage is assessed by a single judging panel appointed by the Organising Committee and comprising at least one representative from each of the ten participating HAMU universities. The panel appoints a chair and a recording secretary from among its members.</w:t>
      </w:r>
    </w:p>
    <w:p>
      <w:pPr>
        <w:widowControl/>
        <w:numPr>
          <w:ilvl w:val="0"/>
          <w:numId w:val="5"/>
        </w:numPr>
        <w:ind w:left="312" w:hanging="312"/>
      </w:pPr>
      <w:r>
        <w:t>The provisions of Article 8 on expertise, impartiality, absence of conflicts of interest, incompatibility, confidentiality, the minimum number of panel members involved in assessment and the recording of activities apply, insofar as compatible, to the members and activities of the final-stage panel.</w:t>
      </w:r>
    </w:p>
    <w:p>
      <w:pPr>
        <w:widowControl/>
        <w:numPr>
          <w:ilvl w:val="0"/>
          <w:numId w:val="5"/>
        </w:numPr>
        <w:ind w:left="312" w:hanging="312"/>
      </w:pPr>
      <w:r>
        <w:t>The panel applies the criteria and maximum scores set out in Article 9. Assessment at the final stage is independent of assessment at the preliminary stage; preliminary-stage scores therefore do not contribute to the final ranking.</w:t>
      </w:r>
    </w:p>
    <w:p>
      <w:pPr>
        <w:widowControl/>
        <w:numPr>
          <w:ilvl w:val="0"/>
          <w:numId w:val="5"/>
        </w:numPr>
        <w:ind w:left="312" w:hanging="312"/>
      </w:pPr>
      <w:r>
        <w:t>For each project, every panel member awards a score for each criterion set out in Article 9. The project’s final score is the arithmetic mean of the total scores awarded by the panel members, rounded to two decimal places. A member with a conflict of interest or incompatibility involving the team being assessed does not take part in its assessment.</w:t>
      </w:r>
    </w:p>
    <w:p>
      <w:pPr>
        <w:widowControl/>
        <w:numPr>
          <w:ilvl w:val="0"/>
          <w:numId w:val="5"/>
        </w:numPr>
        <w:ind w:left="312" w:hanging="312"/>
      </w:pPr>
      <w:r>
        <w:t>The panel draws up a separate final ranking for each of the four project themes. The team with the highest final score in the relevant ranking is declared the winner for that theme.</w:t>
      </w:r>
    </w:p>
    <w:p>
      <w:pPr>
        <w:widowControl/>
        <w:numPr>
          <w:ilvl w:val="0"/>
          <w:numId w:val="5"/>
        </w:numPr>
        <w:ind w:left="312" w:hanging="312"/>
      </w:pPr>
      <w:r>
        <w:t>Ties in the final ranking are resolved by applying, in order, the precedence criteria set out in Article 10, paragraph 4. If the tie persists, the panel draws lots and records the procedure in the minutes.</w:t>
      </w:r>
    </w:p>
    <w:p>
      <w:pPr>
        <w:keepNext/>
        <w:widowControl/>
        <w:numPr>
          <w:ilvl w:val="0"/>
          <w:numId w:val="5"/>
        </w:numPr>
        <w:ind w:left="312" w:hanging="312"/>
      </w:pPr>
      <w:r>
        <w:t>The panel records the following in the minutes:</w:t>
      </w:r>
    </w:p>
    <w:p>
      <w:pPr>
        <w:keepNext/>
        <w:widowControl/>
        <w:numPr>
          <w:ilvl w:val="0"/>
          <w:numId w:val="6"/>
        </w:numPr>
        <w:ind w:left="312" w:hanging="312"/>
      </w:pPr>
      <w:r>
        <w:t>the scores awarded to each project for each assessment criterion;</w:t>
      </w:r>
    </w:p>
    <w:p>
      <w:pPr>
        <w:keepNext/>
        <w:widowControl/>
        <w:numPr>
          <w:ilvl w:val="0"/>
          <w:numId w:val="6"/>
        </w:numPr>
        <w:ind w:left="312" w:hanging="312"/>
      </w:pPr>
      <w:r>
        <w:t>each team’s final score;</w:t>
      </w:r>
    </w:p>
    <w:p>
      <w:pPr>
        <w:keepNext/>
        <w:widowControl/>
        <w:numPr>
          <w:ilvl w:val="0"/>
          <w:numId w:val="6"/>
        </w:numPr>
        <w:ind w:left="312" w:hanging="312"/>
      </w:pPr>
      <w:r>
        <w:t>the four thematic rankings;</w:t>
      </w:r>
    </w:p>
    <w:p>
      <w:pPr>
        <w:keepNext/>
        <w:widowControl/>
        <w:numPr>
          <w:ilvl w:val="0"/>
          <w:numId w:val="6"/>
        </w:numPr>
        <w:ind w:left="312" w:hanging="312"/>
      </w:pPr>
      <w:r>
        <w:t>the winning teams;</w:t>
      </w:r>
    </w:p>
    <w:p>
      <w:pPr>
        <w:widowControl/>
        <w:numPr>
          <w:ilvl w:val="0"/>
          <w:numId w:val="6"/>
        </w:numPr>
        <w:ind w:left="312" w:hanging="312"/>
      </w:pPr>
      <w:r>
        <w:t>any exclusions, withdrawals, abstentions due to conflicts of interest and drawing of lots.</w:t>
      </w:r>
    </w:p>
    <w:p>
      <w:pPr>
        <w:widowControl/>
      </w:pPr>
      <w:r>
        <w:t>The minutes are signed by the chair and the recording secretary and forwarded to the Organising Committee.</w:t>
      </w:r>
    </w:p>
    <w:p>
      <w:pPr>
        <w:widowControl/>
        <w:numPr>
          <w:ilvl w:val="0"/>
          <w:numId w:val="25"/>
        </w:numPr>
        <w:ind w:left="312" w:hanging="312"/>
      </w:pPr>
      <w:r>
        <w:t>The results of the final stage are published on the institutional websites of the participating universities, in compliance with personal data protection legislation. Publication constitutes official notification.</w:t>
      </w:r>
    </w:p>
    <w:p>
      <w:pPr>
        <w:widowControl/>
        <w:numPr>
          <w:ilvl w:val="0"/>
          <w:numId w:val="25"/>
        </w:numPr>
        <w:ind w:left="312" w:hanging="312"/>
      </w:pPr>
      <w:r>
        <w:t>The provisions of Article 12 concerning comments and requests for review also apply to the results of the final stage.</w:t>
      </w:r>
    </w:p>
    <w:p>
      <w:pPr>
        <w:pStyle w:val="Heading1"/>
      </w:pPr>
      <w:r>
        <w:t>Article 12 Publication of results and requests for review</w:t>
      </w:r>
    </w:p>
    <w:p>
      <w:pPr>
        <w:widowControl/>
        <w:numPr>
          <w:ilvl w:val="0"/>
          <w:numId w:val="26"/>
        </w:numPr>
        <w:ind w:left="312" w:hanging="312"/>
      </w:pPr>
      <w:r>
        <w:t>Participants must submit any comments within 24 hours of publication of the results.</w:t>
      </w:r>
    </w:p>
    <w:p>
      <w:pPr>
        <w:widowControl/>
        <w:numPr>
          <w:ilvl w:val="0"/>
          <w:numId w:val="26"/>
        </w:numPr>
        <w:ind w:left="312" w:hanging="312"/>
      </w:pPr>
      <w:r>
        <w:t>Once this period has elapsed, the results become settled and further objections are inadmissible.</w:t>
      </w:r>
    </w:p>
    <w:p>
      <w:pPr>
        <w:keepNext/>
        <w:widowControl/>
        <w:numPr>
          <w:ilvl w:val="0"/>
          <w:numId w:val="26"/>
        </w:numPr>
        <w:ind w:left="312" w:hanging="312"/>
      </w:pPr>
      <w:r>
        <w:t>Comments may concern only:</w:t>
      </w:r>
    </w:p>
    <w:p>
      <w:pPr>
        <w:keepNext/>
        <w:widowControl/>
        <w:numPr>
          <w:ilvl w:val="1"/>
          <w:numId w:val="26"/>
        </w:numPr>
        <w:ind w:left="567" w:hanging="255"/>
      </w:pPr>
      <w:r>
        <w:t>a manifest clerical error;</w:t>
      </w:r>
    </w:p>
    <w:p>
      <w:pPr>
        <w:keepNext/>
        <w:widowControl/>
        <w:numPr>
          <w:ilvl w:val="1"/>
          <w:numId w:val="26"/>
        </w:numPr>
        <w:ind w:left="567" w:hanging="255"/>
      </w:pPr>
      <w:r>
        <w:t>arithmetic inconsistencies;</w:t>
      </w:r>
    </w:p>
    <w:p>
      <w:pPr>
        <w:widowControl/>
        <w:numPr>
          <w:ilvl w:val="1"/>
          <w:numId w:val="26"/>
        </w:numPr>
        <w:ind w:left="567" w:hanging="255"/>
      </w:pPr>
      <w:r>
        <w:t>an evident breach of the established criteria.</w:t>
      </w:r>
    </w:p>
    <w:p>
      <w:pPr>
        <w:widowControl/>
        <w:numPr>
          <w:ilvl w:val="0"/>
          <w:numId w:val="26"/>
        </w:numPr>
        <w:ind w:left="312" w:hanging="312"/>
      </w:pPr>
      <w:r>
        <w:t>Review is limited to matters of formal legality. Challenges to the merits of the assessment or comparison are not permitted.</w:t>
      </w:r>
    </w:p>
    <w:p>
      <w:pPr>
        <w:pStyle w:val="Heading1"/>
      </w:pPr>
      <w:r>
        <w:t>Article 13 Intellectual property</w:t>
      </w:r>
    </w:p>
    <w:p>
      <w:pPr>
        <w:widowControl/>
        <w:numPr>
          <w:ilvl w:val="0"/>
          <w:numId w:val="13"/>
        </w:numPr>
        <w:ind w:left="312" w:hanging="312"/>
      </w:pPr>
      <w:r>
        <w:t>Participation in the Challenge does not transfer intellectual property rights in participants’ projects and materials to the participating universities, the Organising Committee, the judging panels or Google.</w:t>
      </w:r>
    </w:p>
    <w:p>
      <w:pPr>
        <w:widowControl/>
        <w:numPr>
          <w:ilvl w:val="0"/>
          <w:numId w:val="13"/>
        </w:numPr>
        <w:ind w:left="312" w:hanging="312"/>
      </w:pPr>
      <w:r>
        <w:t>Ownership of rights in results produced during the Challenge is determined in accordance with applicable legislation, with particular reference to Italian Law No. 633 of 22 April 1941 on copyright, Italian Legislative Decree No. 30 of 10 February 2005 establishing the Industrial Property Code, and any applicable regulations of participants’ home universities.</w:t>
      </w:r>
    </w:p>
    <w:p>
      <w:pPr>
        <w:widowControl/>
        <w:numPr>
          <w:ilvl w:val="0"/>
          <w:numId w:val="13"/>
        </w:numPr>
        <w:ind w:left="312" w:hanging="312"/>
      </w:pPr>
      <w:r>
        <w:t>Copyright in original creative contributions belongs to their respective authors. Where a project results from the indistinguishable and inseparable contributions of several team members, the relevant rights are exercised jointly in accordance with applicable legislation, without prejudice to any written agreements between those members.</w:t>
      </w:r>
    </w:p>
    <w:p>
      <w:pPr>
        <w:widowControl/>
        <w:numPr>
          <w:ilvl w:val="0"/>
          <w:numId w:val="13"/>
        </w:numPr>
        <w:ind w:left="312" w:hanging="312"/>
      </w:pPr>
      <w:r>
        <w:t>The right to be recognised as the author of one’s contribution and the other moral rights provided by law remain unaffected and may not be waived or transferred.</w:t>
      </w:r>
    </w:p>
    <w:p>
      <w:pPr>
        <w:widowControl/>
        <w:numPr>
          <w:ilvl w:val="0"/>
          <w:numId w:val="13"/>
        </w:numPr>
        <w:ind w:left="312" w:hanging="312"/>
      </w:pPr>
      <w:r>
        <w:t>Any industrial property rights arising from the projects, including the right to obtain patents or other forms of protection, belong to the persons identified by the Industrial Property Code, subject to the provisions applicable to inventions created within employment, research or collaborative relationships with the universities.</w:t>
      </w:r>
    </w:p>
    <w:p>
      <w:pPr>
        <w:keepNext/>
        <w:widowControl/>
        <w:numPr>
          <w:ilvl w:val="0"/>
          <w:numId w:val="13"/>
        </w:numPr>
        <w:ind w:left="312" w:hanging="312"/>
      </w:pPr>
      <w:r>
        <w:t>Each team warrants that, to the best of its knowledge, the materials submitted:</w:t>
      </w:r>
    </w:p>
    <w:p>
      <w:pPr>
        <w:keepNext/>
        <w:widowControl/>
        <w:spacing w:after="60"/>
        <w:ind w:left="255" w:hanging="255"/>
      </w:pPr>
      <w:r>
        <w:t>a) are original or lawfully used;</w:t>
      </w:r>
    </w:p>
    <w:p>
      <w:pPr>
        <w:keepNext/>
        <w:widowControl/>
        <w:spacing w:after="60"/>
        <w:ind w:left="255" w:hanging="255"/>
      </w:pPr>
      <w:r>
        <w:t>b) do not infringe copyright, industrial property rights, confidentiality obligations or other third-party rights;</w:t>
      </w:r>
    </w:p>
    <w:p>
      <w:pPr>
        <w:keepNext/>
        <w:widowControl/>
        <w:spacing w:after="60"/>
        <w:ind w:left="255" w:hanging="255"/>
      </w:pPr>
      <w:r>
        <w:t>c) properly acknowledge the sources and authors of the materials used;</w:t>
      </w:r>
    </w:p>
    <w:p>
      <w:pPr>
        <w:widowControl/>
        <w:spacing w:after="60"/>
        <w:ind w:left="255" w:hanging="255"/>
      </w:pPr>
      <w:r>
        <w:t>d) comply with the terms of any applicable licences.</w:t>
      </w:r>
    </w:p>
    <w:p>
      <w:pPr>
        <w:widowControl/>
        <w:numPr>
          <w:ilvl w:val="0"/>
          <w:numId w:val="16"/>
        </w:numPr>
        <w:ind w:left="312" w:hanging="312"/>
      </w:pPr>
      <w:r>
        <w:t>The use of third-party materials, software, databases, images, trademarks or other content must be expressly declared. The rights of the respective holders in pre-existing materials incorporated into or used in the project remain unaffected.</w:t>
      </w:r>
    </w:p>
    <w:p>
      <w:pPr>
        <w:widowControl/>
        <w:numPr>
          <w:ilvl w:val="0"/>
          <w:numId w:val="16"/>
        </w:numPr>
        <w:ind w:left="312" w:hanging="312"/>
      </w:pPr>
      <w:r>
        <w:t>The use of generative artificial intelligence tools must be declared in accordance with the procedures established by the organisers. Participants must verify that the material entered into the tools and the content generated may lawfully be used, and that the relevant contractual terms are respected. Use of these tools does not automatically confer exclusive rights in the results on participants.</w:t>
      </w:r>
    </w:p>
    <w:p>
      <w:pPr>
        <w:widowControl/>
        <w:numPr>
          <w:ilvl w:val="0"/>
          <w:numId w:val="16"/>
        </w:numPr>
        <w:ind w:left="312" w:hanging="312"/>
      </w:pPr>
      <w:r>
        <w:t>Participants grant the participating universities a free, non-exclusive and non-transferable licence, for five years from the end of the Challenge, to reproduce, publish and communicate their projects in whole or in part, exclusively for institutional, educational, scientific, documentary and initiative-related communication purposes, with attribution to the authors.</w:t>
      </w:r>
    </w:p>
    <w:p>
      <w:pPr>
        <w:widowControl/>
        <w:numPr>
          <w:ilvl w:val="0"/>
          <w:numId w:val="16"/>
        </w:numPr>
        <w:ind w:left="312" w:hanging="312"/>
      </w:pPr>
      <w:r>
        <w:t>The licence referred to in paragraph 9 does not include commercial exploitation of the projects, sublicensing or transfer of the relevant rights to Google or other parties. Any further use requires a written agreement with the rights holders.</w:t>
      </w:r>
    </w:p>
    <w:p>
      <w:pPr>
        <w:widowControl/>
        <w:numPr>
          <w:ilvl w:val="0"/>
          <w:numId w:val="16"/>
        </w:numPr>
        <w:ind w:left="312" w:hanging="312"/>
      </w:pPr>
      <w:r>
        <w:t>Participants are informed that projects may be presented in a public session and that such disclosure could affect the ability to obtain patents or other industrial property protection. Participants are responsible for considering appropriate protective measures before presentation and for not disclosing confidential information or information belonging to third parties.</w:t>
      </w:r>
    </w:p>
    <w:p>
      <w:pPr>
        <w:widowControl/>
        <w:numPr>
          <w:ilvl w:val="0"/>
          <w:numId w:val="16"/>
        </w:numPr>
        <w:ind w:left="312" w:hanging="312"/>
      </w:pPr>
      <w:r>
        <w:t>In the event of disputes concerning ownership or use of content, team members cooperate with the organisers to provide the information needed for verification, without prejudice to liabilities under applicable law.</w:t>
      </w:r>
    </w:p>
    <w:p>
      <w:pPr>
        <w:pStyle w:val="Heading1"/>
      </w:pPr>
      <w:r>
        <w:t>Article 14 Processing of personal data</w:t>
      </w:r>
    </w:p>
    <w:p>
      <w:pPr>
        <w:widowControl/>
        <w:numPr>
          <w:ilvl w:val="0"/>
          <w:numId w:val="14"/>
        </w:numPr>
        <w:ind w:left="312" w:hanging="312"/>
      </w:pPr>
      <w:r>
        <w:t>Participants’ personal data are processed in accordance with Regulation (EU) 2016/679, Italian Legislative Decree No. 196 of 30 June 2003, as amended by Italian Legislative Decree No. 101 of 10 August 2018, and any further applicable personal data protection provisions.</w:t>
      </w:r>
    </w:p>
    <w:p>
      <w:pPr>
        <w:widowControl/>
        <w:numPr>
          <w:ilvl w:val="0"/>
          <w:numId w:val="14"/>
        </w:numPr>
        <w:ind w:left="312" w:hanging="312"/>
      </w:pPr>
      <w:r>
        <w:t>Data are used exclusively for purposes connected with the organisation and conduct of the Challenge.</w:t>
      </w:r>
    </w:p>
    <w:p>
      <w:pPr>
        <w:widowControl/>
        <w:numPr>
          <w:ilvl w:val="0"/>
          <w:numId w:val="14"/>
        </w:numPr>
        <w:ind w:left="312" w:hanging="312"/>
      </w:pPr>
      <w:r>
        <w:t>The data controllers and their respective roles and responsibilities are identified in the notice provided to participants under Articles 13 and 14 of Regulation (EU) 2016/679. Where processing is carried out jointly by several universities, their respective arrangements are governed by Article 26 of that Regulation.</w:t>
      </w:r>
    </w:p>
    <w:p>
      <w:pPr>
        <w:widowControl/>
        <w:numPr>
          <w:ilvl w:val="0"/>
          <w:numId w:val="14"/>
        </w:numPr>
        <w:ind w:left="312" w:hanging="312"/>
      </w:pPr>
      <w:r>
        <w:t>Photographs and audio and video recordings may be taken during activities for documentation and institutional communication purposes. Participants receive a specific notice explaining how recordings will be made and used.</w:t>
      </w:r>
    </w:p>
    <w:p>
      <w:pPr>
        <w:widowControl/>
        <w:numPr>
          <w:ilvl w:val="0"/>
          <w:numId w:val="14"/>
        </w:numPr>
        <w:ind w:left="312" w:hanging="312"/>
      </w:pPr>
      <w:r>
        <w:t>Where use of a person’s image requires their consent, it is obtained through a separate, specific and revocable declaration. Refusal to consent to use of one’s image does not affect participation in the Challenge or assessment of the project.</w:t>
      </w:r>
    </w:p>
    <w:p>
      <w:pPr>
        <w:widowControl/>
        <w:numPr>
          <w:ilvl w:val="0"/>
          <w:numId w:val="14"/>
        </w:numPr>
        <w:ind w:left="312" w:hanging="312"/>
      </w:pPr>
      <w:r>
        <w:t>Participants must not enter personal data, confidential information or third-party data into generative artificial intelligence tools unless expressly authorised and in compliance with the organisers’ instructions.</w:t>
      </w:r>
    </w:p>
    <w:p>
      <w:pPr>
        <w:pStyle w:val="Heading1"/>
      </w:pPr>
      <w:r>
        <w:t>Article 15 Liability and force majeure</w:t>
      </w:r>
    </w:p>
    <w:p>
      <w:pPr>
        <w:widowControl/>
        <w:numPr>
          <w:ilvl w:val="0"/>
          <w:numId w:val="19"/>
        </w:numPr>
        <w:ind w:left="312" w:hanging="312"/>
      </w:pPr>
      <w:r>
        <w:t>The participating universities and the Organising Committee adopt the organisational and technical measures reasonably necessary to ensure the proper conduct of the Challenge, in accordance with these Regulations and the principle of equal treatment of participants.</w:t>
      </w:r>
    </w:p>
    <w:p>
      <w:pPr>
        <w:widowControl/>
        <w:numPr>
          <w:ilvl w:val="0"/>
          <w:numId w:val="19"/>
        </w:numPr>
        <w:ind w:left="312" w:hanging="312"/>
      </w:pPr>
      <w:r>
        <w:t>The organisers are not liable for delays, interruptions or malfunctions arising from force majeure, fortuitous events, unavailability of venues or technological services or, more generally, causes not directly attributable to them.</w:t>
      </w:r>
    </w:p>
    <w:p>
      <w:pPr>
        <w:widowControl/>
        <w:numPr>
          <w:ilvl w:val="0"/>
          <w:numId w:val="19"/>
        </w:numPr>
        <w:ind w:left="312" w:hanging="312"/>
      </w:pPr>
      <w:r>
        <w:t>Where a technical or organisational impediment may affect the proper conduct of the challenge, the organisers adopt, where possible, corrective measures or alternative arrangements capable of ensuring uniform conditions for all affected teams.</w:t>
      </w:r>
    </w:p>
    <w:p>
      <w:pPr>
        <w:widowControl/>
        <w:numPr>
          <w:ilvl w:val="0"/>
          <w:numId w:val="19"/>
        </w:numPr>
        <w:ind w:left="312" w:hanging="312"/>
      </w:pPr>
      <w:r>
        <w:t>For justified organisational needs, safety reasons or unforeseen subsequent events, the organisers may modify, suspend, postpone or cancel the Challenge, promptly informing participants. Any changes must not unjustifiably affect equal treatment.</w:t>
      </w:r>
    </w:p>
    <w:p>
      <w:pPr>
        <w:keepNext/>
        <w:widowControl/>
        <w:numPr>
          <w:ilvl w:val="0"/>
          <w:numId w:val="19"/>
        </w:numPr>
        <w:ind w:left="312" w:hanging="312"/>
      </w:pPr>
      <w:r>
        <w:t>The organisers are not liable for consequences arising from:</w:t>
      </w:r>
    </w:p>
    <w:p>
      <w:pPr>
        <w:keepNext/>
        <w:widowControl/>
        <w:spacing w:after="60"/>
        <w:ind w:left="255" w:hanging="255"/>
      </w:pPr>
      <w:r>
        <w:t>a) participants’ failure to comply with these Regulations or the operational instructions;</w:t>
      </w:r>
    </w:p>
    <w:p>
      <w:pPr>
        <w:keepNext/>
        <w:widowControl/>
        <w:spacing w:after="60"/>
        <w:ind w:left="255" w:hanging="255"/>
      </w:pPr>
      <w:r>
        <w:t>b) improper use of the technological tools provided;</w:t>
      </w:r>
    </w:p>
    <w:p>
      <w:pPr>
        <w:keepNext/>
        <w:widowControl/>
        <w:spacing w:after="60"/>
        <w:ind w:left="255" w:hanging="255"/>
      </w:pPr>
      <w:r>
        <w:t>c) participants entering or disseminating personal data, confidential information or third-party content without the necessary authorisation;</w:t>
      </w:r>
    </w:p>
    <w:p>
      <w:pPr>
        <w:widowControl/>
        <w:spacing w:after="60"/>
        <w:ind w:left="255" w:hanging="255"/>
      </w:pPr>
      <w:r>
        <w:t>d) participants’ infringement of copyright, industrial property rights or the terms of use of the platforms used.</w:t>
      </w:r>
    </w:p>
    <w:p>
      <w:pPr>
        <w:widowControl/>
        <w:numPr>
          <w:ilvl w:val="0"/>
          <w:numId w:val="15"/>
        </w:numPr>
        <w:ind w:left="312" w:hanging="312"/>
      </w:pPr>
      <w:r>
        <w:t>The liabilities of the universities, organisers and other parties involved remain unaffected in the cases and within the limits mandatorily prescribed by law.</w:t>
      </w:r>
    </w:p>
    <w:p>
      <w:pPr>
        <w:pStyle w:val="Heading1"/>
      </w:pPr>
      <w:r>
        <w:t>Article 16 Acceptance of the Regulations</w:t>
      </w:r>
    </w:p>
    <w:p>
      <w:pPr>
        <w:keepNext/>
        <w:widowControl/>
        <w:numPr>
          <w:ilvl w:val="0"/>
          <w:numId w:val="1"/>
        </w:numPr>
        <w:ind w:left="312" w:hanging="312"/>
      </w:pPr>
      <w:r>
        <w:t>By applying, participants:</w:t>
      </w:r>
    </w:p>
    <w:p>
      <w:pPr>
        <w:keepNext/>
        <w:widowControl/>
        <w:numPr>
          <w:ilvl w:val="1"/>
          <w:numId w:val="1"/>
        </w:numPr>
        <w:ind w:left="567" w:hanging="255"/>
      </w:pPr>
      <w:r>
        <w:t>accept that the initiative is not a public recruitment or prize competition;</w:t>
      </w:r>
    </w:p>
    <w:p>
      <w:pPr>
        <w:keepNext/>
        <w:widowControl/>
        <w:numPr>
          <w:ilvl w:val="1"/>
          <w:numId w:val="1"/>
        </w:numPr>
        <w:ind w:left="567" w:hanging="255"/>
      </w:pPr>
      <w:r>
        <w:t>declare that they are familiar with and fully accept these Regulations;</w:t>
      </w:r>
    </w:p>
    <w:p>
      <w:pPr>
        <w:keepNext/>
        <w:widowControl/>
        <w:numPr>
          <w:ilvl w:val="1"/>
          <w:numId w:val="1"/>
        </w:numPr>
        <w:ind w:left="567" w:hanging="255"/>
      </w:pPr>
      <w:r>
        <w:t>acknowledge that project assessment falls within the technical discretion of the judging panels;</w:t>
      </w:r>
    </w:p>
    <w:p>
      <w:pPr>
        <w:widowControl/>
        <w:numPr>
          <w:ilvl w:val="1"/>
          <w:numId w:val="1"/>
        </w:numPr>
        <w:ind w:left="567" w:hanging="255"/>
      </w:pPr>
      <w:r>
        <w:t>accept that requests aimed solely at obtaining a fresh assessment of a project’s merits are not permitted.</w:t>
      </w:r>
    </w:p>
    <w:p>
      <w:pPr>
        <w:pStyle w:val="Heading1"/>
      </w:pPr>
      <w:r>
        <w:t>Article 17 Consistency across universities</w:t>
      </w:r>
    </w:p>
    <w:p>
      <w:pPr>
        <w:widowControl/>
        <w:numPr>
          <w:ilvl w:val="0"/>
          <w:numId w:val="22"/>
        </w:numPr>
        <w:ind w:left="312" w:hanging="312"/>
      </w:pPr>
      <w:r>
        <w:t>These Regulations are adopted jointly by the ten participating universities.</w:t>
      </w:r>
    </w:p>
    <w:p>
      <w:pPr>
        <w:widowControl/>
        <w:numPr>
          <w:ilvl w:val="0"/>
          <w:numId w:val="22"/>
        </w:numPr>
        <w:ind w:left="312" w:hanging="312"/>
      </w:pPr>
      <w:r>
        <w:t>Unilateral substantive amendments are not permitted.</w:t>
      </w:r>
    </w:p>
    <w:p>
      <w:pPr>
        <w:widowControl/>
        <w:numPr>
          <w:ilvl w:val="0"/>
          <w:numId w:val="22"/>
        </w:numPr>
        <w:ind w:left="312" w:hanging="312"/>
      </w:pPr>
      <w:r>
        <w:t>Any interpretative clarifications are agreed jointly.</w:t>
      </w:r>
    </w:p>
    <w:p>
      <w:pPr>
        <w:pStyle w:val="Heading1"/>
      </w:pPr>
      <w:r>
        <w:t>Article 18 Applicable law and competent court</w:t>
      </w:r>
    </w:p>
    <w:p>
      <w:pPr>
        <w:widowControl/>
        <w:numPr>
          <w:ilvl w:val="0"/>
          <w:numId w:val="18"/>
        </w:numPr>
        <w:ind w:left="312" w:hanging="312"/>
      </w:pPr>
      <w:r>
        <w:t>These Regulations and the selection procedure are governed by Italian law and the legislation applicable to the participating universities.</w:t>
      </w:r>
    </w:p>
    <w:p>
      <w:pPr>
        <w:widowControl/>
        <w:numPr>
          <w:ilvl w:val="0"/>
          <w:numId w:val="18"/>
        </w:numPr>
        <w:ind w:left="312" w:hanging="312"/>
      </w:pPr>
      <w:r>
        <w:t>For any disputes concerning the selection procedure, jurisdiction and territorial competence are determined in accordance with mandatory legal provisions, taking account of the nature of the dispute and the university to which the contested act or conduct is attributable.</w:t>
      </w:r>
    </w:p>
    <w:p>
      <w:pPr>
        <w:widowControl/>
        <w:numPr>
          <w:ilvl w:val="0"/>
          <w:numId w:val="18"/>
        </w:numPr>
        <w:ind w:left="312" w:hanging="312"/>
      </w:pPr>
      <w:r>
        <w:t>Submitting a request for review under Article 12 does not preclude recourse to the administrative or judicial remedies provided by law.</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19/09/2026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55555"/>
        <w:sz w:val="16"/>
      </w:rPr>
      <w:t>GOOGLE CHALLENGE HAMU 2026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59" w:lineRule="auto"/>
    </w:pPr>
    <w:rPr>
      <w:rFonts w:ascii="Arial" w:hAnsi="Arial"/>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59"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0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160" w:line="259" w:lineRule="auto"/>
      <w:contextualSpacing/>
    </w:pPr>
    <w:rPr>
      <w:rFonts w:asciiTheme="majorHAnsi" w:eastAsiaTheme="majorEastAsia" w:hAnsiTheme="majorHAnsi" w:cstheme="majorBidi" w:ascii="Arial" w:hAnsi="Arial"/>
      <w:color w:val="000000"/>
      <w:spacing w:val="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spacing w:after="100" w:line="259" w:lineRule="auto"/>
    </w:pPr>
    <w:rPr>
      <w:rFonts w:asciiTheme="majorHAnsi" w:eastAsiaTheme="majorEastAsia" w:hAnsiTheme="majorHAnsi" w:cstheme="majorBidi" w:ascii="Arial" w:hAnsi="Arial"/>
      <w:i w:val="0"/>
      <w:iCs/>
      <w:color w:val="000000"/>
      <w:spacing w:val="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60" w:line="259" w:lineRule="auto"/>
      <w:ind w:left="255" w:hanging="113"/>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Challenge HAMU 2026</dc:title>
  <dc:subject>Unified regulations in English</dc:subject>
  <dc:creator/>
  <cp:keywords/>
  <dc:description/>
  <cp:lastModifiedBy/>
  <cp:revision>1</cp:revision>
  <dcterms:created xsi:type="dcterms:W3CDTF">2013-12-23T23:15:00Z</dcterms:created>
  <dcterms:modified xsi:type="dcterms:W3CDTF">2013-12-23T23:15:00Z</dcterms:modified>
  <cp:category/>
</cp:coreProperties>
</file>