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Avviso di selezione</w:t>
      </w:r>
    </w:p>
    <w:p>
      <w:pPr>
        <w:pStyle w:val="Subtitle"/>
      </w:pPr>
      <w:r>
        <w:t>Google Challenge HAMU 2026</w:t>
      </w:r>
    </w:p>
    <w:p>
      <w:pPr>
        <w:pStyle w:val="Heading2"/>
      </w:pPr>
      <w:r>
        <w:t>Atenei HAMU di Abruzzo Marche e Umbria</w:t>
      </w:r>
    </w:p>
    <w:p>
      <w:r>
        <w:t>Estremi dell’atto di approvazione [DA INSERIRE]</w:t>
      </w:r>
    </w:p>
    <w:p>
      <w:r>
        <w:t>Gli Atenei aderenti promuovono la partecipazione alla Google Challenge HAMU 2026, iniziativa interuniversitaria realizzata in collaborazione con Google for Education per sviluppare competenze nell’uso consapevole, responsabile e creativo dell’intelligenza artificiale generativa. La partecipazione è gratuita.</w:t>
      </w:r>
    </w:p>
    <w:p>
      <w:pPr>
        <w:pStyle w:val="Heading1"/>
      </w:pPr>
      <w:r>
        <w:t>Destinatari e requisiti</w:t>
      </w:r>
    </w:p>
    <w:p>
      <w:r>
        <w:t>Possono candidarsi le studentesse e gli studenti regolarmente iscritti, alla scadenza delle candidature, a corsi di laurea, laurea magistrale o laurea magistrale a ciclo unico presso uno degli Atenei aderenti e in regola con il pagamento delle tasse. Il Gran Sasso Science Institute può ammettere anche dottorandi del primo e del secondo anno. L’iscrizione deve permanere fino alla conclusione della finale, da svolgersi al più entro la fine del 2026. I requisiti sono dichiarati nella candidatura e verificati dall’Ateneo di appartenenza secondo l’articolo 3 del Regolamento. Il Comitato Organizzatore può escludere, anche a posteriori, chi non rispetti i requisiti di partecipazione.</w:t>
      </w:r>
    </w:p>
    <w:p>
      <w:pPr>
        <w:pStyle w:val="Heading1"/>
      </w:pPr>
      <w:r>
        <w:t>Candidatura individuale</w:t>
      </w:r>
    </w:p>
    <w:p>
      <w:r>
        <w:t>La candidatura deve essere presentata entro il 3 novembre 2026, alle ore [DA DEFINIRE], fuso orario Europe/Rome, tramite il form unico [URL DEFINITIVO DA INSERIRE]. Il termine e il collegamento devono essere riportati anche nella pagina istituzionale dell’iniziativa.</w:t>
      </w:r>
    </w:p>
    <w:p>
      <w:r>
        <w:t>Prima dell’invio, il candidato prende visione e accetta il Regolamento e dichiara di aver ricevuto l’informativa sul trattamento dei dati personali [LINK DA INSERIRE]. Le candidature incomplete o tardive sono escluse; ai sensi dell’articolo 4 del Regolamento non è ammesso soccorso istruttorio.</w:t>
      </w:r>
    </w:p>
    <w:p>
      <w:pPr>
        <w:pStyle w:val="Heading1"/>
      </w:pPr>
      <w:r>
        <w:t>Calendario e sedi</w:t>
      </w:r>
    </w:p>
    <w:tbl>
      <w:tblPr>
        <w:tblW w:type="auto" w:w="0"/>
        <w:jc w:val="center"/>
        <w:tblLayout w:type="fixed"/>
        <w:tblLook w:firstColumn="1" w:firstRow="1" w:lastColumn="0" w:lastRow="0" w:noHBand="0" w:noVBand="1" w:val="04A0"/>
      </w:tblPr>
      <w:tblGrid>
        <w:gridCol w:w="5272"/>
        <w:gridCol w:w="4365"/>
      </w:tblGrid>
      <w:tr>
        <w:trPr>
          <w:tblHeader/>
          <w:cantSplit/>
        </w:trPr>
        <w:tc>
          <w:tcPr>
            <w:tcW w:type="dxa" w:w="5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Attività</w:t>
            </w:r>
          </w:p>
        </w:tc>
        <w:tc>
          <w:tcPr>
            <w:tcW w:type="dxa" w:w="43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center"/>
            </w:pPr>
            <w:r>
              <w:rPr>
                <w:b/>
                <w:sz w:val="19"/>
              </w:rPr>
              <w:t>Termine o data</w:t>
            </w:r>
          </w:p>
        </w:tc>
      </w:tr>
      <w:tr>
        <w:trPr>
          <w:cantSplit/>
        </w:trPr>
        <w:tc>
          <w:tcPr>
            <w:tcW w:type="dxa" w:w="5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Chiusura candidature</w:t>
            </w:r>
          </w:p>
        </w:tc>
        <w:tc>
          <w:tcPr>
            <w:tcW w:type="dxa" w:w="43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3 novembre 2026, ore [DA DEFINIRE]</w:t>
            </w:r>
          </w:p>
        </w:tc>
      </w:tr>
      <w:tr>
        <w:trPr>
          <w:cantSplit/>
        </w:trPr>
        <w:tc>
          <w:tcPr>
            <w:tcW w:type="dxa" w:w="5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Comunicazione di team, temi e sede assegnata</w:t>
            </w:r>
          </w:p>
        </w:tc>
        <w:tc>
          <w:tcPr>
            <w:tcW w:type="dxa" w:w="43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Entro il 6 novembre 2026</w:t>
            </w:r>
          </w:p>
        </w:tc>
      </w:tr>
      <w:tr>
        <w:trPr>
          <w:cantSplit/>
        </w:trPr>
        <w:tc>
          <w:tcPr>
            <w:tcW w:type="dxa" w:w="5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Fase preliminare nelle tre sedi regionali</w:t>
            </w:r>
          </w:p>
        </w:tc>
        <w:tc>
          <w:tcPr>
            <w:tcW w:type="dxa" w:w="43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13 novembre 2026</w:t>
            </w:r>
          </w:p>
        </w:tc>
      </w:tr>
      <w:tr>
        <w:trPr>
          <w:cantSplit/>
        </w:trPr>
        <w:tc>
          <w:tcPr>
            <w:tcW w:type="dxa" w:w="5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val="0"/>
                <w:sz w:val="19"/>
              </w:rPr>
              <w:t>Finale presso l’Università degli Studi dell’Aquila</w:t>
            </w:r>
          </w:p>
        </w:tc>
        <w:tc>
          <w:tcPr>
            <w:tcW w:type="dxa" w:w="43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center"/>
            </w:pPr>
            <w:r>
              <w:rPr>
                <w:b w:val="0"/>
                <w:sz w:val="19"/>
              </w:rPr>
              <w:t>Data, sede specifica e orari da comunicare; entro la fine del 2026</w:t>
            </w:r>
          </w:p>
        </w:tc>
      </w:tr>
    </w:tbl>
    <w:p>
      <w:pPr>
        <w:spacing w:after="0"/>
      </w:pPr>
    </w:p>
    <w:p>
      <w:r>
        <w:t>Il Comitato Organizzatore assegna la sede della fase preliminare, che può non coincidere con l’Ateneo di iscrizione. Le sedi regionali, gli orari e le istruzioni operative saranno comunicati ai partecipanti nei termini previsti dal Regolamento.</w:t>
      </w:r>
    </w:p>
    <w:p>
      <w:pPr>
        <w:pStyle w:val="Heading1"/>
        <w:pageBreakBefore/>
      </w:pPr>
      <w:r>
        <w:t>Team e svolgimento della prova</w:t>
      </w:r>
    </w:p>
    <w:p>
      <w:r>
        <w:t>I team sono formati dal Comitato Organizzatore secondo criteri predeterminati e uniformi, tenendo conto ove possibile dell’eterogeneità delle competenze e della provenienza accademica. Ogni team comprende da 5 a 7 studenti e sceglie uno dei quattro temi proposti. La durata massima per elaborare la proposta nella fase preliminare è di quattro ore. La presentazione alla Commissione dura al massimo sette minuti e può essere seguita da domande.</w:t>
      </w:r>
    </w:p>
    <w:p>
      <w:r>
        <w:t>Sono utilizzabili esclusivamente gli strumenti indicati dall’organizzazione; ulteriori applicazioni, fonti o strumenti sono consentiti soltanto se previsti nelle istruzioni operative. Si applicano gli obblighi di uso responsabile dell’IA, verifica dei contenuti, dichiarazione degli strumenti impiegati e rispetto dei diritti di terzi stabiliti dal Regolamento.</w:t>
      </w:r>
    </w:p>
    <w:p>
      <w:pPr>
        <w:pStyle w:val="Heading1"/>
      </w:pPr>
      <w:r>
        <w:t>Valutazione e accesso alla finale</w:t>
      </w:r>
    </w:p>
    <w:p>
      <w:r>
        <w:t>La griglia comune assegna fino a 100 punti: innovatività 30; impatto sul territorio o sulla comunità 25; fattibilità tecnica 20; qualità dell’uso dell’IA generativa 15; chiarezza e qualità della presentazione 10. La formazione delle graduatorie, le parità di punteggio, le rinunce e gli scorrimenti sono disciplinati dagli articoli 8, 9 e 10 del Regolamento.</w:t>
      </w:r>
    </w:p>
    <w:p>
      <w:r>
        <w:t>Accedono alla finale fino a 36 team: i primi tre per ciascuno dei quattro temi in ognuna delle tre sedi, fino a 12 team per sede, con la riassegnazione dei posti prevista dall’articolo 10. Nella finale, presso l’Università degli Studi dell’Aquila, ogni team presenta un progetto sullo stesso tema scelto nella preliminare, che può sviluppare o perfezionare secondo le istruzioni del Comitato. La valutazione è autonoma rispetto alla preliminare e viene proclamato un vincitore per tema, secondo l’articolo 11.</w:t>
      </w:r>
    </w:p>
    <w:p>
      <w:pPr>
        <w:pStyle w:val="Heading1"/>
      </w:pPr>
      <w:r>
        <w:t>Esiti e richieste di riesame</w:t>
      </w:r>
    </w:p>
    <w:p>
      <w:r>
        <w:t>Gli esiti sono pubblicati sui siti istituzionali degli Atenei interessati; la pubblicazione costituisce comunicazione ufficiale. Le osservazioni devono essere presentate entro 24 ore dalla pubblicazione tramite [CANALE E DESTINATARIO DA DEFINIRE]. Ai sensi dell’articolo 12, possono riguardare solo errori materiali manifesti, incongruenze aritmetiche o violazioni evidenti dei criteri; non sono ammesse contestazioni sul merito valutativo o comparativo. L’articolo 18 mantiene ferma la possibilità di ricorrere agli strumenti di tutela amministrativa e giurisdizionale.</w:t>
      </w:r>
    </w:p>
    <w:p>
      <w:pPr>
        <w:pStyle w:val="Heading1"/>
      </w:pPr>
      <w:r>
        <w:t>Condizioni di partecipazione e proprietà intellettuale</w:t>
      </w:r>
    </w:p>
    <w:p>
      <w:r>
        <w:t>La partecipazione è gratuita e non comporta premi, compensi, contributi o altri benefici economici. Ai vincitori possono essere attribuiti riconoscimenti privi di valore economico. Non sono previsti rimborsi spese o altre forme di supporto economico da parte degli Atenei HAMU.</w:t>
      </w:r>
    </w:p>
    <w:p>
      <w:r>
        <w:t>La partecipazione non trasferisce i diritti sui progetti agli Atenei, al Comitato, alle Commissioni o a Google. L’articolo 13 prevede una licenza gratuita, non esclusiva e non cedibile agli Atenei, per cinque anni dalla conclusione della Challenge e per le sole finalità istituzionali, didattiche, scientifiche, documentali e di comunicazione dell’iniziativa, con indicazione degli autori. Sono esclusi sfruttamento commerciale, sublicenze e trasferimento dei diritti a Google o ad altri soggetti; ulteriori usi richiedono un accordo scritto con i titolari.</w:t>
      </w:r>
    </w:p>
    <w:p>
      <w:r>
        <w:t>Le presentazioni possono essere pubbliche e la divulgazione può incidere sulla possibilità di ottenere brevetti o altri titoli di proprietà industriale. Si rinvia all’articolo 13 anche per originalità dei materiali, diritti di terzi e dichiarazione dell’uso dell’IA.</w:t>
      </w:r>
    </w:p>
    <w:p>
      <w:pPr>
        <w:pStyle w:val="Heading1"/>
        <w:pageBreakBefore/>
      </w:pPr>
      <w:r>
        <w:t>Dati personali e riprese</w:t>
      </w:r>
    </w:p>
    <w:p>
      <w:r>
        <w:t>Il trattamento dei dati personali è descritto nell’informativa [LINK DA INSERIRE], che identifica titolari, ruoli e responsabilità. Durante le attività possono essere effettuate riprese fotografiche, audio e video per documentazione e comunicazione istituzionale, con specifica informativa. Quando richiesto, il consenso all’uso dell’immagine è acquisito separatamente ed è specifico e revocabile; il mancato consenso non pregiudica partecipazione o valutazione. Restano applicabili le disposizioni dell’articolo 14 e, per quanto non riportato nell’avviso, dell’intero Regolamento.</w:t>
      </w:r>
    </w:p>
    <w:p>
      <w:pPr>
        <w:pStyle w:val="Heading1"/>
      </w:pPr>
      <w:r>
        <w:t>Documenti e contatti</w:t>
      </w:r>
    </w:p>
    <w:p>
      <w:r>
        <w:t>Regolamento italiano in PDF [LINK]; traduzione inglese [LINK]; informativa privacy e informativa sulle riprese [LINK]; pagina dell’iniziativa [URL]. Contatto organizzativo [UFFICIO O REFERENTE E INDIRIZZO DA INDICARE].</w:t>
      </w:r>
    </w:p>
    <w:p>
      <w:pPr>
        <w:pStyle w:val="Heading1"/>
      </w:pPr>
      <w:r>
        <w:t>Atenei aderenti</w:t>
      </w:r>
    </w:p>
    <w:p>
      <w:r>
        <w:t>Università degli Studi dell’Aquila; Università di Macerata; Università Politecnica delle Marche; Università degli Studi di Perugia; Università degli Studi di Teramo; Università degli Studi “Gabriele d’Annunzio” Chieti-Pescara; Università per Stranieri di Perugia; Università di Camerino; Gran Sasso Science Institute; Università degli Studi di Urbino Carlo Bo.</w:t>
      </w:r>
    </w:p>
    <w:p>
      <w:r>
        <w:t>Luogo e data [DA INSERIRE]     Soggetto competente e firma [DA INSERIRE]</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01/10/2026 | Allineato al PDF ricevuto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55555"/>
        <w:sz w:val="16"/>
      </w:rPr>
      <w:t>GOOGLE CHALLENGE HAMU 2026  |  BOZZA DA COMPLETARE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69" w:lineRule="auto"/>
    </w:pPr>
    <w:rPr>
      <w:rFonts w:ascii="Arial" w:hAnsi="Arial"/>
      <w:color w:val="000000"/>
      <w:sz w:val="22"/>
      <w:lang w:val="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59"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0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160" w:line="259" w:lineRule="auto"/>
      <w:contextualSpacing/>
    </w:pPr>
    <w:rPr>
      <w:rFonts w:asciiTheme="majorHAnsi" w:eastAsiaTheme="majorEastAsia" w:hAnsiTheme="majorHAnsi" w:cstheme="majorBidi" w:ascii="Arial" w:hAnsi="Arial"/>
      <w:color w:val="000000"/>
      <w:spacing w:val="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after="100" w:line="259" w:lineRule="auto"/>
    </w:pPr>
    <w:rPr>
      <w:rFonts w:asciiTheme="majorHAnsi" w:eastAsiaTheme="majorEastAsia" w:hAnsiTheme="majorHAnsi" w:cstheme="majorBidi" w:ascii="Arial" w:hAnsi="Arial"/>
      <w:i w:val="0"/>
      <w:iCs/>
      <w:color w:val="000000"/>
      <w:spacing w:val="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line="259" w:lineRule="auto"/>
      <w:ind w:left="255" w:hanging="113"/>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Avviso di selezione</dc:title>
  <dc:subject>Avviso di selezione allineato al regolamento unificato PDF ricevuto il 1 ottobre 2026</dc:subject>
  <dc:creator/>
  <cp:keywords/>
  <dc:description/>
  <cp:lastModifiedBy/>
  <cp:revision>1</cp:revision>
  <dcterms:created xsi:type="dcterms:W3CDTF">2013-12-23T23:15:00Z</dcterms:created>
  <dcterms:modified xsi:type="dcterms:W3CDTF">2026-10-01T05:38:45Z</dcterms:modified>
  <cp:category/>
</cp:coreProperties>
</file>