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Challenge HAMU 2026</w:t>
      </w:r>
    </w:p>
    <w:p>
      <w:pPr>
        <w:pStyle w:val="Subtitle"/>
      </w:pPr>
      <w:r>
        <w:t>Regolamento unificato in italiano</w:t>
      </w:r>
    </w:p>
    <w:p>
      <w:pPr>
        <w:pStyle w:val="Heading1"/>
      </w:pPr>
      <w:r>
        <w:t>Articolo 1 Oggetto e finalità</w:t>
      </w:r>
    </w:p>
    <w:p>
      <w:pPr>
        <w:widowControl/>
        <w:numPr>
          <w:ilvl w:val="0"/>
          <w:numId w:val="23"/>
        </w:numPr>
        <w:spacing w:after="80" w:line="259" w:lineRule="auto"/>
        <w:ind w:left="312" w:hanging="312"/>
      </w:pPr>
      <w:r>
        <w:t>La Challenge è un’iniziativa interuniversitaria a carattere formativo, culturale e progettuale, realizzata in collaborazione con Google for Education e rivolta agli studenti degli Atenei HAMU delle Regioni Abruzzo, Marche e Umbria. L’iniziativa ha natura esclusivamente formativa, culturale e rappresentativa.</w:t>
      </w:r>
    </w:p>
    <w:p>
      <w:pPr>
        <w:widowControl/>
        <w:numPr>
          <w:ilvl w:val="0"/>
          <w:numId w:val="23"/>
        </w:numPr>
        <w:spacing w:after="80" w:line="259" w:lineRule="auto"/>
        <w:ind w:left="312" w:hanging="312"/>
      </w:pPr>
      <w:r>
        <w:t>La Challenge si compone di due fasi: una “fase preliminare” volta all’individuazione dei team che rappresenteranno gli Atenei alla finale Google Challenge HAMU 2026, e una “fase finale”, volta alla selezione dei team vincitori tra coloro che avranno superato la fase preliminare. Il presente Regolamento disciplina la gestione delle due fasi.</w:t>
      </w:r>
    </w:p>
    <w:p>
      <w:pPr>
        <w:widowControl/>
        <w:numPr>
          <w:ilvl w:val="0"/>
          <w:numId w:val="23"/>
        </w:numPr>
        <w:spacing w:after="80" w:line="259" w:lineRule="auto"/>
        <w:ind w:left="312" w:hanging="312"/>
      </w:pPr>
      <w:r>
        <w:t>L’iniziativa è finalizzata a promuovere lo sviluppo di competenze nell’utilizzo consapevole, responsabile e creativo degli strumenti di intelligenza artificiale generativa, attraverso l’elaborazione e la presentazione di proposte progettuali coerenti con le modalità e i criteri stabiliti dal presente Regolamento.</w:t>
      </w:r>
    </w:p>
    <w:p>
      <w:pPr>
        <w:widowControl/>
        <w:numPr>
          <w:ilvl w:val="0"/>
          <w:numId w:val="23"/>
        </w:numPr>
        <w:spacing w:after="80" w:line="259" w:lineRule="auto"/>
        <w:ind w:left="312" w:hanging="312"/>
      </w:pPr>
      <w:r>
        <w:t>La fase preliminare si svolge presso le sedi regionali individuate dal Comitato Organizzatore. La fase finale si terrà presso l’Università degli Studi dell’Aquila. Entrambe le fasi si svolgeranno secondo regole comuni, al fine di garantire uniformità delle procedure, trasparenza e parità di trattamento tra i partecipanti.</w:t>
      </w:r>
    </w:p>
    <w:p>
      <w:pPr>
        <w:keepNext/>
        <w:widowControl/>
        <w:numPr>
          <w:ilvl w:val="0"/>
          <w:numId w:val="23"/>
        </w:numPr>
        <w:spacing w:after="80" w:line="259" w:lineRule="auto"/>
        <w:ind w:left="312" w:hanging="312"/>
      </w:pPr>
      <w:r>
        <w:t>La selezione non costituisce:</w:t>
      </w:r>
    </w:p>
    <w:p>
      <w:pPr>
        <w:keepNext/>
        <w:widowControl/>
        <w:numPr>
          <w:ilvl w:val="1"/>
          <w:numId w:val="23"/>
        </w:numPr>
        <w:spacing w:after="80" w:line="259" w:lineRule="auto"/>
        <w:ind w:left="567" w:hanging="255"/>
      </w:pPr>
      <w:r>
        <w:t>concorso pubblico;</w:t>
      </w:r>
    </w:p>
    <w:p>
      <w:pPr>
        <w:keepNext/>
        <w:widowControl/>
        <w:numPr>
          <w:ilvl w:val="1"/>
          <w:numId w:val="23"/>
        </w:numPr>
        <w:spacing w:after="80" w:line="259" w:lineRule="auto"/>
        <w:ind w:left="567" w:hanging="255"/>
      </w:pPr>
      <w:r>
        <w:t>procedura comparativa per l’accesso a impieghi o incarichi;</w:t>
      </w:r>
    </w:p>
    <w:p>
      <w:pPr>
        <w:keepNext/>
        <w:widowControl/>
        <w:numPr>
          <w:ilvl w:val="1"/>
          <w:numId w:val="23"/>
        </w:numPr>
        <w:spacing w:after="80" w:line="259" w:lineRule="auto"/>
        <w:ind w:left="567" w:hanging="255"/>
      </w:pPr>
      <w:r>
        <w:t>procedura per l’attribuzione di benefici economici;</w:t>
      </w:r>
    </w:p>
    <w:p>
      <w:pPr>
        <w:widowControl/>
        <w:numPr>
          <w:ilvl w:val="1"/>
          <w:numId w:val="23"/>
        </w:numPr>
        <w:spacing w:after="80" w:line="259" w:lineRule="auto"/>
        <w:ind w:left="567" w:hanging="255"/>
      </w:pPr>
      <w:r>
        <w:t>concorso a premio ai sensi del DPR 430/2001.</w:t>
      </w:r>
    </w:p>
    <w:p>
      <w:pPr>
        <w:pStyle w:val="Heading1"/>
      </w:pPr>
      <w:r>
        <w:t>Articolo 2 Natura e caratteristiche dell’iniziativa</w:t>
      </w:r>
    </w:p>
    <w:p>
      <w:pPr>
        <w:widowControl/>
        <w:numPr>
          <w:ilvl w:val="0"/>
          <w:numId w:val="21"/>
        </w:numPr>
        <w:spacing w:after="80" w:line="259" w:lineRule="auto"/>
        <w:ind w:left="312" w:hanging="312"/>
      </w:pPr>
      <w:r>
        <w:t>La Google Challenge HAMU 2026 costituisce una procedura di selezione a carattere formativo.</w:t>
      </w:r>
    </w:p>
    <w:p>
      <w:pPr>
        <w:widowControl/>
        <w:numPr>
          <w:ilvl w:val="0"/>
          <w:numId w:val="21"/>
        </w:numPr>
        <w:spacing w:after="80" w:line="259" w:lineRule="auto"/>
        <w:ind w:left="312" w:hanging="312"/>
      </w:pPr>
      <w:r>
        <w:t>La selezione non costituisce un concorso pubblico né una procedura comparativa per l’accesso a rapporti di lavoro, incarichi o altri rapporti di collaborazione con gli Atenei aderenti o con Google.</w:t>
      </w:r>
    </w:p>
    <w:p>
      <w:pPr>
        <w:widowControl/>
        <w:numPr>
          <w:ilvl w:val="0"/>
          <w:numId w:val="21"/>
        </w:numPr>
        <w:spacing w:after="80" w:line="259" w:lineRule="auto"/>
        <w:ind w:left="312" w:hanging="312"/>
      </w:pPr>
      <w:r>
        <w:t>La partecipazione è gratuita e non comporta l’attribuzione di premi, compensi, contributi o altri benefici economici. Ai team vincitori possono essere attribuiti attestati, menzioni o altri riconoscimenti privi di valore economico.</w:t>
      </w:r>
    </w:p>
    <w:p>
      <w:pPr>
        <w:widowControl/>
        <w:numPr>
          <w:ilvl w:val="0"/>
          <w:numId w:val="21"/>
        </w:numPr>
        <w:spacing w:after="80" w:line="259" w:lineRule="auto"/>
        <w:ind w:left="312" w:hanging="312"/>
      </w:pPr>
      <w:r>
        <w:t>Non sono previsti rimborsi spese o altre forme di supporto economico da parte degli Atenei HAMU.</w:t>
      </w:r>
    </w:p>
    <w:p>
      <w:pPr>
        <w:widowControl/>
        <w:numPr>
          <w:ilvl w:val="0"/>
          <w:numId w:val="21"/>
        </w:numPr>
        <w:spacing w:after="80" w:line="259" w:lineRule="auto"/>
        <w:ind w:left="312" w:hanging="312"/>
      </w:pPr>
      <w:r>
        <w:t>L’ammissione alla fase finale non determina l’instaurazione di alcun rapporto contrattuale, professionale o lavorativo con gli Atenei aderenti, con il Comitato Organizzatore o con Google.</w:t>
      </w:r>
    </w:p>
    <w:p>
      <w:pPr>
        <w:widowControl/>
        <w:numPr>
          <w:ilvl w:val="0"/>
          <w:numId w:val="21"/>
        </w:numPr>
        <w:spacing w:after="80" w:line="259" w:lineRule="auto"/>
        <w:ind w:left="312" w:hanging="312"/>
      </w:pPr>
      <w:r>
        <w:t>Lo svolgimento della selezione è improntato ai principi di trasparenza, imparzialità, parità di trattamento e pubblicità degli esiti.</w:t>
      </w:r>
    </w:p>
    <w:p>
      <w:pPr>
        <w:pStyle w:val="Heading1"/>
      </w:pPr>
      <w:r>
        <w:t>Articolo 3 Requisiti di partecipazione</w:t>
      </w:r>
    </w:p>
    <w:p>
      <w:pPr>
        <w:widowControl/>
        <w:numPr>
          <w:ilvl w:val="0"/>
          <w:numId w:val="7"/>
        </w:numPr>
        <w:spacing w:after="80" w:line="259" w:lineRule="auto"/>
        <w:ind w:left="312" w:hanging="312"/>
      </w:pPr>
      <w:r>
        <w:t>Possono partecipare alla fase preliminare gli studenti che, alla data di scadenza del termine per la presentazione delle candidature, risultino regolarmente iscritti (ed in regola con il pagamento delle tasse) a un corso di laurea, di laurea magistrale o di laurea magistrale a ciclo unico presso uno degli Atenei aderenti alla Google Challenge HAMU 2026.</w:t>
      </w:r>
    </w:p>
    <w:p>
      <w:pPr>
        <w:widowControl/>
        <w:numPr>
          <w:ilvl w:val="0"/>
          <w:numId w:val="7"/>
        </w:numPr>
        <w:spacing w:after="80" w:line="259" w:lineRule="auto"/>
        <w:ind w:left="312" w:hanging="312"/>
      </w:pPr>
      <w:r>
        <w:t>In considerazione della specificità della propria offerta formativa, il Gran Sasso Science Institute può ammettere alla partecipazione anche i dottorandi iscritti al primo o al secondo anno di corso.</w:t>
      </w:r>
    </w:p>
    <w:p>
      <w:pPr>
        <w:widowControl/>
        <w:numPr>
          <w:ilvl w:val="0"/>
          <w:numId w:val="7"/>
        </w:numPr>
        <w:spacing w:after="80" w:line="259" w:lineRule="auto"/>
        <w:ind w:left="312" w:hanging="312"/>
      </w:pPr>
      <w:r>
        <w:t>Il requisito dell’iscrizione deve permanere fino alla conclusione della fase finale, che si svolgerà al più entro la fine dell’anno in corso. L’eventuale perdita del requisito deve essere tempestivamente comunicata dal partecipante all’Ateneo di appartenenza e al referente del proprio team.</w:t>
      </w:r>
    </w:p>
    <w:p>
      <w:pPr>
        <w:widowControl/>
        <w:numPr>
          <w:ilvl w:val="0"/>
          <w:numId w:val="7"/>
        </w:numPr>
        <w:spacing w:after="80" w:line="259" w:lineRule="auto"/>
        <w:ind w:left="312" w:hanging="312"/>
      </w:pPr>
      <w:r>
        <w:t>Il possesso dei requisiti è dichiarato dai partecipanti al momento della candidatura ed è verificato dall’Ateneo di appartenenza secondo le modalità previste dal relativo ordinamento.</w:t>
      </w:r>
    </w:p>
    <w:p>
      <w:pPr>
        <w:widowControl/>
        <w:numPr>
          <w:ilvl w:val="0"/>
          <w:numId w:val="7"/>
        </w:numPr>
        <w:spacing w:after="80" w:line="259" w:lineRule="auto"/>
        <w:ind w:left="312" w:hanging="312"/>
      </w:pPr>
      <w:r>
        <w:t>La mancanza dei requisiti comporta l’esclusione del partecipante dalla selezione.</w:t>
      </w:r>
    </w:p>
    <w:p>
      <w:pPr>
        <w:widowControl/>
        <w:numPr>
          <w:ilvl w:val="0"/>
          <w:numId w:val="7"/>
        </w:numPr>
        <w:spacing w:after="80" w:line="259" w:lineRule="auto"/>
        <w:ind w:left="312" w:hanging="312"/>
      </w:pPr>
      <w:r>
        <w:t>Il Comitato Organizzatore avrà il diritto di escludere, anche a posteriori, coloro che non rispettino tali requisiti.</w:t>
      </w:r>
    </w:p>
    <w:p>
      <w:pPr>
        <w:pStyle w:val="Heading1"/>
      </w:pPr>
      <w:r>
        <w:t>Articolo 4 Modalità di candidatura</w:t>
      </w:r>
    </w:p>
    <w:p>
      <w:pPr>
        <w:widowControl/>
        <w:numPr>
          <w:ilvl w:val="0"/>
          <w:numId w:val="9"/>
        </w:numPr>
        <w:spacing w:after="80" w:line="259" w:lineRule="auto"/>
        <w:ind w:left="312" w:hanging="312"/>
      </w:pPr>
      <w:r>
        <w:t>La candidatura è individuale.</w:t>
      </w:r>
    </w:p>
    <w:p>
      <w:pPr>
        <w:widowControl/>
        <w:numPr>
          <w:ilvl w:val="0"/>
          <w:numId w:val="9"/>
        </w:numPr>
        <w:spacing w:after="80" w:line="259" w:lineRule="auto"/>
        <w:ind w:left="312" w:hanging="312"/>
      </w:pPr>
      <w:r>
        <w:t>Le candidature devono essere presentate entro la data e l’ora indicate nell’avviso di selezione, utilizzando un form unico messo a disposizione dal Comitato Organizzatore.</w:t>
      </w:r>
    </w:p>
    <w:p>
      <w:pPr>
        <w:widowControl/>
        <w:numPr>
          <w:ilvl w:val="0"/>
          <w:numId w:val="9"/>
        </w:numPr>
        <w:spacing w:after="80" w:line="259" w:lineRule="auto"/>
        <w:ind w:left="312" w:hanging="312"/>
      </w:pPr>
      <w:r>
        <w:t>Le candidature incomplete o tardive sono escluse. Non è ammesso ricorso a soccorso istruttorio.</w:t>
      </w:r>
    </w:p>
    <w:p>
      <w:pPr>
        <w:widowControl/>
        <w:numPr>
          <w:ilvl w:val="0"/>
          <w:numId w:val="9"/>
        </w:numPr>
        <w:spacing w:after="80" w:line="259" w:lineRule="auto"/>
        <w:ind w:left="312" w:hanging="312"/>
      </w:pPr>
      <w:r>
        <w:t>Con la presentazione della candidatura, ciascun partecipante dichiara di aver preso visione e di accettare il presente Regolamento, nonché di aver ricevuto l’informativa sul trattamento dei dati personali.</w:t>
      </w:r>
    </w:p>
    <w:p>
      <w:pPr>
        <w:widowControl/>
        <w:numPr>
          <w:ilvl w:val="0"/>
          <w:numId w:val="9"/>
        </w:numPr>
        <w:spacing w:after="80" w:line="259" w:lineRule="auto"/>
        <w:ind w:left="312" w:hanging="312"/>
      </w:pPr>
      <w:r>
        <w:t>La sede di svolgimento della fase preliminare è assegnata dal Comitato Organizzatore e può non coincidere con l'Ateneo di iscrizione.</w:t>
      </w:r>
    </w:p>
    <w:p>
      <w:pPr>
        <w:pStyle w:val="Heading1"/>
      </w:pPr>
      <w:r>
        <w:t>Articolo 5 Composizione dei team</w:t>
      </w:r>
    </w:p>
    <w:p>
      <w:pPr>
        <w:widowControl/>
        <w:numPr>
          <w:ilvl w:val="0"/>
          <w:numId w:val="8"/>
        </w:numPr>
        <w:spacing w:after="80" w:line="259" w:lineRule="auto"/>
        <w:ind w:left="312" w:hanging="312"/>
      </w:pPr>
      <w:r>
        <w:t>Sarà compito del Comitato Organizzatore formare i team, sulla base di criteri predeterminati e uniformi, tenendo conto, ove possibile, dell’eterogeneità delle competenze e della provenienza accademica dei partecipanti. La formazione dei team verrà comunicata almeno una settimana prima della fase preliminare.</w:t>
      </w:r>
    </w:p>
    <w:p>
      <w:pPr>
        <w:widowControl/>
        <w:numPr>
          <w:ilvl w:val="0"/>
          <w:numId w:val="8"/>
        </w:numPr>
        <w:spacing w:after="80" w:line="259" w:lineRule="auto"/>
        <w:ind w:left="312" w:hanging="312"/>
      </w:pPr>
      <w:r>
        <w:t>Ciascun team sarà composto da un minimo di 5 e da un massimo di 7 studenti provenienti da atenei HAMU.</w:t>
      </w:r>
    </w:p>
    <w:p>
      <w:pPr>
        <w:pStyle w:val="Heading1"/>
      </w:pPr>
      <w:r>
        <w:t>Articolo 6 Temi progettuali e modalità di scelta</w:t>
      </w:r>
    </w:p>
    <w:p>
      <w:pPr>
        <w:widowControl/>
        <w:numPr>
          <w:ilvl w:val="0"/>
          <w:numId w:val="17"/>
        </w:numPr>
        <w:spacing w:after="80" w:line="259" w:lineRule="auto"/>
        <w:ind w:left="312" w:hanging="312"/>
      </w:pPr>
      <w:r>
        <w:t>Il Comitato Organizzatore proporrà quattro temi progettuali.</w:t>
      </w:r>
    </w:p>
    <w:p>
      <w:pPr>
        <w:widowControl/>
        <w:numPr>
          <w:ilvl w:val="0"/>
          <w:numId w:val="17"/>
        </w:numPr>
        <w:spacing w:after="80" w:line="259" w:lineRule="auto"/>
        <w:ind w:left="312" w:hanging="312"/>
      </w:pPr>
      <w:r>
        <w:t>Ciascun team potrà selezionare solo uno dei temi proposti.</w:t>
      </w:r>
    </w:p>
    <w:p>
      <w:pPr>
        <w:widowControl/>
        <w:numPr>
          <w:ilvl w:val="0"/>
          <w:numId w:val="17"/>
        </w:numPr>
        <w:spacing w:after="80" w:line="259" w:lineRule="auto"/>
        <w:ind w:left="312" w:hanging="312"/>
      </w:pPr>
      <w:r>
        <w:t>I temi saranno resi noti contestualmente alla formazione dei team.</w:t>
      </w:r>
    </w:p>
    <w:p>
      <w:pPr>
        <w:pStyle w:val="Heading1"/>
      </w:pPr>
      <w:r>
        <w:t>Articolo 7 Modalità di svolgimento della fase preliminare</w:t>
      </w:r>
    </w:p>
    <w:p>
      <w:pPr>
        <w:widowControl/>
        <w:numPr>
          <w:ilvl w:val="0"/>
          <w:numId w:val="10"/>
        </w:numPr>
        <w:spacing w:after="80" w:line="259" w:lineRule="auto"/>
        <w:ind w:left="312" w:hanging="312"/>
      </w:pPr>
      <w:r>
        <w:t>La fase preliminare si svolge presso tre sedi regionali individuate dal Comitato Organizzatore e comunicate ai partecipanti almeno sette giorni prima della data della prova.</w:t>
      </w:r>
    </w:p>
    <w:p>
      <w:pPr>
        <w:widowControl/>
        <w:numPr>
          <w:ilvl w:val="0"/>
          <w:numId w:val="10"/>
        </w:numPr>
        <w:spacing w:after="80" w:line="259" w:lineRule="auto"/>
        <w:ind w:left="312" w:hanging="312"/>
      </w:pPr>
      <w:r>
        <w:t>Gli studenti, organizzati in team, partecipano alla fase preliminare nella sede loro assegnata ai sensi dell'art. 4. La composizione del team è comunicata almeno una settimana prima della fase preliminare.</w:t>
      </w:r>
    </w:p>
    <w:p>
      <w:pPr>
        <w:widowControl/>
        <w:numPr>
          <w:ilvl w:val="0"/>
          <w:numId w:val="10"/>
        </w:numPr>
        <w:spacing w:after="80" w:line="259" w:lineRule="auto"/>
        <w:ind w:left="312" w:hanging="312"/>
      </w:pPr>
      <w:r>
        <w:t>La prova si svolge secondo modalità, tempi e condizioni uniformi nelle tre sedi. La durata massima prevista per l’elaborazione della proposta progettuale è di quattro ore.</w:t>
      </w:r>
    </w:p>
    <w:p>
      <w:pPr>
        <w:widowControl/>
        <w:numPr>
          <w:ilvl w:val="0"/>
          <w:numId w:val="10"/>
        </w:numPr>
        <w:spacing w:after="80" w:line="259" w:lineRule="auto"/>
        <w:ind w:left="312" w:hanging="312"/>
      </w:pPr>
      <w:r>
        <w:t>Per lo svolgimento della prova, i partecipanti utilizzano esclusivamente gli strumenti indicati dall’organizzazione. L’impiego di ulteriori applicazioni, fonti o strumenti è consentito soltanto se espressamente previsto nelle istruzioni operative.</w:t>
      </w:r>
    </w:p>
    <w:p>
      <w:pPr>
        <w:keepNext/>
        <w:widowControl/>
        <w:numPr>
          <w:ilvl w:val="0"/>
          <w:numId w:val="10"/>
        </w:numPr>
        <w:spacing w:after="80" w:line="259" w:lineRule="auto"/>
        <w:ind w:left="312" w:hanging="312"/>
      </w:pPr>
      <w:r>
        <w:t>I team devono utilizzare gli strumenti di intelligenza artificiale generativa in modo consapevole e responsabile e sono tenuti a:</w:t>
      </w:r>
    </w:p>
    <w:p>
      <w:pPr>
        <w:keepNext/>
        <w:widowControl/>
        <w:spacing w:after="80" w:line="259" w:lineRule="auto"/>
        <w:ind w:left="255" w:hanging="255"/>
      </w:pPr>
      <w:r>
        <w:t>a) non inserire dati personali, informazioni riservate o contenuti di terzi dei quali non sia consentito l’utilizzo;</w:t>
      </w:r>
    </w:p>
    <w:p>
      <w:pPr>
        <w:keepNext/>
        <w:widowControl/>
        <w:spacing w:after="80" w:line="259" w:lineRule="auto"/>
        <w:ind w:left="255" w:hanging="255"/>
      </w:pPr>
      <w:r>
        <w:t>b) verificare l’accuratezza, l’attendibilità e la liceità dei contenuti generati;</w:t>
      </w:r>
    </w:p>
    <w:p>
      <w:pPr>
        <w:keepNext/>
        <w:widowControl/>
        <w:spacing w:after="80" w:line="259" w:lineRule="auto"/>
        <w:ind w:left="255" w:hanging="255"/>
      </w:pPr>
      <w:r>
        <w:t>c) indicare, secondo le modalità stabilite dall’organizzazione, gli strumenti di intelligenza artificiale utilizzati e le principali modalità del loro impiego;</w:t>
      </w:r>
    </w:p>
    <w:p>
      <w:pPr>
        <w:widowControl/>
        <w:spacing w:after="80" w:line="259" w:lineRule="auto"/>
        <w:ind w:left="255" w:hanging="255"/>
      </w:pPr>
      <w:r>
        <w:t>d) rispettare le condizioni di utilizzo delle piattaforme e le istruzioni impartite dall’organizzazione.</w:t>
      </w:r>
    </w:p>
    <w:p>
      <w:pPr>
        <w:widowControl/>
        <w:numPr>
          <w:ilvl w:val="0"/>
          <w:numId w:val="10"/>
        </w:numPr>
        <w:spacing w:after="80" w:line="259" w:lineRule="auto"/>
        <w:ind w:left="312" w:hanging="312"/>
      </w:pPr>
      <w:r>
        <w:t>La proposta presentata deve essere originale e non deve violare diritti di proprietà intellettuale, diritti d’autore, diritti all’immagine o altri diritti di terzi.</w:t>
      </w:r>
    </w:p>
    <w:p>
      <w:pPr>
        <w:widowControl/>
        <w:numPr>
          <w:ilvl w:val="0"/>
          <w:numId w:val="10"/>
        </w:numPr>
        <w:spacing w:after="80" w:line="259" w:lineRule="auto"/>
        <w:ind w:left="312" w:hanging="312"/>
      </w:pPr>
      <w:r>
        <w:t>Al termine della prova, ciascun team presenta il proprio progetto alla commissione giudicatrice. La presentazione ha una durata massima di sette minuti, cui può seguire una sessione di domande.</w:t>
      </w:r>
    </w:p>
    <w:p>
      <w:pPr>
        <w:pStyle w:val="Heading1"/>
      </w:pPr>
      <w:r>
        <w:t>Articolo 8 Commissione giudicatrice della fase preliminare</w:t>
      </w:r>
    </w:p>
    <w:p>
      <w:pPr>
        <w:widowControl/>
        <w:numPr>
          <w:ilvl w:val="0"/>
          <w:numId w:val="11"/>
        </w:numPr>
        <w:spacing w:after="80" w:line="259" w:lineRule="auto"/>
        <w:ind w:left="312" w:hanging="312"/>
      </w:pPr>
      <w:r>
        <w:t>Per ciascuna sede è costituita una Commissione giudicatrice incaricata di valutare i progetti presentati dai team partecipanti alla fase preliminare.</w:t>
      </w:r>
    </w:p>
    <w:p>
      <w:pPr>
        <w:widowControl/>
        <w:numPr>
          <w:ilvl w:val="0"/>
          <w:numId w:val="11"/>
        </w:numPr>
        <w:spacing w:after="80" w:line="259" w:lineRule="auto"/>
        <w:ind w:left="312" w:hanging="312"/>
      </w:pPr>
      <w:r>
        <w:t>La composizione delle commissioni è definita in modo coordinato dal Comitato Organizzatore.</w:t>
      </w:r>
    </w:p>
    <w:p>
      <w:pPr>
        <w:widowControl/>
        <w:numPr>
          <w:ilvl w:val="0"/>
          <w:numId w:val="11"/>
        </w:numPr>
        <w:spacing w:after="80" w:line="259" w:lineRule="auto"/>
        <w:ind w:left="312" w:hanging="312"/>
      </w:pPr>
      <w:r>
        <w:t>Ciascuna commissione è composta da almeno sei membri, scelti tra soggetti in possesso di competenze coerenti con le finalità e le tematiche della Challenge.</w:t>
      </w:r>
    </w:p>
    <w:p>
      <w:pPr>
        <w:keepNext/>
        <w:widowControl/>
        <w:numPr>
          <w:ilvl w:val="0"/>
          <w:numId w:val="11"/>
        </w:numPr>
        <w:spacing w:after="80" w:line="259" w:lineRule="auto"/>
        <w:ind w:left="312" w:hanging="312"/>
      </w:pPr>
      <w:r>
        <w:t>I componenti delle commissioni, prima dell’avvio delle operazioni di valutazione, dichiarano:</w:t>
      </w:r>
    </w:p>
    <w:p>
      <w:pPr>
        <w:keepNext/>
        <w:widowControl/>
        <w:numPr>
          <w:ilvl w:val="1"/>
          <w:numId w:val="11"/>
        </w:numPr>
        <w:spacing w:after="80" w:line="259" w:lineRule="auto"/>
        <w:ind w:left="567" w:hanging="255"/>
      </w:pPr>
      <w:r>
        <w:t>l’assenza di situazioni, anche potenziali, di conflitto d’interessi con i partecipanti;</w:t>
      </w:r>
    </w:p>
    <w:p>
      <w:pPr>
        <w:keepNext/>
        <w:widowControl/>
        <w:numPr>
          <w:ilvl w:val="1"/>
          <w:numId w:val="11"/>
        </w:numPr>
        <w:spacing w:after="80" w:line="259" w:lineRule="auto"/>
        <w:ind w:left="567" w:hanging="255"/>
      </w:pPr>
      <w:r>
        <w:t>l’assenza di cause di incompatibilità;</w:t>
      </w:r>
    </w:p>
    <w:p>
      <w:pPr>
        <w:widowControl/>
        <w:numPr>
          <w:ilvl w:val="1"/>
          <w:numId w:val="11"/>
        </w:numPr>
        <w:spacing w:after="80" w:line="259" w:lineRule="auto"/>
        <w:ind w:left="567" w:hanging="255"/>
      </w:pPr>
      <w:r>
        <w:t>l’impegno alla riservatezza sulle informazioni e sui contenuti progettuali acquisiti durante la selezione.</w:t>
      </w:r>
    </w:p>
    <w:p>
      <w:pPr>
        <w:widowControl/>
        <w:numPr>
          <w:ilvl w:val="0"/>
          <w:numId w:val="11"/>
        </w:numPr>
        <w:spacing w:after="80" w:line="259" w:lineRule="auto"/>
        <w:ind w:left="312" w:hanging="312"/>
      </w:pPr>
      <w:r>
        <w:t>Qualora emerga una situazione di conflitto d’interessi o di incompatibilità, il componente interessato ne dà immediata comunicazione e si astiene dalla valutazione del team coinvolto. Ove necessario, si procede alla sua sostituzione secondo le modalità stabilite dal Comitato Organizzatore.</w:t>
      </w:r>
    </w:p>
    <w:p>
      <w:pPr>
        <w:widowControl/>
        <w:numPr>
          <w:ilvl w:val="0"/>
          <w:numId w:val="11"/>
        </w:numPr>
        <w:spacing w:after="80" w:line="259" w:lineRule="auto"/>
        <w:ind w:left="312" w:hanging="312"/>
      </w:pPr>
      <w:r>
        <w:t>La valutazione di ciascun progetto è valida qualora vi partecipi almeno la maggioranza dei componenti della Commissione. Qualora tale numero non sia raggiunto a causa di assenze, astensioni o incompatibilità, il Comitato Organizzatore provvede, ove necessario, alla sostituzione dei componenti interessati.</w:t>
      </w:r>
    </w:p>
    <w:p>
      <w:pPr>
        <w:widowControl/>
        <w:numPr>
          <w:ilvl w:val="0"/>
          <w:numId w:val="11"/>
        </w:numPr>
        <w:spacing w:after="80" w:line="259" w:lineRule="auto"/>
        <w:ind w:left="312" w:hanging="312"/>
      </w:pPr>
      <w:r>
        <w:t>Nella fase preliminare, ciascun commissario attribuisce autonomamente un punteggio per ogni criterio. Il punteggio complessivo del progetto è determinato dalla media aritmetica dei punteggi complessivi attribuiti dai commissari, arrotondata alla seconda cifra decimale.</w:t>
      </w:r>
    </w:p>
    <w:p>
      <w:pPr>
        <w:widowControl/>
        <w:numPr>
          <w:ilvl w:val="0"/>
          <w:numId w:val="11"/>
        </w:numPr>
        <w:spacing w:after="80" w:line="259" w:lineRule="auto"/>
        <w:ind w:left="312" w:hanging="312"/>
      </w:pPr>
      <w:r>
        <w:t>Fermo restando quanto previsto dal comma 7 in merito all’attribuzione individuale dei punteggi, la Commissione opera collegialmente per le restanti attività e applica la griglia e i criteri di valutazione previsti dall’articolo 9. Le determinazioni collegiali sono assunte a maggioranza dei componenti presenti; in caso di parità prevale il voto del presidente.</w:t>
      </w:r>
    </w:p>
    <w:p>
      <w:pPr>
        <w:widowControl/>
        <w:numPr>
          <w:ilvl w:val="0"/>
          <w:numId w:val="11"/>
        </w:numPr>
        <w:spacing w:after="80" w:line="259" w:lineRule="auto"/>
        <w:ind w:left="312" w:hanging="312"/>
      </w:pPr>
      <w:r>
        <w:t>Le operazioni di valutazione, i punteggi attribuiti e le decisioni assunte sono riportati in apposito verbale, sottoscritto dal presidente e dal segretario verbalizzante.</w:t>
      </w:r>
    </w:p>
    <w:p>
      <w:pPr>
        <w:pStyle w:val="Heading1"/>
      </w:pPr>
      <w:r>
        <w:t>Articolo 9 Criteri di valutazione (uniformi per tutti gli atenei HAMU)</w:t>
      </w:r>
    </w:p>
    <w:p>
      <w:pPr>
        <w:keepNext/>
        <w:widowControl/>
        <w:numPr>
          <w:ilvl w:val="0"/>
          <w:numId w:val="20"/>
        </w:numPr>
        <w:spacing w:after="80" w:line="259" w:lineRule="auto"/>
        <w:ind w:left="312" w:hanging="312"/>
      </w:pPr>
      <w:r>
        <w:t>La valutazione dei progetti è effettuata mediante una griglia comune, applicata in modo uniforme dalle tre Commissioni.</w:t>
      </w:r>
    </w:p>
    <w:p>
      <w:pPr>
        <w:keepNext/>
        <w:widowControl/>
        <w:numPr>
          <w:ilvl w:val="0"/>
          <w:numId w:val="20"/>
        </w:numPr>
        <w:spacing w:after="80" w:line="259" w:lineRule="auto"/>
        <w:ind w:left="312" w:hanging="312"/>
      </w:pPr>
      <w:r>
        <w:t>A ciascun progetto può essere attribuito un punteggio massimo di 100 punti, così ripartiti:</w:t>
      </w:r>
    </w:p>
    <w:tbl>
      <w:tblPr>
        <w:tblW w:type="auto" w:w="0"/>
        <w:jc w:val="center"/>
        <w:tblLayout w:type="fixed"/>
        <w:tblLook w:firstColumn="1" w:firstRow="1" w:lastColumn="0" w:lastRow="0" w:noHBand="0" w:noVBand="1" w:val="04A0"/>
      </w:tblPr>
      <w:tblGrid>
        <w:gridCol w:w="2665"/>
        <w:gridCol w:w="5669"/>
        <w:gridCol w:w="1304"/>
      </w:tblGrid>
      <w:tr>
        <w:trPr>
          <w:tblHeade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left"/>
            </w:pPr>
            <w:r>
              <w:rPr>
                <w:b/>
                <w:sz w:val="19"/>
              </w:rPr>
              <w:t>Criterio</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left"/>
            </w:pPr>
            <w:r>
              <w:rPr>
                <w:b/>
                <w:sz w:val="19"/>
              </w:rPr>
              <w:t>Descrizione</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DE7F2"/>
          </w:tcPr>
          <w:p>
            <w:pPr>
              <w:keepNext/>
              <w:spacing w:after="0" w:line="252" w:lineRule="auto"/>
              <w:jc w:val="center"/>
            </w:pPr>
            <w:r>
              <w:rPr>
                <w:b/>
                <w:sz w:val="19"/>
              </w:rPr>
              <w:t>Punteggio massimo</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Innovatività</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Originalità della proposta e capacità di individuare soluzioni nuove rispetto al tema assegnato</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30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Impatto sul territorio o sulla comunità</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Rilevanza dei risultati attesi e capacità della proposta di produrre benefici concreti</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center"/>
            </w:pPr>
            <w:r>
              <w:rPr>
                <w:b w:val="0"/>
                <w:sz w:val="19"/>
              </w:rPr>
              <w:t>25</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Fattibilità tecnica</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Chiarezza, sostenibilità e concreta realizzabilità della soluzione proposta</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20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Qualità dell’utilizzo delle tecnologie di AI generativa</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left"/>
            </w:pPr>
            <w:r>
              <w:rPr>
                <w:b w:val="0"/>
                <w:sz w:val="19"/>
              </w:rPr>
              <w:t>Pertinenza, consapevolezza, efficacia e responsabilità nell’impiego degli strumenti di AI generativa</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spacing w:after="0" w:line="252" w:lineRule="auto"/>
              <w:jc w:val="center"/>
            </w:pPr>
            <w:r>
              <w:rPr>
                <w:b w:val="0"/>
                <w:sz w:val="19"/>
              </w:rPr>
              <w:t>15</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Chiarezza e qualità della presentazione</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left"/>
            </w:pPr>
            <w:r>
              <w:rPr>
                <w:b w:val="0"/>
                <w:sz w:val="19"/>
              </w:rPr>
              <w:t>Capacità di illustrare la proposta in modo chiaro, coerente e convincente nel tempo assegnato</w:t>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keepNext/>
              <w:spacing w:after="0" w:line="252" w:lineRule="auto"/>
              <w:jc w:val="center"/>
            </w:pPr>
            <w:r>
              <w:rPr>
                <w:b w:val="0"/>
                <w:sz w:val="19"/>
              </w:rPr>
              <w:t>10</w:t>
            </w:r>
          </w:p>
        </w:tc>
      </w:tr>
      <w:tr>
        <w:trPr>
          <w:cantSplit/>
        </w:trPr>
        <w:tc>
          <w:tcPr>
            <w:tcW w:type="dxa" w:w="266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left"/>
            </w:pPr>
            <w:r>
              <w:rPr>
                <w:b/>
                <w:sz w:val="19"/>
              </w:rPr>
              <w:t>Totale</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left"/>
            </w:pPr>
            <w:r>
              <w:rPr>
                <w:b/>
                <w:sz w:val="19"/>
              </w:rPr>
            </w:r>
          </w:p>
        </w:tc>
        <w:tc>
          <w:tcPr>
            <w:tcW w:type="dxa" w:w="1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5F7FA"/>
          </w:tcPr>
          <w:p>
            <w:pPr>
              <w:keepNext w:val="0"/>
              <w:spacing w:after="0" w:line="252" w:lineRule="auto"/>
              <w:jc w:val="center"/>
            </w:pPr>
            <w:r>
              <w:rPr>
                <w:b/>
                <w:sz w:val="19"/>
              </w:rPr>
              <w:t>100</w:t>
            </w:r>
          </w:p>
        </w:tc>
      </w:tr>
    </w:tbl>
    <w:p>
      <w:pPr>
        <w:spacing w:after="0"/>
      </w:pPr>
    </w:p>
    <w:p>
      <w:pPr>
        <w:pStyle w:val="Heading1"/>
      </w:pPr>
      <w:r>
        <w:t>Articolo 10 Graduatorie della fase preliminare e ammissione alla fase finale</w:t>
      </w:r>
    </w:p>
    <w:p>
      <w:pPr>
        <w:widowControl/>
        <w:numPr>
          <w:ilvl w:val="0"/>
          <w:numId w:val="3"/>
        </w:numPr>
        <w:spacing w:after="80" w:line="259" w:lineRule="auto"/>
        <w:ind w:left="312" w:hanging="312"/>
      </w:pPr>
      <w:r>
        <w:t>Al termine delle operazioni di valutazione, ciascuna Commissione giudicatrice redige, per la propria sede, una distinta graduatoria per ciascuno dei quattro temi progettuali previsti dall’articolo 6. I team sono collocati in graduatoria secondo l’ordine decrescente del punteggio complessivo conseguito.</w:t>
      </w:r>
    </w:p>
    <w:p>
      <w:pPr>
        <w:widowControl/>
        <w:numPr>
          <w:ilvl w:val="0"/>
          <w:numId w:val="3"/>
        </w:numPr>
        <w:spacing w:after="80" w:line="259" w:lineRule="auto"/>
        <w:ind w:left="312" w:hanging="312"/>
      </w:pPr>
      <w:r>
        <w:t>Accedono alla fase finale complessivamente fino a trentasei team. Per ciascuna delle tre sedi sono ammessi i primi tre team classificati in ognuna delle quattro graduatorie tematiche, per un totale massimo di dodici team per sede.</w:t>
      </w:r>
    </w:p>
    <w:p>
      <w:pPr>
        <w:widowControl/>
        <w:numPr>
          <w:ilvl w:val="0"/>
          <w:numId w:val="3"/>
        </w:numPr>
        <w:spacing w:after="80" w:line="259" w:lineRule="auto"/>
        <w:ind w:left="312" w:hanging="312"/>
      </w:pPr>
      <w:r>
        <w:t>Qualora, in una determinata sede, per uno o più temi risultino ammessi alla valutazione meno di tre team, i posti rimasti disponibili sono attribuiti, nell’ambito della medesima sede, ai team non ancora ammessi che abbiano conseguito i punteggi complessivi più elevati, indipendentemente dal tema scelto. A parità di punteggio si applicano i criteri di cui al comma 4.</w:t>
      </w:r>
    </w:p>
    <w:p>
      <w:pPr>
        <w:keepNext/>
        <w:widowControl/>
        <w:numPr>
          <w:ilvl w:val="0"/>
          <w:numId w:val="3"/>
        </w:numPr>
        <w:spacing w:after="80" w:line="259" w:lineRule="auto"/>
        <w:ind w:left="312" w:hanging="312"/>
      </w:pPr>
      <w:r>
        <w:t>In caso di parità di punteggio tra due o più team, prevale, nell’ordine, il team che abbia ottenuto il punteggio più elevato nei seguenti criteri:</w:t>
      </w:r>
    </w:p>
    <w:p>
      <w:pPr>
        <w:keepNext/>
        <w:widowControl/>
        <w:numPr>
          <w:ilvl w:val="1"/>
          <w:numId w:val="3"/>
        </w:numPr>
        <w:spacing w:after="80" w:line="259" w:lineRule="auto"/>
        <w:ind w:left="567" w:hanging="255"/>
      </w:pPr>
      <w:r>
        <w:t>impatto sul territorio o sulla comunità;</w:t>
      </w:r>
    </w:p>
    <w:p>
      <w:pPr>
        <w:keepNext/>
        <w:widowControl/>
        <w:numPr>
          <w:ilvl w:val="1"/>
          <w:numId w:val="3"/>
        </w:numPr>
        <w:spacing w:after="80" w:line="259" w:lineRule="auto"/>
        <w:ind w:left="567" w:hanging="255"/>
      </w:pPr>
      <w:r>
        <w:t>innovatività;</w:t>
      </w:r>
    </w:p>
    <w:p>
      <w:pPr>
        <w:keepNext/>
        <w:widowControl/>
        <w:numPr>
          <w:ilvl w:val="1"/>
          <w:numId w:val="3"/>
        </w:numPr>
        <w:spacing w:after="80" w:line="259" w:lineRule="auto"/>
        <w:ind w:left="567" w:hanging="255"/>
      </w:pPr>
      <w:r>
        <w:t>fattibilità tecnica;</w:t>
      </w:r>
    </w:p>
    <w:p>
      <w:pPr>
        <w:keepNext/>
        <w:widowControl/>
        <w:numPr>
          <w:ilvl w:val="1"/>
          <w:numId w:val="3"/>
        </w:numPr>
        <w:spacing w:after="80" w:line="259" w:lineRule="auto"/>
        <w:ind w:left="567" w:hanging="255"/>
      </w:pPr>
      <w:r>
        <w:t>qualità dell’utilizzo delle tecnologie di intelligenza artificiale generativa;</w:t>
      </w:r>
    </w:p>
    <w:p>
      <w:pPr>
        <w:widowControl/>
        <w:numPr>
          <w:ilvl w:val="1"/>
          <w:numId w:val="3"/>
        </w:numPr>
        <w:spacing w:after="80" w:line="259" w:lineRule="auto"/>
        <w:ind w:left="567" w:hanging="255"/>
      </w:pPr>
      <w:r>
        <w:t>chiarezza e qualità della presentazione.</w:t>
      </w:r>
    </w:p>
    <w:p>
      <w:pPr>
        <w:widowControl/>
        <w:spacing w:after="80" w:line="259" w:lineRule="auto"/>
      </w:pPr>
      <w:r>
        <w:t>In caso di ulteriore parità, la Commissione procede mediante sorteggio, dandone atto nel verbale.</w:t>
      </w:r>
    </w:p>
    <w:p>
      <w:pPr>
        <w:keepNext/>
        <w:widowControl/>
        <w:numPr>
          <w:ilvl w:val="0"/>
          <w:numId w:val="24"/>
        </w:numPr>
        <w:spacing w:after="80" w:line="259" w:lineRule="auto"/>
        <w:ind w:left="312" w:hanging="312"/>
      </w:pPr>
      <w:r>
        <w:t>La Commissione riporta nel verbale:</w:t>
      </w:r>
    </w:p>
    <w:p>
      <w:pPr>
        <w:keepNext/>
        <w:widowControl/>
        <w:numPr>
          <w:ilvl w:val="1"/>
          <w:numId w:val="24"/>
        </w:numPr>
        <w:spacing w:after="80" w:line="259" w:lineRule="auto"/>
        <w:ind w:left="567" w:hanging="255"/>
      </w:pPr>
      <w:r>
        <w:t>i punteggi attribuiti a ciascun progetto per ogni criterio di valutazione;</w:t>
      </w:r>
    </w:p>
    <w:p>
      <w:pPr>
        <w:keepNext/>
        <w:widowControl/>
        <w:numPr>
          <w:ilvl w:val="1"/>
          <w:numId w:val="24"/>
        </w:numPr>
        <w:spacing w:after="80" w:line="259" w:lineRule="auto"/>
        <w:ind w:left="567" w:hanging="255"/>
      </w:pPr>
      <w:r>
        <w:t>il punteggio complessivo conseguito da ciascun team;</w:t>
      </w:r>
    </w:p>
    <w:p>
      <w:pPr>
        <w:keepNext/>
        <w:widowControl/>
        <w:numPr>
          <w:ilvl w:val="1"/>
          <w:numId w:val="24"/>
        </w:numPr>
        <w:spacing w:after="80" w:line="259" w:lineRule="auto"/>
        <w:ind w:left="567" w:hanging="255"/>
      </w:pPr>
      <w:r>
        <w:t>le graduatorie relative ai quattro temi progettuali;</w:t>
      </w:r>
    </w:p>
    <w:p>
      <w:pPr>
        <w:keepNext/>
        <w:widowControl/>
        <w:numPr>
          <w:ilvl w:val="1"/>
          <w:numId w:val="24"/>
        </w:numPr>
        <w:spacing w:after="80" w:line="259" w:lineRule="auto"/>
        <w:ind w:left="567" w:hanging="255"/>
      </w:pPr>
      <w:r>
        <w:t>l’elenco dei team ammessi alla fase finale;</w:t>
      </w:r>
    </w:p>
    <w:p>
      <w:pPr>
        <w:widowControl/>
        <w:numPr>
          <w:ilvl w:val="1"/>
          <w:numId w:val="24"/>
        </w:numPr>
        <w:spacing w:after="80" w:line="259" w:lineRule="auto"/>
        <w:ind w:left="567" w:hanging="255"/>
      </w:pPr>
      <w:r>
        <w:t>le eventuali esclusioni, rinunce, situazioni di parità e operazioni di sorteggio.</w:t>
      </w:r>
    </w:p>
    <w:p>
      <w:pPr>
        <w:widowControl/>
        <w:spacing w:after="80" w:line="259" w:lineRule="auto"/>
      </w:pPr>
      <w:r>
        <w:t>Il verbale è sottoscritto dal presidente e dal segretario verbalizzante e trasmesso al Comitato Organizzatore.</w:t>
      </w:r>
    </w:p>
    <w:p>
      <w:pPr>
        <w:widowControl/>
        <w:numPr>
          <w:ilvl w:val="0"/>
          <w:numId w:val="2"/>
        </w:numPr>
        <w:spacing w:after="80" w:line="259" w:lineRule="auto"/>
        <w:ind w:left="312" w:hanging="312"/>
      </w:pPr>
      <w:r>
        <w:t>Gli esiti della fase preliminare sono pubblicati sui siti istituzionali degli Atenei interessati, nel rispetto della normativa in materia di protezione dei dati personali. La pubblicazione ha valore di comunicazione ufficiale. Le eventuali comunicazioni inviate ai referenti dei team hanno esclusivamente funzione informativa.</w:t>
      </w:r>
    </w:p>
    <w:p>
      <w:pPr>
        <w:widowControl/>
        <w:numPr>
          <w:ilvl w:val="0"/>
          <w:numId w:val="2"/>
        </w:numPr>
        <w:spacing w:after="80" w:line="259" w:lineRule="auto"/>
        <w:ind w:left="312" w:hanging="312"/>
      </w:pPr>
      <w:r>
        <w:t>In caso di rinuncia dell’intero team ammesso alla fase finale, si procede allo scorrimento della relativa graduatoria tematica della medesima sede.</w:t>
      </w:r>
    </w:p>
    <w:p>
      <w:pPr>
        <w:widowControl/>
        <w:numPr>
          <w:ilvl w:val="0"/>
          <w:numId w:val="2"/>
        </w:numPr>
        <w:spacing w:after="80" w:line="259" w:lineRule="auto"/>
        <w:ind w:left="312" w:hanging="312"/>
      </w:pPr>
      <w:r>
        <w:t>In caso di rinuncia di singoli membri del team, i restanti membri potranno partecipare alla fase finale in deroga all’Art. 5, comma 2, purché il team sia composto da almeno tre partecipanti. Qualora il numero dei componenti risulti inferiore, il team decade dall’ammissione e si procede allo scorrimento previsto dal comma 9.</w:t>
      </w:r>
    </w:p>
    <w:p>
      <w:pPr>
        <w:widowControl/>
        <w:numPr>
          <w:ilvl w:val="0"/>
          <w:numId w:val="2"/>
        </w:numPr>
        <w:spacing w:after="80" w:line="259" w:lineRule="auto"/>
        <w:ind w:left="312" w:hanging="312"/>
      </w:pPr>
      <w:r>
        <w:t>Qualora la graduatoria tematica risulti esaurita, il posto è attribuito al team non ancora ammesso che abbia conseguito il punteggio complessivo più elevato nella medesima sede, indipendentemente dal tema scelto.</w:t>
      </w:r>
    </w:p>
    <w:p>
      <w:pPr>
        <w:pStyle w:val="Heading1"/>
      </w:pPr>
      <w:r>
        <w:t>Articolo 11 Modalità di svolgimento della fase finale</w:t>
      </w:r>
    </w:p>
    <w:p>
      <w:pPr>
        <w:widowControl/>
        <w:numPr>
          <w:ilvl w:val="0"/>
          <w:numId w:val="12"/>
        </w:numPr>
        <w:spacing w:after="80" w:line="259" w:lineRule="auto"/>
        <w:ind w:left="312" w:hanging="312"/>
      </w:pPr>
      <w:r>
        <w:t>I team ammessi ai sensi dell’articolo 10 partecipano alla fase finale, che si svolge presso l’Università degli Studi dell’Aquila, nel luogo, nella data e negli orari comunicati dal Comitato Organizzatore con congruo anticipo.</w:t>
      </w:r>
    </w:p>
    <w:p>
      <w:pPr>
        <w:keepNext/>
        <w:widowControl/>
        <w:numPr>
          <w:ilvl w:val="0"/>
          <w:numId w:val="12"/>
        </w:numPr>
        <w:spacing w:after="80" w:line="259" w:lineRule="auto"/>
        <w:ind w:left="312" w:hanging="312"/>
      </w:pPr>
      <w:r>
        <w:t>La fase finale si svolge secondo modalità uniformi per tutti i team. Il Comitato Organizzatore comunica preventivamente:</w:t>
      </w:r>
    </w:p>
    <w:p>
      <w:pPr>
        <w:keepNext/>
        <w:widowControl/>
        <w:numPr>
          <w:ilvl w:val="1"/>
          <w:numId w:val="4"/>
        </w:numPr>
        <w:spacing w:after="80" w:line="259" w:lineRule="auto"/>
        <w:ind w:left="567" w:hanging="255"/>
      </w:pPr>
      <w:r>
        <w:t>il programma e la durata delle attività;</w:t>
      </w:r>
    </w:p>
    <w:p>
      <w:pPr>
        <w:keepNext/>
        <w:widowControl/>
        <w:numPr>
          <w:ilvl w:val="1"/>
          <w:numId w:val="4"/>
        </w:numPr>
        <w:spacing w:after="80" w:line="259" w:lineRule="auto"/>
        <w:ind w:left="567" w:hanging="255"/>
      </w:pPr>
      <w:r>
        <w:t>il formato e le caratteristiche dei materiali da presentare;</w:t>
      </w:r>
    </w:p>
    <w:p>
      <w:pPr>
        <w:keepNext/>
        <w:widowControl/>
        <w:numPr>
          <w:ilvl w:val="1"/>
          <w:numId w:val="4"/>
        </w:numPr>
        <w:spacing w:after="80" w:line="259" w:lineRule="auto"/>
        <w:ind w:left="567" w:hanging="255"/>
      </w:pPr>
      <w:r>
        <w:t>la modalità della prova;</w:t>
      </w:r>
    </w:p>
    <w:p>
      <w:pPr>
        <w:keepNext/>
        <w:widowControl/>
        <w:numPr>
          <w:ilvl w:val="1"/>
          <w:numId w:val="4"/>
        </w:numPr>
        <w:spacing w:after="80" w:line="259" w:lineRule="auto"/>
        <w:ind w:left="567" w:hanging="255"/>
      </w:pPr>
      <w:r>
        <w:t>il termine e le modalità di consegna;</w:t>
      </w:r>
    </w:p>
    <w:p>
      <w:pPr>
        <w:keepNext/>
        <w:widowControl/>
        <w:numPr>
          <w:ilvl w:val="1"/>
          <w:numId w:val="4"/>
        </w:numPr>
        <w:spacing w:after="80" w:line="259" w:lineRule="auto"/>
        <w:ind w:left="567" w:hanging="255"/>
      </w:pPr>
      <w:r>
        <w:t>gli strumenti tecnologici consentiti;</w:t>
      </w:r>
    </w:p>
    <w:p>
      <w:pPr>
        <w:keepNext/>
        <w:widowControl/>
        <w:numPr>
          <w:ilvl w:val="1"/>
          <w:numId w:val="4"/>
        </w:numPr>
        <w:spacing w:after="80" w:line="259" w:lineRule="auto"/>
        <w:ind w:left="567" w:hanging="255"/>
      </w:pPr>
      <w:r>
        <w:t>le modalità di dichiarazione dell’utilizzo di strumenti di intelligenza artificiale generativa;</w:t>
      </w:r>
    </w:p>
    <w:p>
      <w:pPr>
        <w:widowControl/>
        <w:numPr>
          <w:ilvl w:val="1"/>
          <w:numId w:val="4"/>
        </w:numPr>
        <w:spacing w:after="80" w:line="259" w:lineRule="auto"/>
        <w:ind w:left="567" w:hanging="255"/>
      </w:pPr>
      <w:r>
        <w:t>le eventuali ulteriori istruzioni tecniche e organizzative.</w:t>
      </w:r>
    </w:p>
    <w:p>
      <w:pPr>
        <w:widowControl/>
        <w:numPr>
          <w:ilvl w:val="0"/>
          <w:numId w:val="5"/>
        </w:numPr>
        <w:spacing w:after="80" w:line="259" w:lineRule="auto"/>
        <w:ind w:left="312" w:hanging="312"/>
      </w:pPr>
      <w:r>
        <w:t>Nella fase finale ciascun team presenta il progetto relativo al medesimo tema scelto nella fase preliminare. Il progetto può essere sviluppato, approfondito o perfezionato rispetto alla versione presentata nella fase preliminare, nel rispetto delle istruzioni impartite dal Comitato Organizzatore e delle condizioni di parità tra i partecipanti.</w:t>
      </w:r>
    </w:p>
    <w:p>
      <w:pPr>
        <w:widowControl/>
        <w:numPr>
          <w:ilvl w:val="0"/>
          <w:numId w:val="5"/>
        </w:numPr>
        <w:spacing w:after="80" w:line="259" w:lineRule="auto"/>
        <w:ind w:left="312" w:hanging="312"/>
      </w:pPr>
      <w:r>
        <w:t>La valutazione della fase finale è affidata a un’unica Commissione giudicatrice, nominata dal Comitato Organizzatore e composta da almeno un rappresentante per ciascuno dei dieci Atenei HAMU aderenti. La Commissione individua al proprio interno un presidente e un segretario verbalizzante.</w:t>
      </w:r>
    </w:p>
    <w:p>
      <w:pPr>
        <w:widowControl/>
        <w:numPr>
          <w:ilvl w:val="0"/>
          <w:numId w:val="5"/>
        </w:numPr>
        <w:spacing w:after="80" w:line="259" w:lineRule="auto"/>
        <w:ind w:left="312" w:hanging="312"/>
      </w:pPr>
      <w:r>
        <w:t>Ai componenti e alle attività della Commissione della fase finale si applicano, in quanto compatibili, le disposizioni dell’articolo 8 relative alle competenze, all’imparzialità, all’assenza di conflitti d’interessi, all’incompatibilità, alla riservatezza, al numero minimo di commissari partecipanti alla valutazione e alla verbalizzazione delle operazioni.</w:t>
      </w:r>
    </w:p>
    <w:p>
      <w:pPr>
        <w:widowControl/>
        <w:numPr>
          <w:ilvl w:val="0"/>
          <w:numId w:val="5"/>
        </w:numPr>
        <w:spacing w:after="80" w:line="259" w:lineRule="auto"/>
        <w:ind w:left="312" w:hanging="312"/>
      </w:pPr>
      <w:r>
        <w:t>La Commissione applica i criteri e i punteggi massimi previsti dall’articolo 9. La valutazione della fase finale è autonoma rispetto a quella effettuata nella fase preliminare; pertanto, i punteggi conseguiti nella fase preliminare non concorrono alla determinazione della graduatoria finale.</w:t>
      </w:r>
    </w:p>
    <w:p>
      <w:pPr>
        <w:widowControl/>
        <w:numPr>
          <w:ilvl w:val="0"/>
          <w:numId w:val="5"/>
        </w:numPr>
        <w:spacing w:after="80" w:line="259" w:lineRule="auto"/>
        <w:ind w:left="312" w:hanging="312"/>
      </w:pPr>
      <w:r>
        <w:t>Per ciascun progetto, ogni commissario attribuisce un punteggio per ciascuno dei criteri previsti dall’articolo 9. Il punteggio finale del progetto è determinato dalla media aritmetica dei punteggi complessivi attribuiti dai commissari, arrotondata alla seconda cifra decimale. Non partecipa alla valutazione il commissario che si trovi in una situazione di conflitto d’interessi o di incompatibilità rispetto al team valutato.</w:t>
      </w:r>
    </w:p>
    <w:p>
      <w:pPr>
        <w:widowControl/>
        <w:numPr>
          <w:ilvl w:val="0"/>
          <w:numId w:val="5"/>
        </w:numPr>
        <w:spacing w:after="80" w:line="259" w:lineRule="auto"/>
        <w:ind w:left="312" w:hanging="312"/>
      </w:pPr>
      <w:r>
        <w:t>La Commissione redige una distinta graduatoria finale per ciascuno dei quattro temi progettuali. È proclamato vincitore di ciascun tema il team che abbia conseguito il punteggio finale più elevato nella relativa graduatoria.</w:t>
      </w:r>
    </w:p>
    <w:p>
      <w:pPr>
        <w:widowControl/>
        <w:numPr>
          <w:ilvl w:val="0"/>
          <w:numId w:val="5"/>
        </w:numPr>
        <w:spacing w:after="80" w:line="259" w:lineRule="auto"/>
        <w:ind w:left="312" w:hanging="312"/>
      </w:pPr>
      <w:r>
        <w:t>In caso di parità di punteggio nella graduatoria finale si applicano, nell’ordine, i criteri di prevalenza previsti dall’articolo 10, comma 4. In caso di ulteriore parità, la Commissione procede mediante sorteggio, dandone atto nel verbale.</w:t>
      </w:r>
    </w:p>
    <w:p>
      <w:pPr>
        <w:keepNext/>
        <w:widowControl/>
        <w:numPr>
          <w:ilvl w:val="0"/>
          <w:numId w:val="5"/>
        </w:numPr>
        <w:spacing w:after="80" w:line="259" w:lineRule="auto"/>
        <w:ind w:left="312" w:hanging="312"/>
      </w:pPr>
      <w:r>
        <w:t>La Commissione riporta nel verbale:</w:t>
      </w:r>
    </w:p>
    <w:p>
      <w:pPr>
        <w:keepNext/>
        <w:widowControl/>
        <w:numPr>
          <w:ilvl w:val="0"/>
          <w:numId w:val="6"/>
        </w:numPr>
        <w:spacing w:after="80" w:line="259" w:lineRule="auto"/>
        <w:ind w:left="312" w:hanging="312"/>
      </w:pPr>
      <w:r>
        <w:t>i punteggi attribuiti a ciascun progetto per ogni criterio di valutazione;</w:t>
      </w:r>
    </w:p>
    <w:p>
      <w:pPr>
        <w:keepNext/>
        <w:widowControl/>
        <w:numPr>
          <w:ilvl w:val="0"/>
          <w:numId w:val="6"/>
        </w:numPr>
        <w:spacing w:after="80" w:line="259" w:lineRule="auto"/>
        <w:ind w:left="312" w:hanging="312"/>
      </w:pPr>
      <w:r>
        <w:t>il punteggio finale conseguito da ciascun team;</w:t>
      </w:r>
    </w:p>
    <w:p>
      <w:pPr>
        <w:keepNext/>
        <w:widowControl/>
        <w:numPr>
          <w:ilvl w:val="0"/>
          <w:numId w:val="6"/>
        </w:numPr>
        <w:spacing w:after="80" w:line="259" w:lineRule="auto"/>
        <w:ind w:left="312" w:hanging="312"/>
      </w:pPr>
      <w:r>
        <w:t>le quattro graduatorie tematiche;</w:t>
      </w:r>
    </w:p>
    <w:p>
      <w:pPr>
        <w:keepNext/>
        <w:widowControl/>
        <w:numPr>
          <w:ilvl w:val="0"/>
          <w:numId w:val="6"/>
        </w:numPr>
        <w:spacing w:after="80" w:line="259" w:lineRule="auto"/>
        <w:ind w:left="312" w:hanging="312"/>
      </w:pPr>
      <w:r>
        <w:t>i team vincitori;</w:t>
      </w:r>
    </w:p>
    <w:p>
      <w:pPr>
        <w:widowControl/>
        <w:numPr>
          <w:ilvl w:val="0"/>
          <w:numId w:val="6"/>
        </w:numPr>
        <w:spacing w:after="80" w:line="259" w:lineRule="auto"/>
        <w:ind w:left="312" w:hanging="312"/>
      </w:pPr>
      <w:r>
        <w:t>le eventuali esclusioni, rinunce, astensioni per conflitto d’interessi e operazioni di sorteggio.</w:t>
      </w:r>
    </w:p>
    <w:p>
      <w:pPr>
        <w:widowControl/>
        <w:spacing w:after="80" w:line="259" w:lineRule="auto"/>
      </w:pPr>
      <w:r>
        <w:t>Il verbale è sottoscritto dal presidente e dal segretario verbalizzante e trasmesso al Comitato Organizzatore.</w:t>
      </w:r>
    </w:p>
    <w:p>
      <w:pPr>
        <w:widowControl/>
        <w:numPr>
          <w:ilvl w:val="0"/>
          <w:numId w:val="25"/>
        </w:numPr>
        <w:spacing w:after="80" w:line="259" w:lineRule="auto"/>
        <w:ind w:left="312" w:hanging="312"/>
      </w:pPr>
      <w:r>
        <w:t>Gli esiti della fase finale sono pubblicati sui siti istituzionali degli Atenei aderenti, nel rispetto della normativa in materia di protezione dei dati personali. La pubblicazione ha valore di comunicazione ufficiale.</w:t>
      </w:r>
    </w:p>
    <w:p>
      <w:pPr>
        <w:widowControl/>
        <w:numPr>
          <w:ilvl w:val="0"/>
          <w:numId w:val="25"/>
        </w:numPr>
        <w:spacing w:after="80" w:line="259" w:lineRule="auto"/>
        <w:ind w:left="312" w:hanging="312"/>
      </w:pPr>
      <w:r>
        <w:t>Le disposizioni dell’articolo 12 in materia di osservazioni e riesame si applicano anche agli esiti della fase finale.</w:t>
      </w:r>
    </w:p>
    <w:p>
      <w:pPr>
        <w:pStyle w:val="Heading1"/>
      </w:pPr>
      <w:r>
        <w:t>Articolo 12 Pubblicazione degli esiti e richiesta di riesame</w:t>
      </w:r>
    </w:p>
    <w:p>
      <w:pPr>
        <w:widowControl/>
        <w:numPr>
          <w:ilvl w:val="0"/>
          <w:numId w:val="26"/>
        </w:numPr>
        <w:spacing w:after="80" w:line="259" w:lineRule="auto"/>
        <w:ind w:left="312" w:hanging="312"/>
      </w:pPr>
      <w:r>
        <w:t>Eventuali osservazioni, da parte dei partecipanti, devono essere presentate entro 24 ore dalla pubblicazione degli esiti.</w:t>
      </w:r>
    </w:p>
    <w:p>
      <w:pPr>
        <w:widowControl/>
        <w:numPr>
          <w:ilvl w:val="0"/>
          <w:numId w:val="26"/>
        </w:numPr>
        <w:spacing w:after="80" w:line="259" w:lineRule="auto"/>
        <w:ind w:left="312" w:hanging="312"/>
      </w:pPr>
      <w:r>
        <w:t>Decorso questo termine, i risultati diventano stabili, determinando l'inammissibilità di ulteriori contestazioni.</w:t>
      </w:r>
    </w:p>
    <w:p>
      <w:pPr>
        <w:keepNext/>
        <w:widowControl/>
        <w:numPr>
          <w:ilvl w:val="0"/>
          <w:numId w:val="26"/>
        </w:numPr>
        <w:spacing w:after="80" w:line="259" w:lineRule="auto"/>
        <w:ind w:left="312" w:hanging="312"/>
      </w:pPr>
      <w:r>
        <w:t>Le osservazioni possono riguardare esclusivamente:</w:t>
      </w:r>
    </w:p>
    <w:p>
      <w:pPr>
        <w:keepNext/>
        <w:widowControl/>
        <w:numPr>
          <w:ilvl w:val="1"/>
          <w:numId w:val="26"/>
        </w:numPr>
        <w:spacing w:after="80" w:line="259" w:lineRule="auto"/>
        <w:ind w:left="567" w:hanging="255"/>
      </w:pPr>
      <w:r>
        <w:t>errore materiale manifesto;</w:t>
      </w:r>
    </w:p>
    <w:p>
      <w:pPr>
        <w:keepNext/>
        <w:widowControl/>
        <w:numPr>
          <w:ilvl w:val="1"/>
          <w:numId w:val="26"/>
        </w:numPr>
        <w:spacing w:after="80" w:line="259" w:lineRule="auto"/>
        <w:ind w:left="567" w:hanging="255"/>
      </w:pPr>
      <w:r>
        <w:t>incongruenze aritmetiche;</w:t>
      </w:r>
    </w:p>
    <w:p>
      <w:pPr>
        <w:widowControl/>
        <w:numPr>
          <w:ilvl w:val="1"/>
          <w:numId w:val="26"/>
        </w:numPr>
        <w:spacing w:after="80" w:line="259" w:lineRule="auto"/>
        <w:ind w:left="567" w:hanging="255"/>
      </w:pPr>
      <w:r>
        <w:t>violazione evidente dei criteri stabiliti.</w:t>
      </w:r>
    </w:p>
    <w:p>
      <w:pPr>
        <w:widowControl/>
        <w:numPr>
          <w:ilvl w:val="0"/>
          <w:numId w:val="26"/>
        </w:numPr>
        <w:spacing w:after="80" w:line="259" w:lineRule="auto"/>
        <w:ind w:left="312" w:hanging="312"/>
      </w:pPr>
      <w:r>
        <w:t>Il riesame è limitato ai profili di legittimità formale. Non sono ammesse contestazioni sul merito valutativo o comparativo.</w:t>
      </w:r>
    </w:p>
    <w:p>
      <w:pPr>
        <w:pStyle w:val="Heading1"/>
      </w:pPr>
      <w:r>
        <w:t>Articolo 13 Proprietà intellettuale</w:t>
      </w:r>
    </w:p>
    <w:p>
      <w:pPr>
        <w:widowControl/>
        <w:numPr>
          <w:ilvl w:val="0"/>
          <w:numId w:val="13"/>
        </w:numPr>
        <w:spacing w:after="80" w:line="259" w:lineRule="auto"/>
        <w:ind w:left="312" w:hanging="312"/>
      </w:pPr>
      <w:r>
        <w:t>La partecipazione alla Challenge non comporta il trasferimento agli Atenei aderenti, al Comitato Organizzatore, alle Commissioni di valutazione o a Google dei diritti di proprietà intellettuale relativi ai progetti e ai materiali realizzati dai partecipanti.</w:t>
      </w:r>
    </w:p>
    <w:p>
      <w:pPr>
        <w:widowControl/>
        <w:numPr>
          <w:ilvl w:val="0"/>
          <w:numId w:val="13"/>
        </w:numPr>
        <w:spacing w:after="80" w:line="259" w:lineRule="auto"/>
        <w:ind w:left="312" w:hanging="312"/>
      </w:pPr>
      <w:r>
        <w:t>La titolarità dei diritti sui risultati prodotti nell’ambito della Challenge è determinata in conformità alla normativa vigente, con particolare riferimento alla Legge 22 aprile 1941, n. 633, in materia di diritto d’autore, e al Decreto legislativo 10 febbraio 2005, n. 30, recante il Codice della proprietà industriale, nonché alle eventuali disposizioni regolamentari applicabili presso gli Atenei di appartenenza.</w:t>
      </w:r>
    </w:p>
    <w:p>
      <w:pPr>
        <w:widowControl/>
        <w:numPr>
          <w:ilvl w:val="0"/>
          <w:numId w:val="13"/>
        </w:numPr>
        <w:spacing w:after="80" w:line="259" w:lineRule="auto"/>
        <w:ind w:left="312" w:hanging="312"/>
      </w:pPr>
      <w:r>
        <w:t>I diritti d’autore relativi ai contributi creativi originali spettano ai rispettivi autori. Quando il progetto costituisce il risultato del contributo indistinguibile e inscindibile di più componenti del team, i relativi diritti sono esercitati congiuntamente, secondo quanto previsto dalla normativa vigente, fatti salvi eventuali accordi scritti tra gli stessi componenti.</w:t>
      </w:r>
    </w:p>
    <w:p>
      <w:pPr>
        <w:widowControl/>
        <w:numPr>
          <w:ilvl w:val="0"/>
          <w:numId w:val="13"/>
        </w:numPr>
        <w:spacing w:after="80" w:line="259" w:lineRule="auto"/>
        <w:ind w:left="312" w:hanging="312"/>
      </w:pPr>
      <w:r>
        <w:t>Il diritto di essere riconosciuto autore del proprio contributo e gli altri diritti morali previsti dalla legge restano impregiudicati e non possono essere oggetto di rinuncia o di trasferimento.</w:t>
      </w:r>
    </w:p>
    <w:p>
      <w:pPr>
        <w:widowControl/>
        <w:numPr>
          <w:ilvl w:val="0"/>
          <w:numId w:val="13"/>
        </w:numPr>
        <w:spacing w:after="80" w:line="259" w:lineRule="auto"/>
        <w:ind w:left="312" w:hanging="312"/>
      </w:pPr>
      <w:r>
        <w:t>Gli eventuali diritti di proprietà industriale derivanti dai progetti, compreso il diritto al rilascio di brevetti o di altri titoli di protezione, spettano ai soggetti individuati dal Codice della proprietà industriale, fatte salve le disposizioni applicabili alle invenzioni realizzate nell’ambito di rapporti di lavoro, ricerca o collaborazione con gli Atenei.</w:t>
      </w:r>
    </w:p>
    <w:p>
      <w:pPr>
        <w:keepNext/>
        <w:widowControl/>
        <w:numPr>
          <w:ilvl w:val="0"/>
          <w:numId w:val="13"/>
        </w:numPr>
        <w:spacing w:after="80" w:line="259" w:lineRule="auto"/>
        <w:ind w:left="312" w:hanging="312"/>
      </w:pPr>
      <w:r>
        <w:t>Ciascun team garantisce che, per quanto di propria conoscenza, i materiali presentati:</w:t>
      </w:r>
    </w:p>
    <w:p>
      <w:pPr>
        <w:keepNext/>
        <w:widowControl/>
        <w:spacing w:after="80" w:line="259" w:lineRule="auto"/>
        <w:ind w:left="255" w:hanging="255"/>
      </w:pPr>
      <w:r>
        <w:t>a) sono originali o legittimamente utilizzati;</w:t>
      </w:r>
    </w:p>
    <w:p>
      <w:pPr>
        <w:keepNext/>
        <w:widowControl/>
        <w:spacing w:after="80" w:line="259" w:lineRule="auto"/>
        <w:ind w:left="255" w:hanging="255"/>
      </w:pPr>
      <w:r>
        <w:t>b) non violano diritti d’autore, diritti di proprietà industriale, obblighi di riservatezza o altri diritti di terzi;</w:t>
      </w:r>
    </w:p>
    <w:p>
      <w:pPr>
        <w:keepNext/>
        <w:widowControl/>
        <w:spacing w:after="80" w:line="259" w:lineRule="auto"/>
        <w:ind w:left="255" w:hanging="255"/>
      </w:pPr>
      <w:r>
        <w:t>c) riportano correttamente le fonti e gli autori dei materiali utilizzati;</w:t>
      </w:r>
    </w:p>
    <w:p>
      <w:pPr>
        <w:widowControl/>
        <w:spacing w:after="80" w:line="259" w:lineRule="auto"/>
        <w:ind w:left="255" w:hanging="255"/>
      </w:pPr>
      <w:r>
        <w:t>d) rispettano le condizioni delle eventuali licenze applicabili.</w:t>
      </w:r>
    </w:p>
    <w:p>
      <w:pPr>
        <w:widowControl/>
        <w:numPr>
          <w:ilvl w:val="0"/>
          <w:numId w:val="16"/>
        </w:numPr>
        <w:spacing w:after="80" w:line="259" w:lineRule="auto"/>
        <w:ind w:left="312" w:hanging="312"/>
      </w:pPr>
      <w:r>
        <w:t>L’impiego di materiali, software, banche dati, immagini, marchi o altri contenuti appartenenti a terzi deve essere espressamente dichiarato. Restano impregiudicati i diritti dei rispettivi titolari sui materiali preesistenti incorporati o utilizzati nel progetto.</w:t>
      </w:r>
    </w:p>
    <w:p>
      <w:pPr>
        <w:widowControl/>
        <w:numPr>
          <w:ilvl w:val="0"/>
          <w:numId w:val="16"/>
        </w:numPr>
        <w:spacing w:after="80" w:line="259" w:lineRule="auto"/>
        <w:ind w:left="312" w:hanging="312"/>
      </w:pPr>
      <w:r>
        <w:t>L’utilizzo di strumenti di intelligenza artificiale generativa deve essere dichiarato secondo le modalità stabilite dagli organizzatori. I partecipanti sono tenuti a verificare la legittima utilizzabilità degli elementi inseriti negli strumenti e dei contenuti generati, nonché il rispetto delle relative condizioni contrattuali. L’utilizzo di tali strumenti non attribuisce automaticamente ai partecipanti diritti esclusivi sui risultati prodotti.</w:t>
      </w:r>
    </w:p>
    <w:p>
      <w:pPr>
        <w:widowControl/>
        <w:numPr>
          <w:ilvl w:val="0"/>
          <w:numId w:val="16"/>
        </w:numPr>
        <w:spacing w:after="80" w:line="259" w:lineRule="auto"/>
        <w:ind w:left="312" w:hanging="312"/>
      </w:pPr>
      <w:r>
        <w:t>I partecipanti concedono agli Atenei aderenti, per la durata di cinque anni dalla conclusione della Challenge, una licenza gratuita, non esclusiva e non cedibile per riprodurre, pubblicare e comunicare i progetti, integralmente o per estratto, esclusivamente per finalità istituzionali, didattiche, scientifiche, documentali e di comunicazione dell’iniziativa, con l’indicazione dei nomi degli autori.</w:t>
      </w:r>
    </w:p>
    <w:p>
      <w:pPr>
        <w:widowControl/>
        <w:numPr>
          <w:ilvl w:val="0"/>
          <w:numId w:val="16"/>
        </w:numPr>
        <w:spacing w:after="80" w:line="259" w:lineRule="auto"/>
        <w:ind w:left="312" w:hanging="312"/>
      </w:pPr>
      <w:r>
        <w:t>La licenza di cui al comma 9 non comprende lo sfruttamento commerciale dei progetti, la concessione di sublicenze né il trasferimento dei relativi diritti a Google o ad altri soggetti. Qualsiasi utilizzazione ulteriore richiede un accordo scritto con i titolari dei diritti.</w:t>
      </w:r>
    </w:p>
    <w:p>
      <w:pPr>
        <w:widowControl/>
        <w:numPr>
          <w:ilvl w:val="0"/>
          <w:numId w:val="16"/>
        </w:numPr>
        <w:spacing w:after="80" w:line="259" w:lineRule="auto"/>
        <w:ind w:left="312" w:hanging="312"/>
      </w:pPr>
      <w:r>
        <w:t>I partecipanti sono informati che la presentazione dei progetti può avvenire in seduta pubblica e che la relativa divulgazione potrebbe incidere sulla possibilità di ottenere brevetti o altri titoli di proprietà industriale. È responsabilità dei partecipanti valutare, prima della presentazione, l’adozione di eventuali misure di tutela e di non divulgare informazioni riservate o appartenenti a terzi.</w:t>
      </w:r>
    </w:p>
    <w:p>
      <w:pPr>
        <w:widowControl/>
        <w:numPr>
          <w:ilvl w:val="0"/>
          <w:numId w:val="16"/>
        </w:numPr>
        <w:spacing w:after="80" w:line="259" w:lineRule="auto"/>
        <w:ind w:left="312" w:hanging="312"/>
      </w:pPr>
      <w:r>
        <w:t>In caso di contestazioni relative alla titolarità o all’utilizzazione dei contenuti, i componenti del team collaborano con gli organizzatori per fornire gli elementi necessari alla relativa verifica, ferme restando le responsabilità previste dalla normativa vigente.</w:t>
      </w:r>
    </w:p>
    <w:p>
      <w:pPr>
        <w:pStyle w:val="Heading1"/>
      </w:pPr>
      <w:r>
        <w:t>Articolo 14 Trattamento dei dati personali</w:t>
      </w:r>
    </w:p>
    <w:p>
      <w:pPr>
        <w:widowControl/>
        <w:numPr>
          <w:ilvl w:val="0"/>
          <w:numId w:val="14"/>
        </w:numPr>
        <w:spacing w:after="80" w:line="259" w:lineRule="auto"/>
        <w:ind w:left="312" w:hanging="312"/>
      </w:pPr>
      <w:r>
        <w:t>I dati personali dei partecipanti sono trattati nel rispetto del Regolamento (UE) 2016/679, del Decreto legislativo 30 giugno 2003, n. 196, come modificato dal Decreto legislativo 10 agosto 2018, n. 101, e delle ulteriori disposizioni applicabili in materia di protezione dei dati personali.</w:t>
      </w:r>
    </w:p>
    <w:p>
      <w:pPr>
        <w:widowControl/>
        <w:numPr>
          <w:ilvl w:val="0"/>
          <w:numId w:val="14"/>
        </w:numPr>
        <w:spacing w:after="80" w:line="259" w:lineRule="auto"/>
        <w:ind w:left="312" w:hanging="312"/>
      </w:pPr>
      <w:r>
        <w:t>I dati sono utilizzati esclusivamente per finalità connesse all’organizzazione e allo svolgimento della Challenge.</w:t>
      </w:r>
    </w:p>
    <w:p>
      <w:pPr>
        <w:widowControl/>
        <w:numPr>
          <w:ilvl w:val="0"/>
          <w:numId w:val="14"/>
        </w:numPr>
        <w:spacing w:after="80" w:line="259" w:lineRule="auto"/>
        <w:ind w:left="312" w:hanging="312"/>
      </w:pPr>
      <w:r>
        <w:t>I titolari del trattamento e i rispettivi ruoli e responsabilità sono individuati nell’informativa resa ai partecipanti ai sensi degli articoli 13 e 14 del Regolamento (UE) 2016/679. Qualora il trattamento sia effettuato congiuntamente da più Atenei, i relativi rapporti sono disciplinati ai sensi dell’articolo 26 del medesimo Regolamento.</w:t>
      </w:r>
    </w:p>
    <w:p>
      <w:pPr>
        <w:widowControl/>
        <w:numPr>
          <w:ilvl w:val="0"/>
          <w:numId w:val="14"/>
        </w:numPr>
        <w:spacing w:after="80" w:line="259" w:lineRule="auto"/>
        <w:ind w:left="312" w:hanging="312"/>
      </w:pPr>
      <w:r>
        <w:t>Durante le attività possono essere effettuate riprese fotografiche, audio e video per finalità di documentazione e comunicazione istituzionale. I partecipanti ricevono una specifica informativa sulle modalità di realizzazione e utilizzo delle riprese.</w:t>
      </w:r>
    </w:p>
    <w:p>
      <w:pPr>
        <w:widowControl/>
        <w:numPr>
          <w:ilvl w:val="0"/>
          <w:numId w:val="14"/>
        </w:numPr>
        <w:spacing w:after="80" w:line="259" w:lineRule="auto"/>
        <w:ind w:left="312" w:hanging="312"/>
      </w:pPr>
      <w:r>
        <w:t>Nei casi in cui l’utilizzo dell’immagine richieda il consenso dell’interessato, questo è acquisito mediante una dichiarazione separata, specifica e revocabile. Il mancato consenso all’utilizzo dell’immagine non pregiudica la partecipazione alla Challenge né incide sulla valutazione del progetto.</w:t>
      </w:r>
    </w:p>
    <w:p>
      <w:pPr>
        <w:widowControl/>
        <w:numPr>
          <w:ilvl w:val="0"/>
          <w:numId w:val="14"/>
        </w:numPr>
        <w:spacing w:after="80" w:line="259" w:lineRule="auto"/>
        <w:ind w:left="312" w:hanging="312"/>
      </w:pPr>
      <w:r>
        <w:t>I partecipanti non devono inserire negli strumenti di intelligenza artificiale generativa dati personali, informazioni riservate o dati relativi a terzi, salvo che ciò sia espressamente autorizzato e avvenga nel rispetto delle indicazioni fornite dagli organizzatori.</w:t>
      </w:r>
    </w:p>
    <w:p>
      <w:pPr>
        <w:pStyle w:val="Heading1"/>
      </w:pPr>
      <w:r>
        <w:t>Articolo 15 Responsabilità e cause di forza maggiore</w:t>
      </w:r>
    </w:p>
    <w:p>
      <w:pPr>
        <w:widowControl/>
        <w:numPr>
          <w:ilvl w:val="0"/>
          <w:numId w:val="19"/>
        </w:numPr>
        <w:spacing w:after="80" w:line="259" w:lineRule="auto"/>
        <w:ind w:left="312" w:hanging="312"/>
      </w:pPr>
      <w:r>
        <w:t>Gli Atenei aderenti e il Comitato Organizzatore adottano le misure organizzative e tecniche ragionevolmente necessarie per assicurare il regolare svolgimento della Challenge, nel rispetto del presente Regolamento e del principio di parità di trattamento tra i partecipanti.</w:t>
      </w:r>
    </w:p>
    <w:p>
      <w:pPr>
        <w:widowControl/>
        <w:numPr>
          <w:ilvl w:val="0"/>
          <w:numId w:val="19"/>
        </w:numPr>
        <w:spacing w:after="80" w:line="259" w:lineRule="auto"/>
        <w:ind w:left="312" w:hanging="312"/>
      </w:pPr>
      <w:r>
        <w:t>Gli organizzatori non rispondono di ritardi, interruzioni o malfunzionamenti derivanti da eventi di forza maggiore, caso fortuito, indisponibilità delle sedi o dei servizi tecnologici e, più in generale, da cause non direttamente imputabili agli stessi.</w:t>
      </w:r>
    </w:p>
    <w:p>
      <w:pPr>
        <w:widowControl/>
        <w:numPr>
          <w:ilvl w:val="0"/>
          <w:numId w:val="19"/>
        </w:numPr>
        <w:spacing w:after="80" w:line="259" w:lineRule="auto"/>
        <w:ind w:left="312" w:hanging="312"/>
      </w:pPr>
      <w:r>
        <w:t>Qualora un impedimento tecnico o organizzativo possa incidere sul regolare svolgimento della prova, gli organizzatori adottano, ove possibile, misure correttive o modalità alternative idonee a garantire condizioni uniformi per tutti i team interessati.</w:t>
      </w:r>
    </w:p>
    <w:p>
      <w:pPr>
        <w:widowControl/>
        <w:numPr>
          <w:ilvl w:val="0"/>
          <w:numId w:val="19"/>
        </w:numPr>
        <w:spacing w:after="80" w:line="259" w:lineRule="auto"/>
        <w:ind w:left="312" w:hanging="312"/>
      </w:pPr>
      <w:r>
        <w:t>Per motivate esigenze organizzative, per ragioni di sicurezza o in presenza di eventi sopravvenuti non prevedibili, gli organizzatori possono modificare, sospendere, rinviare o annullare la Challenge, dandone tempestiva comunicazione ai partecipanti. Le eventuali modifiche non possono incidere ingiustificatamente sulla parità di trattamento.</w:t>
      </w:r>
    </w:p>
    <w:p>
      <w:pPr>
        <w:keepNext/>
        <w:widowControl/>
        <w:numPr>
          <w:ilvl w:val="0"/>
          <w:numId w:val="19"/>
        </w:numPr>
        <w:spacing w:after="80" w:line="259" w:lineRule="auto"/>
        <w:ind w:left="312" w:hanging="312"/>
      </w:pPr>
      <w:r>
        <w:t>Gli organizzatori non rispondono delle conseguenze derivanti:</w:t>
      </w:r>
    </w:p>
    <w:p>
      <w:pPr>
        <w:keepNext/>
        <w:widowControl/>
        <w:spacing w:after="80" w:line="259" w:lineRule="auto"/>
        <w:ind w:left="255" w:hanging="255"/>
      </w:pPr>
      <w:r>
        <w:t>a) dall’inosservanza del presente Regolamento o delle istruzioni operative da parte dei partecipanti;</w:t>
      </w:r>
    </w:p>
    <w:p>
      <w:pPr>
        <w:keepNext/>
        <w:widowControl/>
        <w:spacing w:after="80" w:line="259" w:lineRule="auto"/>
        <w:ind w:left="255" w:hanging="255"/>
      </w:pPr>
      <w:r>
        <w:t>b) dall’utilizzo improprio degli strumenti tecnologici messi a disposizione;</w:t>
      </w:r>
    </w:p>
    <w:p>
      <w:pPr>
        <w:keepNext/>
        <w:widowControl/>
        <w:spacing w:after="80" w:line="259" w:lineRule="auto"/>
        <w:ind w:left="255" w:hanging="255"/>
      </w:pPr>
      <w:r>
        <w:t>c) dall’inserimento o dalla diffusione, da parte dei partecipanti, di dati personali, informazioni riservate o contenuti appartenenti a terzi senza la necessaria autorizzazione;</w:t>
      </w:r>
    </w:p>
    <w:p>
      <w:pPr>
        <w:widowControl/>
        <w:spacing w:after="80" w:line="259" w:lineRule="auto"/>
        <w:ind w:left="255" w:hanging="255"/>
      </w:pPr>
      <w:r>
        <w:t>d) dalla violazione, da parte dei partecipanti, di diritti d’autore, diritti di proprietà industriale o condizioni di utilizzo delle piattaforme impiegate.</w:t>
      </w:r>
    </w:p>
    <w:p>
      <w:pPr>
        <w:widowControl/>
        <w:numPr>
          <w:ilvl w:val="0"/>
          <w:numId w:val="15"/>
        </w:numPr>
        <w:spacing w:after="80" w:line="259" w:lineRule="auto"/>
        <w:ind w:left="312" w:hanging="312"/>
      </w:pPr>
      <w:r>
        <w:t>Restano ferme le responsabilità degli Atenei, degli organizzatori e degli altri soggetti coinvolti nei casi e nei limiti inderogabilmente previsti dalla legge.</w:t>
      </w:r>
    </w:p>
    <w:p>
      <w:pPr>
        <w:pStyle w:val="Heading1"/>
      </w:pPr>
      <w:r>
        <w:t>Articolo 16 Accettazione del Regolamento</w:t>
      </w:r>
    </w:p>
    <w:p>
      <w:pPr>
        <w:keepNext/>
        <w:widowControl/>
        <w:numPr>
          <w:ilvl w:val="0"/>
          <w:numId w:val="1"/>
        </w:numPr>
        <w:spacing w:after="80" w:line="259" w:lineRule="auto"/>
        <w:ind w:left="312" w:hanging="312"/>
      </w:pPr>
      <w:r>
        <w:t>Con la candidatura, i partecipanti:</w:t>
      </w:r>
    </w:p>
    <w:p>
      <w:pPr>
        <w:keepNext/>
        <w:widowControl/>
        <w:numPr>
          <w:ilvl w:val="1"/>
          <w:numId w:val="1"/>
        </w:numPr>
        <w:spacing w:after="80" w:line="259" w:lineRule="auto"/>
        <w:ind w:left="567" w:hanging="255"/>
      </w:pPr>
      <w:r>
        <w:t>accettano la natura non concorsuale dell’iniziativa;</w:t>
      </w:r>
    </w:p>
    <w:p>
      <w:pPr>
        <w:keepNext/>
        <w:widowControl/>
        <w:numPr>
          <w:ilvl w:val="1"/>
          <w:numId w:val="1"/>
        </w:numPr>
        <w:spacing w:after="80" w:line="259" w:lineRule="auto"/>
        <w:ind w:left="567" w:hanging="255"/>
      </w:pPr>
      <w:r>
        <w:t>dichiarano di conoscere e accettare integralmente il presente Regolamento;</w:t>
      </w:r>
    </w:p>
    <w:p>
      <w:pPr>
        <w:keepNext/>
        <w:widowControl/>
        <w:numPr>
          <w:ilvl w:val="1"/>
          <w:numId w:val="1"/>
        </w:numPr>
        <w:spacing w:after="80" w:line="259" w:lineRule="auto"/>
        <w:ind w:left="567" w:hanging="255"/>
      </w:pPr>
      <w:r>
        <w:t>prendono atto che la valutazione dei progetti è rimessa alla competenza tecnico-discrezionale delle Commissioni giudicatrici;</w:t>
      </w:r>
    </w:p>
    <w:p>
      <w:pPr>
        <w:widowControl/>
        <w:numPr>
          <w:ilvl w:val="1"/>
          <w:numId w:val="1"/>
        </w:numPr>
        <w:spacing w:after="80" w:line="259" w:lineRule="auto"/>
        <w:ind w:left="567" w:hanging="255"/>
      </w:pPr>
      <w:r>
        <w:t>accettano che non sono ammesse richieste finalizzate esclusivamente a ottenere una nuova valutazione di merito del progetto.</w:t>
      </w:r>
    </w:p>
    <w:p>
      <w:pPr>
        <w:pStyle w:val="Heading1"/>
      </w:pPr>
      <w:r>
        <w:t>Articolo 17 Uniformità inter-Ateneo</w:t>
      </w:r>
    </w:p>
    <w:p>
      <w:pPr>
        <w:widowControl/>
        <w:numPr>
          <w:ilvl w:val="0"/>
          <w:numId w:val="22"/>
        </w:numPr>
        <w:spacing w:after="80" w:line="259" w:lineRule="auto"/>
        <w:ind w:left="312" w:hanging="312"/>
      </w:pPr>
      <w:r>
        <w:t>Il presente Regolamento è adottato in forma congiunta dai 10 Atenei aderenti.</w:t>
      </w:r>
    </w:p>
    <w:p>
      <w:pPr>
        <w:widowControl/>
        <w:numPr>
          <w:ilvl w:val="0"/>
          <w:numId w:val="22"/>
        </w:numPr>
        <w:spacing w:after="80" w:line="259" w:lineRule="auto"/>
        <w:ind w:left="312" w:hanging="312"/>
      </w:pPr>
      <w:r>
        <w:t>Non sono ammesse modifiche sostanziali unilaterali.</w:t>
      </w:r>
    </w:p>
    <w:p>
      <w:pPr>
        <w:widowControl/>
        <w:numPr>
          <w:ilvl w:val="0"/>
          <w:numId w:val="22"/>
        </w:numPr>
        <w:spacing w:after="80" w:line="259" w:lineRule="auto"/>
        <w:ind w:left="312" w:hanging="312"/>
      </w:pPr>
      <w:r>
        <w:t>Eventuali chiarimenti interpretativi sono concordati congiuntamente.</w:t>
      </w:r>
    </w:p>
    <w:p>
      <w:pPr>
        <w:pStyle w:val="Heading1"/>
      </w:pPr>
      <w:r>
        <w:t>Articolo 18 Legge applicabile e foro competente</w:t>
      </w:r>
    </w:p>
    <w:p>
      <w:pPr>
        <w:widowControl/>
        <w:numPr>
          <w:ilvl w:val="0"/>
          <w:numId w:val="18"/>
        </w:numPr>
        <w:spacing w:after="80" w:line="259" w:lineRule="auto"/>
        <w:ind w:left="312" w:hanging="312"/>
      </w:pPr>
      <w:r>
        <w:t>Il presente Regolamento e la procedura di selezione sono regolati dalla legge italiana e dalla normativa applicabile agli Atenei aderenti.</w:t>
      </w:r>
    </w:p>
    <w:p>
      <w:pPr>
        <w:widowControl/>
        <w:numPr>
          <w:ilvl w:val="0"/>
          <w:numId w:val="18"/>
        </w:numPr>
        <w:spacing w:after="80" w:line="259" w:lineRule="auto"/>
        <w:ind w:left="312" w:hanging="312"/>
      </w:pPr>
      <w:r>
        <w:t>Per le eventuali controversie relative alla procedura di selezione, la giurisdizione e la competenza territoriale sono individuate secondo le disposizioni inderogabili di legge, tenuto conto della natura della controversia e dell’Ateneo cui è riferibile l’atto o il comportamento contestato.</w:t>
      </w:r>
    </w:p>
    <w:p>
      <w:pPr>
        <w:widowControl/>
        <w:numPr>
          <w:ilvl w:val="0"/>
          <w:numId w:val="18"/>
        </w:numPr>
        <w:spacing w:after="80" w:line="259" w:lineRule="auto"/>
        <w:ind w:left="312" w:hanging="312"/>
      </w:pPr>
      <w:r>
        <w:t>La presentazione della richiesta di riesame prevista dall’articolo 12 non preclude il ricorso agli strumenti di tutela amministrativa o giurisdizionale riconosciuti dall’ordinamento.</w:t>
      </w: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01/10/2026 | Allineato al PDF ricevuto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555555"/>
        <w:sz w:val="16"/>
      </w:rPr>
      <w:t>GOOGLE CHALLENGE HAMU 2026  |  TESTO IN APPROVAZIONE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80" w:line="259" w:lineRule="auto"/>
    </w:pPr>
    <w:rPr>
      <w:rFonts w:ascii="Arial" w:hAnsi="Arial"/>
      <w:color w:val="000000"/>
      <w:sz w:val="21"/>
      <w:lang w:val="it-I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59"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00" w:line="259"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160" w:line="259" w:lineRule="auto"/>
      <w:contextualSpacing/>
    </w:pPr>
    <w:rPr>
      <w:rFonts w:asciiTheme="majorHAnsi" w:eastAsiaTheme="majorEastAsia" w:hAnsiTheme="majorHAnsi" w:cstheme="majorBidi" w:ascii="Arial" w:hAnsi="Arial"/>
      <w:color w:val="000000"/>
      <w:spacing w:val="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numPr>
        <w:ilvl w:val="1"/>
      </w:numPr>
      <w:spacing w:after="100" w:line="259" w:lineRule="auto"/>
    </w:pPr>
    <w:rPr>
      <w:rFonts w:asciiTheme="majorHAnsi" w:eastAsiaTheme="majorEastAsia" w:hAnsiTheme="majorHAnsi" w:cstheme="majorBidi" w:ascii="Arial" w:hAnsi="Arial"/>
      <w:i w:val="0"/>
      <w:iCs/>
      <w:color w:val="000000"/>
      <w:spacing w:val="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60" w:line="259" w:lineRule="auto"/>
      <w:ind w:left="255" w:hanging="113"/>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Challenge HAMU 2026</dc:title>
  <dc:subject>Copia italiana del regolamento unificato PDF ricevuto il 1 ottobre 2026</dc:subject>
  <dc:creator/>
  <cp:keywords/>
  <dc:description/>
  <cp:lastModifiedBy/>
  <cp:revision>1</cp:revision>
  <dcterms:created xsi:type="dcterms:W3CDTF">2013-12-23T23:15:00Z</dcterms:created>
  <dcterms:modified xsi:type="dcterms:W3CDTF">2026-10-01T05:38:45Z</dcterms:modified>
  <cp:category/>
</cp:coreProperties>
</file>