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Ontwerpproces iXperium Planet Concept</w:t>
      </w:r>
    </w:p>
    <w:p>
      <w:pPr>
        <w:pStyle w:val="Subtitle"/>
      </w:pPr>
      <w:r>
        <w:t>Compact ontwerpverslag met focus op design, onderzoek en iteratie</w:t>
      </w:r>
    </w:p>
    <w:p>
      <w:pPr>
        <w:spacing w:after="240"/>
      </w:pPr>
      <w:r>
        <w:rPr>
          <w:b/>
        </w:rPr>
        <w:t xml:space="preserve">Project: </w:t>
      </w:r>
      <w:r>
        <w:t>dual-surface interactieve installatie voor HAN iXperium Smart Industry</w:t>
      </w:r>
      <w:r>
        <w:t xml:space="preserve">  |  </w:t>
      </w:r>
      <w:r>
        <w:rPr>
          <w:b/>
        </w:rPr>
        <w:t xml:space="preserve">Datum: </w:t>
      </w:r>
      <w:r>
        <w:t>5 juni 2026</w:t>
      </w:r>
    </w:p>
    <w:p>
      <w:pPr>
        <w:pStyle w:val="Callout"/>
      </w:pPr>
      <w:r>
        <w:rPr>
          <w:b/>
          <w:color w:val="1F4D78"/>
        </w:rPr>
        <w:t>Kern van het ontwerp:</w:t>
      </w:r>
      <w:r>
        <w:t xml:space="preserve"> een publieke touchtafel waarop bezoekers door een universum van Smart Industry-thema's navigeren, gekoppeld aan een kiosk-scherm dat live de gekozen context, cases en verdieping toont.</w:t>
      </w:r>
    </w:p>
    <w:p>
      <w:pPr>
        <w:pStyle w:val="Heading1"/>
      </w:pPr>
      <w:r>
        <w:t>1. Ontwerpvraag</w:t>
      </w:r>
    </w:p>
    <w:p>
      <w:r>
        <w:t>De oorspronkelijke ontwerpvraag draaide om een touchscreen-first ervaring voor een publieke iXperium Smart Industry-opstelling. De interface moest direct aandacht trekken, maar ook zonder uitleg te gebruiken zijn. Daarom is gekozen voor een ruimtelijk model: een grote centrale planeet als focus, daaromheen een brede horizontale orbit met kleinere planeten als keuzes.</w:t>
      </w:r>
    </w:p>
    <w:p>
      <w:r>
        <w:t>Belangrijke eisen waren: grote touch targets, geen desktopachtige UI, een overtuigende diepte-illusie, vloeiende momentum-interactie en een detailniveau dat toch onderdeel blijft van hetzelfde universum. Het ontwerp moest premium en institutioneel aanvoelen: spectaculair genoeg voor een publieksinstallatie, maar niet kinderlijk of gamey.</w:t>
      </w:r>
    </w:p>
    <w:p>
      <w:pPr>
        <w:pStyle w:val="Heading1"/>
      </w:pPr>
      <w:r>
        <w:t>2. Onderzoek en uitgangspunten</w:t>
      </w:r>
    </w:p>
    <w:p>
      <w:r>
        <w:t>Het onderzoek bestond uit drie sporen: de publiekscontext, de inhoudelijke kennisstructuur en de visuele/technische haalbaarheid. Voor de publiekscontext was de aanname dat bezoekers kort blijven staan en snel moeten begrijpen wat er gebeurt. Daarom is de eerste interactie bewust simpel gehouden: draaien, focussen en tikken.</w:t>
      </w:r>
    </w:p>
    <w:p>
      <w:pPr>
        <w:pStyle w:val="ListBullet"/>
        <w:spacing w:after="80" w:line="280" w:lineRule="auto"/>
        <w:ind w:left="720" w:hanging="360"/>
      </w:pPr>
      <w:r>
        <w:t>Doelgroep: bezoekers van een publieke installatie, vaak zonder voorkennis van de applicatie.</w:t>
      </w:r>
    </w:p>
    <w:p>
      <w:pPr>
        <w:pStyle w:val="ListBullet"/>
        <w:spacing w:after="80" w:line="280" w:lineRule="auto"/>
        <w:ind w:left="720" w:hanging="360"/>
      </w:pPr>
      <w:r>
        <w:t>Domein: Smart Industry-thema's gekoppeld aan HAN-lectoraten, labs, toolkits en concrete cases.</w:t>
      </w:r>
    </w:p>
    <w:p>
      <w:pPr>
        <w:pStyle w:val="ListBullet"/>
        <w:spacing w:after="80" w:line="280" w:lineRule="auto"/>
        <w:ind w:left="720" w:hanging="360"/>
      </w:pPr>
      <w:r>
        <w:t>Huisstijl: iXperium/HAN-signalen via logo, Overpass Bold en groen/blauwe merkaccenten.</w:t>
      </w:r>
    </w:p>
    <w:p>
      <w:pPr>
        <w:pStyle w:val="ListBullet"/>
        <w:spacing w:after="80" w:line="280" w:lineRule="auto"/>
        <w:ind w:left="720" w:hanging="360"/>
      </w:pPr>
      <w:r>
        <w:t>Visuele referenties: ruimte, elliptische ringen, vectorplaneten, zachte gloed en een Kurzgesagt-achtige helderheid.</w:t>
      </w:r>
    </w:p>
    <w:p>
      <w:pPr>
        <w:pStyle w:val="ListBullet"/>
        <w:spacing w:after="80" w:line="280" w:lineRule="auto"/>
        <w:ind w:left="720" w:hanging="360"/>
      </w:pPr>
      <w:r>
        <w:t>Technische toets: animatie, performance en realtime sync zijn gebruikt als ontwerponderzoek, niet alleen als implementatiedetail.</w:t>
      </w:r>
    </w:p>
    <w:p>
      <w:pPr>
        <w:pStyle w:val="Heading1"/>
      </w:pPr>
      <w:r>
        <w:t>3. Conceptontwikkeling</w:t>
      </w:r>
    </w:p>
    <w:p>
      <w:r>
        <w:t>Het concept is uitgewerkt als een kennisuniversum. In plaats van een klassiek menu krijgt elk thema een eigen planeet. De orbit is geen perfecte cirkel, maar een gekantelde horizontale ellips. Planeten aan de voorkant zijn groter, helderder en beter klikbaar; planeten aan de achterkant zijn kleiner, donkerder en deels verborgen achter de centrale planeet. Die regel is belangrijk, omdat de interface anders alleen decoratief wordt en de ruimtelijkheid niet meer klopt.</w:t>
      </w:r>
    </w:p>
    <w:p>
      <w:r>
        <w:t>Er is ook bewust gezocht naar een balans tussen spektakel en informatie. De touchtafel is primair het exploratieve instrument; de kiosk is de rustige contextlaag. Daardoor hoeft de tafel niet alle tekst te tonen, terwijl de kiosk wel genoeg ruimte heeft voor intro, detailtekst, highlights, toepassingen en bronvermelding.</w:t>
      </w:r>
    </w:p>
    <w:p>
      <w:pPr>
        <w:pStyle w:val="Heading1"/>
      </w:pPr>
      <w:r>
        <w:t>Informatiearchitectuur</w:t>
      </w:r>
    </w:p>
    <w:p>
      <w:r>
        <w:t>Parallel aan de visuele verkenning is de inhoud geordend tot herhaalbare kennisroutes. Elke route heeft een korte introductie, verdieping, highlights, toepassingen, bronlabel, beeldmateriaal en gerelateerde items. Daardoor kan dezelfde interactievorm worden gebruikt voor hoofdthema, submenu en detailpagina.</w:t>
      </w:r>
    </w:p>
    <w:tbl>
      <w:tblPr>
        <w:tblStyle w:val="TableGrid"/>
        <w:tblW w:type="dxa" w:w="9360"/>
        <w:jc w:val="left"/>
        <w:tblLayout w:type="fixed"/>
        <w:tblLook w:firstColumn="1" w:firstRow="1" w:lastColumn="0" w:lastRow="0" w:noHBand="0" w:noVBand="1" w:val="04A0"/>
        <w:tblInd w:type="dxa" w:w="120"/>
        <w:tblCellMar>
          <w:top w:w="80" w:type="dxa"/>
          <w:bottom w:w="80" w:type="dxa"/>
          <w:start w:w="120" w:type="dxa"/>
          <w:end w:w="120" w:type="dxa"/>
        </w:tblCellMar>
      </w:tblPr>
      <w:tblGrid>
        <w:gridCol w:w="1900"/>
        <w:gridCol w:w="3600"/>
        <w:gridCol w:w="3860"/>
      </w:tblGrid>
      <w:tr>
        <w:tc>
          <w:tcPr>
            <w:tcW w:type="dxa" w:w="1900"/>
            <w:shd w:fill="F2F4F7"/>
            <w:vAlign w:val="center"/>
          </w:tcPr>
          <w:p>
            <w:pPr>
              <w:pStyle w:val="TableText"/>
              <w:spacing w:after="0"/>
            </w:pPr>
            <w:r/>
            <w:r>
              <w:rPr>
                <w:b/>
                <w:color w:val="1F4D78"/>
              </w:rPr>
              <w:t>Route</w:t>
            </w:r>
          </w:p>
        </w:tc>
        <w:tc>
          <w:tcPr>
            <w:tcW w:type="dxa" w:w="3600"/>
            <w:shd w:fill="F2F4F7"/>
            <w:vAlign w:val="center"/>
          </w:tcPr>
          <w:p>
            <w:pPr>
              <w:pStyle w:val="TableText"/>
              <w:spacing w:after="0"/>
            </w:pPr>
            <w:r/>
            <w:r>
              <w:rPr>
                <w:b/>
                <w:color w:val="1F4D78"/>
              </w:rPr>
              <w:t>Onderzoeksinhoud</w:t>
            </w:r>
          </w:p>
        </w:tc>
        <w:tc>
          <w:tcPr>
            <w:tcW w:type="dxa" w:w="3860"/>
            <w:shd w:fill="F2F4F7"/>
            <w:vAlign w:val="center"/>
          </w:tcPr>
          <w:p>
            <w:pPr>
              <w:pStyle w:val="TableText"/>
              <w:spacing w:after="0"/>
            </w:pPr>
            <w:r/>
            <w:r>
              <w:rPr>
                <w:b/>
                <w:color w:val="1F4D78"/>
              </w:rPr>
              <w:t>Ontwerpbetekenis</w:t>
            </w:r>
          </w:p>
        </w:tc>
      </w:tr>
      <w:tr>
        <w:tc>
          <w:tcPr>
            <w:tcW w:type="dxa" w:w="1900"/>
            <w:vAlign w:val="center"/>
          </w:tcPr>
          <w:p>
            <w:pPr>
              <w:pStyle w:val="TableText"/>
              <w:spacing w:after="0"/>
            </w:pPr>
            <w:r/>
            <w:r>
              <w:rPr>
                <w:b/>
                <w:color w:val="222222"/>
              </w:rPr>
              <w:t>Artificial Intelligence</w:t>
            </w:r>
          </w:p>
        </w:tc>
        <w:tc>
          <w:tcPr>
            <w:tcW w:type="dxa" w:w="3600"/>
            <w:vAlign w:val="center"/>
          </w:tcPr>
          <w:p>
            <w:pPr>
              <w:pStyle w:val="TableText"/>
              <w:spacing w:after="0"/>
            </w:pPr>
            <w:r/>
            <w:r>
              <w:rPr>
                <w:b w:val="0"/>
                <w:color w:val="222222"/>
              </w:rPr>
              <w:t>ADSAI, DKE, Datalab, cursussen en cases zoals Roadsense.</w:t>
            </w:r>
          </w:p>
        </w:tc>
        <w:tc>
          <w:tcPr>
            <w:tcW w:type="dxa" w:w="3860"/>
            <w:vAlign w:val="center"/>
          </w:tcPr>
          <w:p>
            <w:pPr>
              <w:pStyle w:val="TableText"/>
              <w:spacing w:after="0"/>
            </w:pPr>
            <w:r/>
            <w:r>
              <w:rPr>
                <w:b w:val="0"/>
                <w:color w:val="222222"/>
              </w:rPr>
              <w:t>Rode/oranje route over data, algoritmes en beslisondersteuning.</w:t>
            </w:r>
          </w:p>
        </w:tc>
      </w:tr>
      <w:tr>
        <w:tc>
          <w:tcPr>
            <w:tcW w:type="dxa" w:w="1900"/>
            <w:vAlign w:val="center"/>
          </w:tcPr>
          <w:p>
            <w:pPr>
              <w:pStyle w:val="TableText"/>
              <w:spacing w:after="0"/>
            </w:pPr>
            <w:r/>
            <w:r>
              <w:rPr>
                <w:b/>
                <w:color w:val="222222"/>
              </w:rPr>
              <w:t>XR &amp; HMI</w:t>
            </w:r>
          </w:p>
        </w:tc>
        <w:tc>
          <w:tcPr>
            <w:tcW w:type="dxa" w:w="3600"/>
            <w:vAlign w:val="center"/>
          </w:tcPr>
          <w:p>
            <w:pPr>
              <w:pStyle w:val="TableText"/>
              <w:spacing w:after="0"/>
            </w:pPr>
            <w:r/>
            <w:r>
              <w:rPr>
                <w:b w:val="0"/>
                <w:color w:val="222222"/>
              </w:rPr>
              <w:t>Media Design, Lean, Usability Lab, flexibele werkinstructies.</w:t>
            </w:r>
          </w:p>
        </w:tc>
        <w:tc>
          <w:tcPr>
            <w:tcW w:type="dxa" w:w="3860"/>
            <w:vAlign w:val="center"/>
          </w:tcPr>
          <w:p>
            <w:pPr>
              <w:pStyle w:val="TableText"/>
              <w:spacing w:after="0"/>
            </w:pPr>
            <w:r/>
            <w:r>
              <w:rPr>
                <w:b w:val="0"/>
                <w:color w:val="222222"/>
              </w:rPr>
              <w:t>Paarse route waarin mensgerichte interactie en testen centraal staan.</w:t>
            </w:r>
          </w:p>
        </w:tc>
      </w:tr>
      <w:tr>
        <w:tc>
          <w:tcPr>
            <w:tcW w:type="dxa" w:w="1900"/>
            <w:vAlign w:val="center"/>
          </w:tcPr>
          <w:p>
            <w:pPr>
              <w:pStyle w:val="TableText"/>
              <w:spacing w:after="0"/>
            </w:pPr>
            <w:r/>
            <w:r>
              <w:rPr>
                <w:b/>
                <w:color w:val="222222"/>
              </w:rPr>
              <w:t>Digital Twin</w:t>
            </w:r>
          </w:p>
        </w:tc>
        <w:tc>
          <w:tcPr>
            <w:tcW w:type="dxa" w:w="3600"/>
            <w:vAlign w:val="center"/>
          </w:tcPr>
          <w:p>
            <w:pPr>
              <w:pStyle w:val="TableText"/>
              <w:spacing w:after="0"/>
            </w:pPr>
            <w:r/>
            <w:r>
              <w:rPr>
                <w:b w:val="0"/>
                <w:color w:val="222222"/>
              </w:rPr>
              <w:t>Lean, DKE, ADSAI, USAC, planning en simulatie.</w:t>
            </w:r>
          </w:p>
        </w:tc>
        <w:tc>
          <w:tcPr>
            <w:tcW w:type="dxa" w:w="3860"/>
            <w:vAlign w:val="center"/>
          </w:tcPr>
          <w:p>
            <w:pPr>
              <w:pStyle w:val="TableText"/>
              <w:spacing w:after="0"/>
            </w:pPr>
            <w:r/>
            <w:r>
              <w:rPr>
                <w:b w:val="0"/>
                <w:color w:val="222222"/>
              </w:rPr>
              <w:t>Blauwe route die fysieke processen en digitale modellen verbindt.</w:t>
            </w:r>
          </w:p>
        </w:tc>
      </w:tr>
      <w:tr>
        <w:tc>
          <w:tcPr>
            <w:tcW w:type="dxa" w:w="1900"/>
            <w:vAlign w:val="center"/>
          </w:tcPr>
          <w:p>
            <w:pPr>
              <w:pStyle w:val="TableText"/>
              <w:spacing w:after="0"/>
            </w:pPr>
            <w:r/>
            <w:r>
              <w:rPr>
                <w:b/>
                <w:color w:val="222222"/>
              </w:rPr>
              <w:t>Rapid Prototyping</w:t>
            </w:r>
          </w:p>
        </w:tc>
        <w:tc>
          <w:tcPr>
            <w:tcW w:type="dxa" w:w="3600"/>
            <w:vAlign w:val="center"/>
          </w:tcPr>
          <w:p>
            <w:pPr>
              <w:pStyle w:val="TableText"/>
              <w:spacing w:after="0"/>
            </w:pPr>
            <w:r/>
            <w:r>
              <w:rPr>
                <w:b w:val="0"/>
                <w:color w:val="222222"/>
              </w:rPr>
              <w:t>FabLab, toolkit, 3D-printen en maakbare prototypes.</w:t>
            </w:r>
          </w:p>
        </w:tc>
        <w:tc>
          <w:tcPr>
            <w:tcW w:type="dxa" w:w="3860"/>
            <w:vAlign w:val="center"/>
          </w:tcPr>
          <w:p>
            <w:pPr>
              <w:pStyle w:val="TableText"/>
              <w:spacing w:after="0"/>
            </w:pPr>
            <w:r/>
            <w:r>
              <w:rPr>
                <w:b w:val="0"/>
                <w:color w:val="222222"/>
              </w:rPr>
              <w:t>Gele route rond snel maken, testen en verbeteren.</w:t>
            </w:r>
          </w:p>
        </w:tc>
      </w:tr>
      <w:tr>
        <w:tc>
          <w:tcPr>
            <w:tcW w:type="dxa" w:w="1900"/>
            <w:vAlign w:val="center"/>
          </w:tcPr>
          <w:p>
            <w:pPr>
              <w:pStyle w:val="TableText"/>
              <w:spacing w:after="0"/>
            </w:pPr>
            <w:r/>
            <w:r>
              <w:rPr>
                <w:b/>
                <w:color w:val="222222"/>
              </w:rPr>
              <w:t>Robotics</w:t>
            </w:r>
          </w:p>
        </w:tc>
        <w:tc>
          <w:tcPr>
            <w:tcW w:type="dxa" w:w="3600"/>
            <w:vAlign w:val="center"/>
          </w:tcPr>
          <w:p>
            <w:pPr>
              <w:pStyle w:val="TableText"/>
              <w:spacing w:after="0"/>
            </w:pPr>
            <w:r/>
            <w:r>
              <w:rPr>
                <w:b w:val="0"/>
                <w:color w:val="222222"/>
              </w:rPr>
              <w:t>Robotics@HAN, mobile robotics, autonome voertuigen en cobots.</w:t>
            </w:r>
          </w:p>
        </w:tc>
        <w:tc>
          <w:tcPr>
            <w:tcW w:type="dxa" w:w="3860"/>
            <w:vAlign w:val="center"/>
          </w:tcPr>
          <w:p>
            <w:pPr>
              <w:pStyle w:val="TableText"/>
              <w:spacing w:after="0"/>
            </w:pPr>
            <w:r/>
            <w:r>
              <w:rPr>
                <w:b w:val="0"/>
                <w:color w:val="222222"/>
              </w:rPr>
              <w:t>Felle accentroute voor robotica, labs en veilige testomgevingen.</w:t>
            </w:r>
          </w:p>
        </w:tc>
      </w:tr>
    </w:tbl>
    <w:p>
      <w:pPr>
        <w:pStyle w:val="Heading1"/>
      </w:pPr>
      <w:r>
        <w:t>4. Visuele ontwerprichtingen</w:t>
      </w:r>
    </w:p>
    <w:p>
      <w:r>
        <w:t>In de visuele ontwikkeling zijn meerdere richtingen naast elkaar verkend. De eerste richting was een donkere, high-tech sci-fi sfeer met glow, sterren en atmosferische diepte. Die richting paste goed bij Smart Industry en een installatieomgeving, maar had ook risico's: te generiek, te donker of te veel decoratie rond te weinig inhoud.</w:t>
      </w:r>
    </w:p>
    <w:p>
      <w:r>
        <w:t>Daarom is de stijl aangescherpt naar een grafischere space-taal met duidelijke vectorvormen, gekleurde ringen, leesbare labels en sterke thema-paletten. De iXperium-branding is daarna explicieter gemaakt: het logo staat in de centrale kern, Overpass Bold is projectbreed toegevoegd en de merkkleuren groen/blauw zijn subtiel verwerkt in de interface-chrome.</w:t>
      </w:r>
    </w:p>
    <w:p>
      <w:r>
        <w:t>Een belangrijke latere iteratie was het gebruik van echte topicfoto's op de kiosk. Kleur-overlays en te kleine beelden zijn teruggebracht, zodat bezoekers de inhoud kunnen herkennen in plaats van alleen een sfeervol vlak te zien.</w:t>
      </w:r>
    </w:p>
    <w:p>
      <w:pPr>
        <w:pStyle w:val="Heading1"/>
      </w:pPr>
      <w:r>
        <w:t>5. Interactie en motion</w:t>
      </w:r>
    </w:p>
    <w:p>
      <w:r>
        <w:t>De interactie is ontworpen als fysiek en tactiel. De orbit volgt de vinger bij langzaam slepen, maar krijgt momentum bij een snelle flick. Friction laat de beweging elegant uitdoven. Een kleine auto-rotatie houdt het universum levend wanneer niemand actief bedient.</w:t>
      </w:r>
    </w:p>
    <w:p>
      <w:pPr>
        <w:pStyle w:val="ListNumber"/>
        <w:spacing w:after="80" w:line="280" w:lineRule="auto"/>
        <w:ind w:left="720" w:hanging="360"/>
      </w:pPr>
      <w:r>
        <w:t>Hoofdniveau: de bezoeker draait langs de Smart Industry-routes en tikt op een planeet.</w:t>
      </w:r>
    </w:p>
    <w:p>
      <w:pPr>
        <w:pStyle w:val="ListNumber"/>
        <w:spacing w:after="80" w:line="280" w:lineRule="auto"/>
        <w:ind w:left="720" w:hanging="360"/>
      </w:pPr>
      <w:r>
        <w:t>Subniveau: de gekozen route wordt centrumplaneet; subonderwerpen verschijnen op een nieuwe orbit.</w:t>
      </w:r>
    </w:p>
    <w:p>
      <w:pPr>
        <w:pStyle w:val="ListNumber"/>
        <w:spacing w:after="80" w:line="280" w:lineRule="auto"/>
        <w:ind w:left="720" w:hanging="360"/>
      </w:pPr>
      <w:r>
        <w:t>Detailniveau: een subonderwerp wordt naar de kiosk gestuurd, inclusief een visuele handoff van de getapte planeet.</w:t>
      </w:r>
    </w:p>
    <w:p>
      <w:r>
        <w:t>De fly-to-center en fly-up animaties maken de overgang begrijpelijk. De planeet verdwijnt niet plotseling uit de interface, maar beweegt vanuit de gekozen positie naar zijn nieuwe rol. Bij de table-to-kiosk handoff wordt zelfs een snapshot van de getapte planeet meegestuurd, zodat de kiosk dezelfde planeet vanaf onderen kan laten opkomen.</w:t>
      </w:r>
    </w:p>
    <w:p>
      <w:pPr>
        <w:pStyle w:val="Heading1"/>
      </w:pPr>
      <w:r>
        <w:t>6. Dual-surface ontwerp</w:t>
      </w:r>
    </w:p>
    <w:p>
      <w:r>
        <w:t>Tijdens het proces is het ontwerp verschoven van een enkele kioskervaring naar een dual-surface installatie. De touchtafel is de gezamenlijke, speelse laag voor selectie en ontdekking. Het verticale kiosk-scherm is de presentatie- en verdiepingslaag. Beide schermen delen dezelfde contentstructuur, maar tonen die op een andere manier.</w:t>
      </w:r>
    </w:p>
    <w:p>
      <w:r>
        <w:t>Realtime Socket.IO-sync maakt de ruimtelijke ervaring geloofwaardig: wanneer de tafel een thema focust of een detail opent, verandert de kiosk automatisch mee. De server bewaart alleen de navigatie-intentie, niet per-frame animatiedata. Daardoor blijft de beweging lokaal vloeiend en ontstaat er minder netwerkruis.</w:t>
      </w:r>
    </w:p>
    <w:p>
      <w:pPr>
        <w:pStyle w:val="Heading1"/>
      </w:pPr>
      <w:r>
        <w:t>Iteratieve proceskaart</w:t>
      </w:r>
    </w:p>
    <w:p>
      <w:r>
        <w:t>Het proces verliep niet lineair. Ontwerp, content en technische haalbaarheid zijn steeds tegen elkaar getest. Onderstaande kaart vat de belangrijkste iteraties compact samen.</w:t>
      </w:r>
    </w:p>
    <w:tbl>
      <w:tblPr>
        <w:tblStyle w:val="TableGrid"/>
        <w:tblW w:type="dxa" w:w="9360"/>
        <w:jc w:val="left"/>
        <w:tblLayout w:type="fixed"/>
        <w:tblLook w:firstColumn="1" w:firstRow="1" w:lastColumn="0" w:lastRow="0" w:noHBand="0" w:noVBand="1" w:val="04A0"/>
        <w:tblInd w:type="dxa" w:w="120"/>
        <w:tblCellMar>
          <w:top w:w="80" w:type="dxa"/>
          <w:bottom w:w="80" w:type="dxa"/>
          <w:start w:w="120" w:type="dxa"/>
          <w:end w:w="120" w:type="dxa"/>
        </w:tblCellMar>
      </w:tblPr>
      <w:tblGrid>
        <w:gridCol w:w="1750"/>
        <w:gridCol w:w="3860"/>
        <w:gridCol w:w="3750"/>
      </w:tblGrid>
      <w:tr>
        <w:tc>
          <w:tcPr>
            <w:tcW w:type="dxa" w:w="1750"/>
            <w:shd w:fill="F2F4F7"/>
            <w:vAlign w:val="center"/>
          </w:tcPr>
          <w:p>
            <w:pPr>
              <w:pStyle w:val="TableText"/>
              <w:spacing w:after="0"/>
            </w:pPr>
            <w:r/>
            <w:r>
              <w:rPr>
                <w:b/>
                <w:color w:val="1F4D78"/>
              </w:rPr>
              <w:t>Iteratie</w:t>
            </w:r>
          </w:p>
        </w:tc>
        <w:tc>
          <w:tcPr>
            <w:tcW w:type="dxa" w:w="3860"/>
            <w:shd w:fill="F2F4F7"/>
            <w:vAlign w:val="center"/>
          </w:tcPr>
          <w:p>
            <w:pPr>
              <w:pStyle w:val="TableText"/>
              <w:spacing w:after="0"/>
            </w:pPr>
            <w:r/>
            <w:r>
              <w:rPr>
                <w:b/>
                <w:color w:val="1F4D78"/>
              </w:rPr>
              <w:t>Wat is onderzocht of geprobeerd</w:t>
            </w:r>
          </w:p>
        </w:tc>
        <w:tc>
          <w:tcPr>
            <w:tcW w:type="dxa" w:w="3750"/>
            <w:shd w:fill="F2F4F7"/>
            <w:vAlign w:val="center"/>
          </w:tcPr>
          <w:p>
            <w:pPr>
              <w:pStyle w:val="TableText"/>
              <w:spacing w:after="0"/>
            </w:pPr>
            <w:r/>
            <w:r>
              <w:rPr>
                <w:b/>
                <w:color w:val="1F4D78"/>
              </w:rPr>
              <w:t>Doorwerking in het ontwerp</w:t>
            </w:r>
          </w:p>
        </w:tc>
      </w:tr>
      <w:tr>
        <w:tc>
          <w:tcPr>
            <w:tcW w:type="dxa" w:w="1750"/>
            <w:vAlign w:val="center"/>
          </w:tcPr>
          <w:p>
            <w:pPr>
              <w:pStyle w:val="TableText"/>
              <w:spacing w:after="0"/>
            </w:pPr>
            <w:r/>
            <w:r>
              <w:rPr>
                <w:b/>
                <w:color w:val="222222"/>
              </w:rPr>
              <w:t>1. Concept</w:t>
            </w:r>
          </w:p>
        </w:tc>
        <w:tc>
          <w:tcPr>
            <w:tcW w:type="dxa" w:w="3860"/>
            <w:vAlign w:val="center"/>
          </w:tcPr>
          <w:p>
            <w:pPr>
              <w:pStyle w:val="TableText"/>
              <w:spacing w:after="0"/>
            </w:pPr>
            <w:r/>
            <w:r>
              <w:rPr>
                <w:b w:val="0"/>
                <w:color w:val="222222"/>
              </w:rPr>
              <w:t>Een futuristische kiosk met planetair orbit-model, grote centrale planeet en recursieve navigatie.</w:t>
            </w:r>
          </w:p>
        </w:tc>
        <w:tc>
          <w:tcPr>
            <w:tcW w:type="dxa" w:w="3750"/>
            <w:vAlign w:val="center"/>
          </w:tcPr>
          <w:p>
            <w:pPr>
              <w:pStyle w:val="TableText"/>
              <w:spacing w:after="0"/>
            </w:pPr>
            <w:r/>
            <w:r>
              <w:rPr>
                <w:b w:val="0"/>
                <w:color w:val="222222"/>
              </w:rPr>
              <w:t>De orbit-metafoor bleef leidend: niet een gewone menubalk, maar een ruimtelijk kennissysteem.</w:t>
            </w:r>
          </w:p>
        </w:tc>
      </w:tr>
      <w:tr>
        <w:tc>
          <w:tcPr>
            <w:tcW w:type="dxa" w:w="1750"/>
            <w:vAlign w:val="center"/>
          </w:tcPr>
          <w:p>
            <w:pPr>
              <w:pStyle w:val="TableText"/>
              <w:spacing w:after="0"/>
            </w:pPr>
            <w:r/>
            <w:r>
              <w:rPr>
                <w:b/>
                <w:color w:val="222222"/>
              </w:rPr>
              <w:t>2. Diepte</w:t>
            </w:r>
          </w:p>
        </w:tc>
        <w:tc>
          <w:tcPr>
            <w:tcW w:type="dxa" w:w="3860"/>
            <w:vAlign w:val="center"/>
          </w:tcPr>
          <w:p>
            <w:pPr>
              <w:pStyle w:val="TableText"/>
              <w:spacing w:after="0"/>
            </w:pPr>
            <w:r/>
            <w:r>
              <w:rPr>
                <w:b w:val="0"/>
                <w:color w:val="222222"/>
              </w:rPr>
              <w:t>Ellips, front/back-lagen, schaalverschil, fade en overlap achter de centrumplaneet.</w:t>
            </w:r>
          </w:p>
        </w:tc>
        <w:tc>
          <w:tcPr>
            <w:tcW w:type="dxa" w:w="3750"/>
            <w:vAlign w:val="center"/>
          </w:tcPr>
          <w:p>
            <w:pPr>
              <w:pStyle w:val="TableText"/>
              <w:spacing w:after="0"/>
            </w:pPr>
            <w:r/>
            <w:r>
              <w:rPr>
                <w:b w:val="0"/>
                <w:color w:val="222222"/>
              </w:rPr>
              <w:t>De interface werd begrijpelijker omdat posities op de orbit ook betekenis kregen.</w:t>
            </w:r>
          </w:p>
        </w:tc>
      </w:tr>
      <w:tr>
        <w:tc>
          <w:tcPr>
            <w:tcW w:type="dxa" w:w="1750"/>
            <w:vAlign w:val="center"/>
          </w:tcPr>
          <w:p>
            <w:pPr>
              <w:pStyle w:val="TableText"/>
              <w:spacing w:after="0"/>
            </w:pPr>
            <w:r/>
            <w:r>
              <w:rPr>
                <w:b/>
                <w:color w:val="222222"/>
              </w:rPr>
              <w:t>3. Content</w:t>
            </w:r>
          </w:p>
        </w:tc>
        <w:tc>
          <w:tcPr>
            <w:tcW w:type="dxa" w:w="3860"/>
            <w:vAlign w:val="center"/>
          </w:tcPr>
          <w:p>
            <w:pPr>
              <w:pStyle w:val="TableText"/>
              <w:spacing w:after="0"/>
            </w:pPr>
            <w:r/>
            <w:r>
              <w:rPr>
                <w:b w:val="0"/>
                <w:color w:val="222222"/>
              </w:rPr>
              <w:t>Smart Industry-thema's zijn vertaald naar lectoraten, labs, toolkits, cases en toepassingen.</w:t>
            </w:r>
          </w:p>
        </w:tc>
        <w:tc>
          <w:tcPr>
            <w:tcW w:type="dxa" w:w="3750"/>
            <w:vAlign w:val="center"/>
          </w:tcPr>
          <w:p>
            <w:pPr>
              <w:pStyle w:val="TableText"/>
              <w:spacing w:after="0"/>
            </w:pPr>
            <w:r/>
            <w:r>
              <w:rPr>
                <w:b w:val="0"/>
                <w:color w:val="222222"/>
              </w:rPr>
              <w:t>De UI kreeg vaste contentvelden, zodat verdieping snel scanbaar blijft.</w:t>
            </w:r>
          </w:p>
        </w:tc>
      </w:tr>
      <w:tr>
        <w:tc>
          <w:tcPr>
            <w:tcW w:type="dxa" w:w="1750"/>
            <w:vAlign w:val="center"/>
          </w:tcPr>
          <w:p>
            <w:pPr>
              <w:pStyle w:val="TableText"/>
              <w:spacing w:after="0"/>
            </w:pPr>
            <w:r/>
            <w:r>
              <w:rPr>
                <w:b/>
                <w:color w:val="222222"/>
              </w:rPr>
              <w:t>4. Visuele stijl</w:t>
            </w:r>
          </w:p>
        </w:tc>
        <w:tc>
          <w:tcPr>
            <w:tcW w:type="dxa" w:w="3860"/>
            <w:vAlign w:val="center"/>
          </w:tcPr>
          <w:p>
            <w:pPr>
              <w:pStyle w:val="TableText"/>
              <w:spacing w:after="0"/>
            </w:pPr>
            <w:r/>
            <w:r>
              <w:rPr>
                <w:b w:val="0"/>
                <w:color w:val="222222"/>
              </w:rPr>
              <w:t>Donkere sci-fi, nebula-referenties, vector/Kurzgesagt-ringen, iXperium-logo en Overpass.</w:t>
            </w:r>
          </w:p>
        </w:tc>
        <w:tc>
          <w:tcPr>
            <w:tcW w:type="dxa" w:w="3750"/>
            <w:vAlign w:val="center"/>
          </w:tcPr>
          <w:p>
            <w:pPr>
              <w:pStyle w:val="TableText"/>
              <w:spacing w:after="0"/>
            </w:pPr>
            <w:r/>
            <w:r>
              <w:rPr>
                <w:b w:val="0"/>
                <w:color w:val="222222"/>
              </w:rPr>
              <w:t>De stijl werd rijk en opvallend, maar met scherpe labels en duidelijke merkankers.</w:t>
            </w:r>
          </w:p>
        </w:tc>
      </w:tr>
      <w:tr>
        <w:tc>
          <w:tcPr>
            <w:tcW w:type="dxa" w:w="1750"/>
            <w:vAlign w:val="center"/>
          </w:tcPr>
          <w:p>
            <w:pPr>
              <w:pStyle w:val="TableText"/>
              <w:spacing w:after="0"/>
            </w:pPr>
            <w:r/>
            <w:r>
              <w:rPr>
                <w:b/>
                <w:color w:val="222222"/>
              </w:rPr>
              <w:t>5. Motion</w:t>
            </w:r>
          </w:p>
        </w:tc>
        <w:tc>
          <w:tcPr>
            <w:tcW w:type="dxa" w:w="3860"/>
            <w:vAlign w:val="center"/>
          </w:tcPr>
          <w:p>
            <w:pPr>
              <w:pStyle w:val="TableText"/>
              <w:spacing w:after="0"/>
            </w:pPr>
            <w:r/>
            <w:r>
              <w:rPr>
                <w:b w:val="0"/>
                <w:color w:val="222222"/>
              </w:rPr>
              <w:t>Drag, flick, momentum, fly-to-center en cross-screen handoff tussen tafel en kiosk.</w:t>
            </w:r>
          </w:p>
        </w:tc>
        <w:tc>
          <w:tcPr>
            <w:tcW w:type="dxa" w:w="3750"/>
            <w:vAlign w:val="center"/>
          </w:tcPr>
          <w:p>
            <w:pPr>
              <w:pStyle w:val="TableText"/>
              <w:spacing w:after="0"/>
            </w:pPr>
            <w:r/>
            <w:r>
              <w:rPr>
                <w:b w:val="0"/>
                <w:color w:val="222222"/>
              </w:rPr>
              <w:t>Beweging werd navigatietaal: de gebruiker ziet waar een keuze vandaan komt en waar die naartoe gaat.</w:t>
            </w:r>
          </w:p>
        </w:tc>
      </w:tr>
      <w:tr>
        <w:tc>
          <w:tcPr>
            <w:tcW w:type="dxa" w:w="1750"/>
            <w:vAlign w:val="center"/>
          </w:tcPr>
          <w:p>
            <w:pPr>
              <w:pStyle w:val="TableText"/>
              <w:spacing w:after="0"/>
            </w:pPr>
            <w:r/>
            <w:r>
              <w:rPr>
                <w:b/>
                <w:color w:val="222222"/>
              </w:rPr>
              <w:t>6. Leesbaarheid</w:t>
            </w:r>
          </w:p>
        </w:tc>
        <w:tc>
          <w:tcPr>
            <w:tcW w:type="dxa" w:w="3860"/>
            <w:vAlign w:val="center"/>
          </w:tcPr>
          <w:p>
            <w:pPr>
              <w:pStyle w:val="TableText"/>
              <w:spacing w:after="0"/>
            </w:pPr>
            <w:r/>
            <w:r>
              <w:rPr>
                <w:b w:val="0"/>
                <w:color w:val="222222"/>
              </w:rPr>
              <w:t>Labels zijn helderder, groter en boven planet-lagen geplaatst; tekst blijft DOM/top-layer.</w:t>
            </w:r>
          </w:p>
        </w:tc>
        <w:tc>
          <w:tcPr>
            <w:tcW w:type="dxa" w:w="3750"/>
            <w:vAlign w:val="center"/>
          </w:tcPr>
          <w:p>
            <w:pPr>
              <w:pStyle w:val="TableText"/>
              <w:spacing w:after="0"/>
            </w:pPr>
            <w:r/>
            <w:r>
              <w:rPr>
                <w:b w:val="0"/>
                <w:color w:val="222222"/>
              </w:rPr>
              <w:t>De installatie blijft bruikbaar op afstand en op grote schermen.</w:t>
            </w:r>
          </w:p>
        </w:tc>
      </w:tr>
      <w:tr>
        <w:tc>
          <w:tcPr>
            <w:tcW w:type="dxa" w:w="1750"/>
            <w:vAlign w:val="center"/>
          </w:tcPr>
          <w:p>
            <w:pPr>
              <w:pStyle w:val="TableText"/>
              <w:spacing w:after="0"/>
            </w:pPr>
            <w:r/>
            <w:r>
              <w:rPr>
                <w:b/>
                <w:color w:val="222222"/>
              </w:rPr>
              <w:t>7. Performance</w:t>
            </w:r>
          </w:p>
        </w:tc>
        <w:tc>
          <w:tcPr>
            <w:tcW w:type="dxa" w:w="3860"/>
            <w:vAlign w:val="center"/>
          </w:tcPr>
          <w:p>
            <w:pPr>
              <w:pStyle w:val="TableText"/>
              <w:spacing w:after="0"/>
            </w:pPr>
            <w:r/>
            <w:r>
              <w:rPr>
                <w:b w:val="0"/>
                <w:color w:val="222222"/>
              </w:rPr>
              <w:t>Animatiejank, payloadgrootte, idle rendering, steraantallen en canvas-sprites zijn aangescherpt.</w:t>
            </w:r>
          </w:p>
        </w:tc>
        <w:tc>
          <w:tcPr>
            <w:tcW w:type="dxa" w:w="3750"/>
            <w:vAlign w:val="center"/>
          </w:tcPr>
          <w:p>
            <w:pPr>
              <w:pStyle w:val="TableText"/>
              <w:spacing w:after="0"/>
            </w:pPr>
            <w:r/>
            <w:r>
              <w:rPr>
                <w:b w:val="0"/>
                <w:color w:val="222222"/>
              </w:rPr>
              <w:t>Visuele ambitie bleef overeind zonder de 60 fps-doelstelling uit het oog te verliezen.</w:t>
            </w:r>
          </w:p>
        </w:tc>
      </w:tr>
    </w:tbl>
    <w:p>
      <w:pPr>
        <w:pStyle w:val="Heading1"/>
      </w:pPr>
      <w:r>
        <w:t>7. Belangrijkste ontwerpinzichten</w:t>
      </w:r>
    </w:p>
    <w:p>
      <w:pPr>
        <w:pStyle w:val="ListBullet"/>
        <w:spacing w:after="80" w:line="280" w:lineRule="auto"/>
        <w:ind w:left="720" w:hanging="360"/>
      </w:pPr>
      <w:r>
        <w:t>De planeetmetafoor werkt alleen wanneer diepte, schaal, helderheid en overlap consequent worden toegepast.</w:t>
      </w:r>
    </w:p>
    <w:p>
      <w:pPr>
        <w:pStyle w:val="ListBullet"/>
        <w:spacing w:after="80" w:line="280" w:lineRule="auto"/>
        <w:ind w:left="720" w:hanging="360"/>
      </w:pPr>
      <w:r>
        <w:t>Spectakel mag de inhoud niet overstemmen: labels, foto's en korte teksten moesten herhaaldelijk helderder en rustiger worden gemaakt.</w:t>
      </w:r>
    </w:p>
    <w:p>
      <w:pPr>
        <w:pStyle w:val="ListBullet"/>
        <w:spacing w:after="80" w:line="280" w:lineRule="auto"/>
        <w:ind w:left="720" w:hanging="360"/>
      </w:pPr>
      <w:r>
        <w:t>De splitsing tussen tafel en kiosk verlaagt de cognitieve belasting: de tafel nodigt uit, de kiosk legt uit.</w:t>
      </w:r>
    </w:p>
    <w:p>
      <w:pPr>
        <w:pStyle w:val="ListBullet"/>
        <w:spacing w:after="80" w:line="280" w:lineRule="auto"/>
        <w:ind w:left="720" w:hanging="360"/>
      </w:pPr>
      <w:r>
        <w:t>Motion is geen decoratie maar navigatiefeedback. De gebruiker moet de route van een keuze kunnen volgen.</w:t>
      </w:r>
    </w:p>
    <w:p>
      <w:pPr>
        <w:pStyle w:val="ListBullet"/>
        <w:spacing w:after="80" w:line="280" w:lineRule="auto"/>
        <w:ind w:left="720" w:hanging="360"/>
      </w:pPr>
      <w:r>
        <w:t>Performance is een ontwerpeis. Minder jank betekent dat de installatie duurder, rustiger en professioneler aanvoelt.</w:t>
      </w:r>
    </w:p>
    <w:p>
      <w:pPr>
        <w:pStyle w:val="ListBullet"/>
        <w:spacing w:after="80" w:line="280" w:lineRule="auto"/>
        <w:ind w:left="720" w:hanging="360"/>
      </w:pPr>
      <w:r>
        <w:t>De content moet modulair blijven, omdat routes, lectoraten, labs en cases later kunnen veranderen of worden uitgebreid.</w:t>
      </w:r>
    </w:p>
    <w:p>
      <w:pPr>
        <w:pStyle w:val="Heading1"/>
      </w:pPr>
      <w:r>
        <w:t>8. Huidig resultaat en vervolg</w:t>
      </w:r>
    </w:p>
    <w:p>
      <w:r>
        <w:t>Het huidige project is een werkend React/Vite-prototype met aparte table- en kiosk-ingangen, gedeelde contentdata, een Socket.IO-hub, orbit-interactie, thematische vectorachtergronden, iXperium-branding en contentpagina's met foto's, highlights en toepassingen. Het ontwerp is daarmee voorbij de statische mockupfase: interactie, motion, content en performance zijn samen getest.</w:t>
      </w:r>
    </w:p>
    <w:p>
      <w:r>
        <w:t>Logische vervolgstappen zijn testen op de echte kiosk- en touchtafelhardware, korte walk-up gebruikerstesten, inhoudelijke validatie met lectoraten/labs en een laatste brandingpass. Als de hardware het toelaat kan de grafische laag verder richting WebGL/R3F worden gebracht, maar alleen wanneer dat de vloeiendheid en begrijpelijkheid verbetert.</w:t>
      </w:r>
    </w:p>
    <w:p>
      <w:pPr>
        <w:pStyle w:val="Heading1"/>
      </w:pPr>
      <w:r>
        <w:t>Gebruikte projectbronnen</w:t>
      </w:r>
    </w:p>
    <w:p>
      <w:r>
        <w:t>Dit verslag is gebaseerd op de projectregels in .roo/rules, de oorspronkelijke Figma/Make ontwerpbrief, de gedeelde contentdata, de table- en kioskcomponenten, de visuele stylesheets, de Socket.IO-protocolcode en de commitgeschiedenis van het project.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Ontwerpproces iXperium Planet Concept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drawing>
        <wp:inline xmlns:a="http://schemas.openxmlformats.org/drawingml/2006/main" xmlns:pic="http://schemas.openxmlformats.org/drawingml/2006/picture">
          <wp:extent cx="1051560" cy="271108"/>
          <wp:docPr id="1" name="Picture 1"/>
          <wp:cNvGraphicFramePr>
            <a:graphicFrameLocks noChangeAspect="1"/>
          </wp:cNvGraphicFramePr>
          <a:graphic>
            <a:graphicData uri="http://schemas.openxmlformats.org/drawingml/2006/picture">
              <pic:pic>
                <pic:nvPicPr>
                  <pic:cNvPr id="0" name="Ixperiumlogo.png"/>
                  <pic:cNvPicPr/>
                </pic:nvPicPr>
                <pic:blipFill>
                  <a:blip r:embed="rId1"/>
                  <a:stretch>
                    <a:fillRect/>
                  </a:stretch>
                </pic:blipFill>
                <pic:spPr>
                  <a:xfrm>
                    <a:off x="0" y="0"/>
                    <a:ext cx="1051560" cy="27110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eastAsia="Calibr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59" w:lineRule="auto"/>
    </w:pPr>
    <w:rPr>
      <w:rFonts w:ascii="Calibri" w:hAnsi="Calibri" w:eastAsia="Calibri"/>
      <w:color w:val="222222"/>
      <w:sz w:val="19"/>
    </w:rPr>
  </w:style>
  <w:style w:type="paragraph" w:customStyle="1" w:styleId="Callout">
    <w:name w:val="Callout"/>
    <w:pPr>
      <w:spacing w:before="80" w:after="160" w:line="264" w:lineRule="auto"/>
      <w:ind w:left="259" w:right="144"/>
      <w:shd w:fill="EAF3F0"/>
    </w:pPr>
    <w:rPr>
      <w:rFonts w:ascii="Calibri" w:hAnsi="Calibri" w:eastAsia="Calibri"/>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