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726" w:rsidRPr="002042EF" w:rsidRDefault="00F0463F" w:rsidP="002042EF">
      <w:pPr>
        <w:spacing w:line="360" w:lineRule="auto"/>
        <w:rPr>
          <w:rFonts w:asciiTheme="majorBidi" w:hAnsiTheme="majorBidi" w:cstheme="majorBidi"/>
          <w:b/>
          <w:sz w:val="36"/>
          <w:szCs w:val="28"/>
        </w:rPr>
      </w:pPr>
      <w:bookmarkStart w:id="0" w:name="_GoBack"/>
      <w:bookmarkEnd w:id="0"/>
      <w:r w:rsidRPr="002042EF">
        <w:rPr>
          <w:rFonts w:asciiTheme="majorBidi" w:hAnsiTheme="majorBidi" w:cstheme="majorBidi"/>
          <w:b/>
          <w:color w:val="032362"/>
          <w:sz w:val="36"/>
          <w:szCs w:val="28"/>
        </w:rPr>
        <w:t xml:space="preserve">1. Problem </w:t>
      </w:r>
      <w:r w:rsidR="002042EF" w:rsidRPr="002042EF">
        <w:rPr>
          <w:rFonts w:asciiTheme="majorBidi" w:hAnsiTheme="majorBidi" w:cstheme="majorBidi"/>
          <w:b/>
          <w:color w:val="032362"/>
          <w:spacing w:val="-2"/>
          <w:sz w:val="36"/>
          <w:szCs w:val="28"/>
        </w:rPr>
        <w:t xml:space="preserve">Statement: </w:t>
      </w:r>
    </w:p>
    <w:p w:rsidR="002042EF" w:rsidRPr="00A85DF6" w:rsidRDefault="002042EF" w:rsidP="00A85DF6">
      <w:pPr>
        <w:spacing w:before="80" w:after="80" w:line="360" w:lineRule="auto"/>
        <w:rPr>
          <w:rFonts w:ascii="Georgia" w:eastAsiaTheme="minorHAnsi" w:hAnsi="Georgia" w:cstheme="minorBidi"/>
          <w:sz w:val="24"/>
          <w:szCs w:val="24"/>
        </w:rPr>
      </w:pPr>
      <w:r w:rsidRPr="002042EF">
        <w:rPr>
          <w:rFonts w:ascii="Georgia" w:hAnsi="Georgia"/>
          <w:sz w:val="24"/>
          <w:szCs w:val="24"/>
        </w:rPr>
        <w:t>The banking and financial services sector faces ongoing challenges in managing credit risk and minimizing losses during the lending process. Approving loans to clients who are unlikely to repay leads to significant financial exposure and instability for the institution.</w:t>
      </w:r>
    </w:p>
    <w:p w:rsidR="002042EF" w:rsidRPr="002042EF" w:rsidRDefault="002042EF" w:rsidP="002042EF">
      <w:pPr>
        <w:spacing w:before="80" w:after="80" w:line="360" w:lineRule="auto"/>
        <w:rPr>
          <w:rFonts w:ascii="Georgia" w:hAnsi="Georgia"/>
          <w:sz w:val="24"/>
          <w:szCs w:val="24"/>
        </w:rPr>
      </w:pPr>
      <w:r w:rsidRPr="002042EF">
        <w:rPr>
          <w:rFonts w:ascii="Georgia" w:hAnsi="Georgia"/>
          <w:sz w:val="24"/>
          <w:szCs w:val="24"/>
        </w:rPr>
        <w:t xml:space="preserve">The </w:t>
      </w:r>
      <w:r w:rsidRPr="00BF2465">
        <w:rPr>
          <w:rFonts w:ascii="Georgia" w:hAnsi="Georgia"/>
          <w:b/>
          <w:bCs/>
          <w:sz w:val="24"/>
          <w:szCs w:val="24"/>
        </w:rPr>
        <w:t xml:space="preserve">FINVAULT </w:t>
      </w:r>
      <w:r w:rsidRPr="002042EF">
        <w:rPr>
          <w:rFonts w:ascii="Georgia" w:hAnsi="Georgia"/>
          <w:sz w:val="24"/>
          <w:szCs w:val="24"/>
        </w:rPr>
        <w:t>dashboard was built to develop a data-driven understanding of risk analytics in banking, allowing decision-makers to evaluate each client's financial profile and determine the likelihood of loan repayment before approval.</w:t>
      </w:r>
    </w:p>
    <w:p w:rsidR="002042EF" w:rsidRPr="002042EF" w:rsidRDefault="002042EF" w:rsidP="002042EF">
      <w:pPr>
        <w:spacing w:before="80" w:after="80" w:line="360" w:lineRule="auto"/>
        <w:rPr>
          <w:rFonts w:ascii="Georgia" w:hAnsi="Georgia"/>
          <w:sz w:val="24"/>
          <w:szCs w:val="24"/>
        </w:rPr>
      </w:pPr>
      <w:r w:rsidRPr="002042EF">
        <w:rPr>
          <w:rFonts w:ascii="Georgia" w:hAnsi="Georgia"/>
          <w:sz w:val="24"/>
          <w:szCs w:val="24"/>
        </w:rPr>
        <w:t>Key objectives:</w:t>
      </w:r>
    </w:p>
    <w:p w:rsidR="002042EF" w:rsidRPr="002042EF" w:rsidRDefault="002042EF" w:rsidP="002042EF">
      <w:pPr>
        <w:pStyle w:val="Paragraphedeliste"/>
        <w:widowControl/>
        <w:numPr>
          <w:ilvl w:val="0"/>
          <w:numId w:val="2"/>
        </w:numPr>
        <w:autoSpaceDE/>
        <w:autoSpaceDN/>
        <w:spacing w:before="60" w:after="60"/>
        <w:rPr>
          <w:rFonts w:ascii="Georgia" w:hAnsi="Georgia"/>
          <w:sz w:val="24"/>
          <w:szCs w:val="24"/>
        </w:rPr>
      </w:pPr>
      <w:r w:rsidRPr="002042EF">
        <w:rPr>
          <w:rFonts w:ascii="Georgia" w:hAnsi="Georgia"/>
          <w:sz w:val="24"/>
          <w:szCs w:val="24"/>
        </w:rPr>
        <w:t>Monitor total loan exposure, deposits, and fees across 3,000 clients</w:t>
      </w:r>
    </w:p>
    <w:p w:rsidR="002042EF" w:rsidRPr="002042EF" w:rsidRDefault="002042EF" w:rsidP="002042EF">
      <w:pPr>
        <w:pStyle w:val="Paragraphedeliste"/>
        <w:widowControl/>
        <w:numPr>
          <w:ilvl w:val="0"/>
          <w:numId w:val="2"/>
        </w:numPr>
        <w:autoSpaceDE/>
        <w:autoSpaceDN/>
        <w:spacing w:before="60" w:after="60"/>
        <w:rPr>
          <w:rFonts w:ascii="Georgia" w:hAnsi="Georgia"/>
          <w:sz w:val="24"/>
          <w:szCs w:val="24"/>
        </w:rPr>
      </w:pPr>
      <w:r w:rsidRPr="002042EF">
        <w:rPr>
          <w:rFonts w:ascii="Georgia" w:hAnsi="Georgia"/>
          <w:sz w:val="24"/>
          <w:szCs w:val="24"/>
        </w:rPr>
        <w:t>Identify high-risk and high-value client segments</w:t>
      </w:r>
    </w:p>
    <w:p w:rsidR="002042EF" w:rsidRPr="002042EF" w:rsidRDefault="002042EF" w:rsidP="002042EF">
      <w:pPr>
        <w:pStyle w:val="Paragraphedeliste"/>
        <w:widowControl/>
        <w:numPr>
          <w:ilvl w:val="0"/>
          <w:numId w:val="2"/>
        </w:numPr>
        <w:autoSpaceDE/>
        <w:autoSpaceDN/>
        <w:spacing w:before="60" w:after="60"/>
        <w:rPr>
          <w:rFonts w:ascii="Georgia" w:hAnsi="Georgia"/>
          <w:sz w:val="24"/>
          <w:szCs w:val="24"/>
        </w:rPr>
      </w:pPr>
      <w:r w:rsidRPr="002042EF">
        <w:rPr>
          <w:rFonts w:ascii="Georgia" w:hAnsi="Georgia"/>
          <w:sz w:val="24"/>
          <w:szCs w:val="24"/>
        </w:rPr>
        <w:t>Enable time-based analysis through an interactive period slicer</w:t>
      </w:r>
    </w:p>
    <w:p w:rsidR="002042EF" w:rsidRPr="002042EF" w:rsidRDefault="002042EF" w:rsidP="002042EF">
      <w:pPr>
        <w:pStyle w:val="Paragraphedeliste"/>
        <w:widowControl/>
        <w:numPr>
          <w:ilvl w:val="0"/>
          <w:numId w:val="2"/>
        </w:numPr>
        <w:autoSpaceDE/>
        <w:autoSpaceDN/>
        <w:spacing w:before="60" w:after="60"/>
        <w:rPr>
          <w:rFonts w:ascii="Georgia" w:hAnsi="Georgia"/>
          <w:sz w:val="24"/>
          <w:szCs w:val="24"/>
        </w:rPr>
      </w:pPr>
      <w:r w:rsidRPr="002042EF">
        <w:rPr>
          <w:rFonts w:ascii="Georgia" w:hAnsi="Georgia"/>
          <w:sz w:val="24"/>
          <w:szCs w:val="24"/>
        </w:rPr>
        <w:t>Provide breakdowns by nationality, income band, banking relationship, and gender</w:t>
      </w:r>
    </w:p>
    <w:p w:rsidR="000B7726" w:rsidRPr="00A85DF6" w:rsidRDefault="002042EF" w:rsidP="00A85DF6">
      <w:pPr>
        <w:pStyle w:val="Paragraphedeliste"/>
        <w:widowControl/>
        <w:numPr>
          <w:ilvl w:val="0"/>
          <w:numId w:val="2"/>
        </w:numPr>
        <w:autoSpaceDE/>
        <w:autoSpaceDN/>
        <w:spacing w:before="60" w:after="60"/>
        <w:rPr>
          <w:rFonts w:ascii="Georgia" w:hAnsi="Georgia"/>
          <w:sz w:val="24"/>
          <w:szCs w:val="24"/>
        </w:rPr>
      </w:pPr>
      <w:r w:rsidRPr="002042EF">
        <w:rPr>
          <w:rFonts w:ascii="Georgia" w:hAnsi="Georgia"/>
          <w:sz w:val="24"/>
          <w:szCs w:val="24"/>
        </w:rPr>
        <w:t>Support executive-level decision-making through a clean summary dashboard</w:t>
      </w:r>
    </w:p>
    <w:p w:rsidR="002042EF" w:rsidRPr="002042EF" w:rsidRDefault="002042EF" w:rsidP="002042EF">
      <w:pPr>
        <w:rPr>
          <w:rFonts w:asciiTheme="majorBidi" w:hAnsiTheme="majorBidi" w:cstheme="majorBidi"/>
          <w:b/>
          <w:color w:val="032362"/>
          <w:sz w:val="36"/>
          <w:szCs w:val="28"/>
        </w:rPr>
      </w:pPr>
      <w:r w:rsidRPr="002042EF">
        <w:rPr>
          <w:rFonts w:asciiTheme="majorBidi" w:hAnsiTheme="majorBidi" w:cstheme="majorBidi"/>
          <w:b/>
          <w:color w:val="032362"/>
          <w:sz w:val="36"/>
          <w:szCs w:val="28"/>
        </w:rPr>
        <w:t>2. About Dataset:</w:t>
      </w:r>
    </w:p>
    <w:p w:rsidR="002042EF" w:rsidRDefault="002042EF" w:rsidP="002042EF">
      <w:pPr>
        <w:rPr>
          <w:rFonts w:ascii="Arial"/>
          <w:b/>
          <w:color w:val="032362"/>
          <w:sz w:val="28"/>
        </w:rPr>
      </w:pPr>
    </w:p>
    <w:p w:rsidR="002042EF" w:rsidRDefault="002042EF" w:rsidP="002042EF">
      <w:pPr>
        <w:jc w:val="both"/>
        <w:rPr>
          <w:rFonts w:ascii="Georgia" w:hAnsi="Georgia"/>
          <w:sz w:val="24"/>
          <w:szCs w:val="24"/>
        </w:rPr>
      </w:pPr>
      <w:r w:rsidRPr="002042EF">
        <w:rPr>
          <w:rFonts w:ascii="Georgia" w:hAnsi="Georgia"/>
          <w:sz w:val="24"/>
          <w:szCs w:val="24"/>
        </w:rPr>
        <w:t>The</w:t>
      </w:r>
      <w:r w:rsidRPr="002042EF">
        <w:rPr>
          <w:rFonts w:ascii="Georgia" w:hAnsi="Georgia"/>
          <w:spacing w:val="-3"/>
          <w:sz w:val="24"/>
          <w:szCs w:val="24"/>
        </w:rPr>
        <w:t xml:space="preserve"> </w:t>
      </w:r>
      <w:r w:rsidRPr="002042EF">
        <w:rPr>
          <w:rFonts w:ascii="Georgia" w:hAnsi="Georgia"/>
          <w:sz w:val="24"/>
          <w:szCs w:val="24"/>
        </w:rPr>
        <w:t>dataset</w:t>
      </w:r>
      <w:r w:rsidRPr="002042EF">
        <w:rPr>
          <w:rFonts w:ascii="Georgia" w:hAnsi="Georgia"/>
          <w:spacing w:val="-3"/>
          <w:sz w:val="24"/>
          <w:szCs w:val="24"/>
        </w:rPr>
        <w:t xml:space="preserve"> </w:t>
      </w:r>
      <w:r w:rsidRPr="002042EF">
        <w:rPr>
          <w:rFonts w:ascii="Georgia" w:hAnsi="Georgia"/>
          <w:sz w:val="24"/>
          <w:szCs w:val="24"/>
        </w:rPr>
        <w:t>contains</w:t>
      </w:r>
      <w:r w:rsidRPr="002042EF">
        <w:rPr>
          <w:rFonts w:ascii="Georgia" w:hAnsi="Georgia"/>
          <w:spacing w:val="-3"/>
          <w:sz w:val="24"/>
          <w:szCs w:val="24"/>
        </w:rPr>
        <w:t xml:space="preserve"> </w:t>
      </w:r>
      <w:r w:rsidRPr="002042EF">
        <w:rPr>
          <w:rFonts w:ascii="Georgia" w:hAnsi="Georgia"/>
          <w:sz w:val="24"/>
          <w:szCs w:val="24"/>
        </w:rPr>
        <w:t>financial</w:t>
      </w:r>
      <w:r w:rsidRPr="002042EF">
        <w:rPr>
          <w:rFonts w:ascii="Georgia" w:hAnsi="Georgia"/>
          <w:spacing w:val="-3"/>
          <w:sz w:val="24"/>
          <w:szCs w:val="24"/>
        </w:rPr>
        <w:t xml:space="preserve"> </w:t>
      </w:r>
      <w:r w:rsidRPr="002042EF">
        <w:rPr>
          <w:rFonts w:ascii="Georgia" w:hAnsi="Georgia"/>
          <w:sz w:val="24"/>
          <w:szCs w:val="24"/>
        </w:rPr>
        <w:t>and</w:t>
      </w:r>
      <w:r w:rsidRPr="002042EF">
        <w:rPr>
          <w:rFonts w:ascii="Georgia" w:hAnsi="Georgia"/>
          <w:spacing w:val="-3"/>
          <w:sz w:val="24"/>
          <w:szCs w:val="24"/>
        </w:rPr>
        <w:t xml:space="preserve"> </w:t>
      </w:r>
      <w:r w:rsidRPr="002042EF">
        <w:rPr>
          <w:rFonts w:ascii="Georgia" w:hAnsi="Georgia"/>
          <w:sz w:val="24"/>
          <w:szCs w:val="24"/>
        </w:rPr>
        <w:t>personal</w:t>
      </w:r>
      <w:r w:rsidRPr="002042EF">
        <w:rPr>
          <w:rFonts w:ascii="Georgia" w:hAnsi="Georgia"/>
          <w:spacing w:val="-3"/>
          <w:sz w:val="24"/>
          <w:szCs w:val="24"/>
        </w:rPr>
        <w:t xml:space="preserve"> </w:t>
      </w:r>
      <w:r w:rsidRPr="002042EF">
        <w:rPr>
          <w:rFonts w:ascii="Georgia" w:hAnsi="Georgia"/>
          <w:sz w:val="24"/>
          <w:szCs w:val="24"/>
        </w:rPr>
        <w:t>information</w:t>
      </w:r>
      <w:r w:rsidRPr="002042EF">
        <w:rPr>
          <w:rFonts w:ascii="Georgia" w:hAnsi="Georgia"/>
          <w:spacing w:val="-3"/>
          <w:sz w:val="24"/>
          <w:szCs w:val="24"/>
        </w:rPr>
        <w:t xml:space="preserve"> </w:t>
      </w:r>
      <w:r w:rsidRPr="002042EF">
        <w:rPr>
          <w:rFonts w:ascii="Georgia" w:hAnsi="Georgia"/>
          <w:sz w:val="24"/>
          <w:szCs w:val="24"/>
        </w:rPr>
        <w:t>for</w:t>
      </w:r>
      <w:r w:rsidRPr="002042EF">
        <w:rPr>
          <w:rFonts w:ascii="Georgia" w:hAnsi="Georgia"/>
          <w:spacing w:val="-3"/>
          <w:sz w:val="24"/>
          <w:szCs w:val="24"/>
        </w:rPr>
        <w:t xml:space="preserve"> </w:t>
      </w:r>
      <w:r w:rsidRPr="002042EF">
        <w:rPr>
          <w:rFonts w:ascii="Georgia" w:hAnsi="Georgia"/>
          <w:b/>
          <w:bCs/>
          <w:sz w:val="24"/>
          <w:szCs w:val="24"/>
        </w:rPr>
        <w:t>3,000</w:t>
      </w:r>
      <w:r w:rsidRPr="002042EF">
        <w:rPr>
          <w:rFonts w:ascii="Georgia" w:hAnsi="Georgia"/>
          <w:spacing w:val="-3"/>
          <w:sz w:val="24"/>
          <w:szCs w:val="24"/>
        </w:rPr>
        <w:t xml:space="preserve"> </w:t>
      </w:r>
      <w:r w:rsidRPr="002042EF">
        <w:rPr>
          <w:rFonts w:ascii="Georgia" w:hAnsi="Georgia"/>
          <w:sz w:val="24"/>
          <w:szCs w:val="24"/>
        </w:rPr>
        <w:t>banking</w:t>
      </w:r>
      <w:r w:rsidRPr="002042EF">
        <w:rPr>
          <w:rFonts w:ascii="Georgia" w:hAnsi="Georgia"/>
          <w:spacing w:val="-3"/>
          <w:sz w:val="24"/>
          <w:szCs w:val="24"/>
        </w:rPr>
        <w:t xml:space="preserve"> </w:t>
      </w:r>
      <w:r w:rsidRPr="002042EF">
        <w:rPr>
          <w:rFonts w:ascii="Georgia" w:hAnsi="Georgia"/>
          <w:sz w:val="24"/>
          <w:szCs w:val="24"/>
        </w:rPr>
        <w:t>clients.</w:t>
      </w:r>
      <w:r w:rsidRPr="002042EF">
        <w:rPr>
          <w:rFonts w:ascii="Georgia" w:hAnsi="Georgia"/>
          <w:spacing w:val="-3"/>
          <w:sz w:val="24"/>
          <w:szCs w:val="24"/>
        </w:rPr>
        <w:t xml:space="preserve"> </w:t>
      </w:r>
      <w:r w:rsidRPr="002042EF">
        <w:rPr>
          <w:rFonts w:ascii="Georgia" w:hAnsi="Georgia"/>
          <w:sz w:val="24"/>
          <w:szCs w:val="24"/>
        </w:rPr>
        <w:t>It</w:t>
      </w:r>
      <w:r w:rsidRPr="002042EF">
        <w:rPr>
          <w:rFonts w:ascii="Georgia" w:hAnsi="Georgia"/>
          <w:spacing w:val="-3"/>
          <w:sz w:val="24"/>
          <w:szCs w:val="24"/>
        </w:rPr>
        <w:t xml:space="preserve"> </w:t>
      </w:r>
      <w:r w:rsidRPr="002042EF">
        <w:rPr>
          <w:rFonts w:ascii="Georgia" w:hAnsi="Georgia"/>
          <w:sz w:val="24"/>
          <w:szCs w:val="24"/>
        </w:rPr>
        <w:t>was</w:t>
      </w:r>
      <w:r w:rsidRPr="002042EF">
        <w:rPr>
          <w:rFonts w:ascii="Georgia" w:hAnsi="Georgia"/>
          <w:spacing w:val="-3"/>
          <w:sz w:val="24"/>
          <w:szCs w:val="24"/>
        </w:rPr>
        <w:t xml:space="preserve"> </w:t>
      </w:r>
      <w:r w:rsidRPr="002042EF">
        <w:rPr>
          <w:rFonts w:ascii="Georgia" w:hAnsi="Georgia"/>
          <w:sz w:val="24"/>
          <w:szCs w:val="24"/>
        </w:rPr>
        <w:t>originally</w:t>
      </w:r>
      <w:r w:rsidRPr="002042EF">
        <w:rPr>
          <w:rFonts w:ascii="Georgia" w:hAnsi="Georgia"/>
          <w:spacing w:val="-3"/>
          <w:sz w:val="24"/>
          <w:szCs w:val="24"/>
        </w:rPr>
        <w:t xml:space="preserve"> </w:t>
      </w:r>
      <w:r w:rsidRPr="002042EF">
        <w:rPr>
          <w:rFonts w:ascii="Georgia" w:hAnsi="Georgia"/>
          <w:sz w:val="24"/>
          <w:szCs w:val="24"/>
        </w:rPr>
        <w:t>provided</w:t>
      </w:r>
      <w:r w:rsidRPr="002042EF">
        <w:rPr>
          <w:rFonts w:ascii="Georgia" w:hAnsi="Georgia"/>
          <w:spacing w:val="-3"/>
          <w:sz w:val="24"/>
          <w:szCs w:val="24"/>
        </w:rPr>
        <w:t xml:space="preserve"> </w:t>
      </w:r>
      <w:r w:rsidRPr="002042EF">
        <w:rPr>
          <w:rFonts w:ascii="Georgia" w:hAnsi="Georgia"/>
          <w:sz w:val="24"/>
          <w:szCs w:val="24"/>
        </w:rPr>
        <w:t>as</w:t>
      </w:r>
      <w:r w:rsidRPr="002042EF">
        <w:rPr>
          <w:rFonts w:ascii="Georgia" w:hAnsi="Georgia"/>
          <w:spacing w:val="-3"/>
          <w:sz w:val="24"/>
          <w:szCs w:val="24"/>
        </w:rPr>
        <w:t xml:space="preserve"> </w:t>
      </w:r>
      <w:r w:rsidRPr="002042EF">
        <w:rPr>
          <w:rFonts w:ascii="Georgia" w:hAnsi="Georgia"/>
          <w:sz w:val="24"/>
          <w:szCs w:val="24"/>
        </w:rPr>
        <w:t>a</w:t>
      </w:r>
      <w:r w:rsidRPr="002042EF">
        <w:rPr>
          <w:rFonts w:ascii="Georgia" w:hAnsi="Georgia"/>
          <w:spacing w:val="-3"/>
          <w:sz w:val="24"/>
          <w:szCs w:val="24"/>
        </w:rPr>
        <w:t xml:space="preserve"> </w:t>
      </w:r>
      <w:r w:rsidRPr="002042EF">
        <w:rPr>
          <w:rFonts w:ascii="Georgia" w:hAnsi="Georgia"/>
          <w:sz w:val="24"/>
          <w:szCs w:val="24"/>
        </w:rPr>
        <w:t>CSV file and loaded into a PostgreSQL database for structured querying before Python analysis</w:t>
      </w:r>
      <w:r>
        <w:rPr>
          <w:rFonts w:ascii="Georgia" w:hAnsi="Georgia"/>
          <w:sz w:val="24"/>
          <w:szCs w:val="24"/>
        </w:rPr>
        <w:t>.</w:t>
      </w:r>
    </w:p>
    <w:p w:rsidR="002042EF" w:rsidRDefault="002042EF" w:rsidP="002042EF">
      <w:pPr>
        <w:jc w:val="both"/>
        <w:rPr>
          <w:rFonts w:ascii="Georgia" w:hAnsi="Georgia"/>
          <w:sz w:val="24"/>
          <w:szCs w:val="24"/>
        </w:rPr>
      </w:pPr>
    </w:p>
    <w:p w:rsidR="00A85DF6" w:rsidRDefault="002042EF" w:rsidP="00A85DF6">
      <w:pPr>
        <w:spacing w:line="360" w:lineRule="auto"/>
        <w:rPr>
          <w:b/>
        </w:rPr>
      </w:pPr>
      <w:r w:rsidRPr="002042EF">
        <w:rPr>
          <w:rFonts w:asciiTheme="majorBidi" w:hAnsiTheme="majorBidi" w:cstheme="majorBidi"/>
          <w:b/>
          <w:color w:val="032362"/>
          <w:sz w:val="36"/>
          <w:szCs w:val="26"/>
        </w:rPr>
        <w:t>3</w:t>
      </w:r>
      <w:r w:rsidR="00162565">
        <w:rPr>
          <w:rFonts w:asciiTheme="majorBidi" w:hAnsiTheme="majorBidi" w:cstheme="majorBidi"/>
          <w:b/>
          <w:color w:val="032362"/>
          <w:sz w:val="36"/>
          <w:szCs w:val="26"/>
        </w:rPr>
        <w:t xml:space="preserve">. Data </w:t>
      </w:r>
      <w:r w:rsidR="00A85DF6">
        <w:rPr>
          <w:rFonts w:asciiTheme="majorBidi" w:hAnsiTheme="majorBidi" w:cstheme="majorBidi"/>
          <w:b/>
          <w:color w:val="032362"/>
          <w:sz w:val="36"/>
          <w:szCs w:val="26"/>
        </w:rPr>
        <w:t>Pipeline</w:t>
      </w:r>
      <w:r w:rsidR="00A85DF6">
        <w:rPr>
          <w:b/>
        </w:rPr>
        <w:t>:</w:t>
      </w:r>
    </w:p>
    <w:p w:rsidR="00A85DF6" w:rsidRDefault="00A85DF6" w:rsidP="00A85DF6">
      <w:pPr>
        <w:spacing w:line="360" w:lineRule="auto"/>
        <w:jc w:val="center"/>
        <w:rPr>
          <w:b/>
        </w:rPr>
      </w:pPr>
      <w:r>
        <w:rPr>
          <w:noProof/>
        </w:rPr>
        <w:drawing>
          <wp:inline distT="0" distB="0" distL="0" distR="0" wp14:anchorId="37932E11" wp14:editId="245B07B6">
            <wp:extent cx="6850380" cy="3481025"/>
            <wp:effectExtent l="0" t="0" r="7620" b="5715"/>
            <wp:docPr id="14" name="Image 14" descr="C:\Users\AdMin\Downloads\ChatGPT Image 12 mai 2026, 08_43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ChatGPT Image 12 mai 2026, 08_43_42.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54" b="3881"/>
                    <a:stretch/>
                  </pic:blipFill>
                  <pic:spPr bwMode="auto">
                    <a:xfrm>
                      <a:off x="0" y="0"/>
                      <a:ext cx="6983121" cy="3548477"/>
                    </a:xfrm>
                    <a:prstGeom prst="rect">
                      <a:avLst/>
                    </a:prstGeom>
                    <a:noFill/>
                    <a:ln>
                      <a:noFill/>
                    </a:ln>
                    <a:extLst>
                      <a:ext uri="{53640926-AAD7-44D8-BBD7-CCE9431645EC}">
                        <a14:shadowObscured xmlns:a14="http://schemas.microsoft.com/office/drawing/2010/main"/>
                      </a:ext>
                    </a:extLst>
                  </pic:spPr>
                </pic:pic>
              </a:graphicData>
            </a:graphic>
          </wp:inline>
        </w:drawing>
      </w:r>
    </w:p>
    <w:p w:rsidR="00162565" w:rsidRPr="00A85DF6" w:rsidRDefault="00A85DF6" w:rsidP="00A85DF6">
      <w:pPr>
        <w:pStyle w:val="NormalWeb"/>
      </w:pPr>
      <w:r>
        <w:t>This pipeline covers the full data workflow — from raw CSV files to interactive Power BI dashboards, passing through PostgreSQL storage, Python analysis, and DAX modeling.</w:t>
      </w:r>
    </w:p>
    <w:p w:rsidR="00162565" w:rsidRDefault="00162565" w:rsidP="00EB398D">
      <w:pPr>
        <w:spacing w:line="360" w:lineRule="auto"/>
        <w:rPr>
          <w:rFonts w:asciiTheme="majorBidi" w:hAnsiTheme="majorBidi" w:cstheme="majorBidi"/>
          <w:b/>
          <w:color w:val="032362"/>
          <w:sz w:val="36"/>
          <w:szCs w:val="26"/>
        </w:rPr>
      </w:pPr>
      <w:r>
        <w:rPr>
          <w:rFonts w:asciiTheme="majorBidi" w:hAnsiTheme="majorBidi" w:cstheme="majorBidi"/>
          <w:b/>
          <w:color w:val="032362"/>
          <w:sz w:val="36"/>
          <w:szCs w:val="26"/>
        </w:rPr>
        <w:lastRenderedPageBreak/>
        <w:t xml:space="preserve">4. Data Cleaning &amp; </w:t>
      </w:r>
      <w:r w:rsidR="00EB398D">
        <w:rPr>
          <w:rFonts w:asciiTheme="majorBidi" w:hAnsiTheme="majorBidi" w:cstheme="majorBidi"/>
          <w:b/>
          <w:color w:val="032362"/>
          <w:sz w:val="36"/>
          <w:szCs w:val="26"/>
        </w:rPr>
        <w:t>Exploratory Data Analysis:</w:t>
      </w:r>
    </w:p>
    <w:p w:rsidR="00EB398D" w:rsidRDefault="00EB398D" w:rsidP="00EB398D">
      <w:pPr>
        <w:spacing w:before="80" w:after="80" w:line="360" w:lineRule="auto"/>
        <w:jc w:val="both"/>
        <w:rPr>
          <w:rFonts w:ascii="Georgia" w:eastAsia="Arial" w:hAnsi="Georgia" w:cs="Arial"/>
          <w:sz w:val="24"/>
          <w:szCs w:val="24"/>
        </w:rPr>
      </w:pPr>
      <w:r w:rsidRPr="00EB398D">
        <w:rPr>
          <w:rFonts w:ascii="Georgia" w:eastAsia="Arial" w:hAnsi="Georgia" w:cs="Arial"/>
          <w:sz w:val="24"/>
          <w:szCs w:val="24"/>
        </w:rPr>
        <w:t>The EDA was performed in Python using Pandas, Matplotlib, and Seaborn. The notebook was connected directly to the PostgreSQL database using SQLAlchemy.</w:t>
      </w:r>
    </w:p>
    <w:p w:rsidR="00EB398D" w:rsidRDefault="00EB398D" w:rsidP="00EB398D">
      <w:pPr>
        <w:pStyle w:val="Titre2"/>
        <w:spacing w:line="360" w:lineRule="auto"/>
        <w:rPr>
          <w:rFonts w:asciiTheme="majorBidi" w:hAnsiTheme="majorBidi" w:cstheme="majorBidi"/>
          <w:color w:val="0077B6"/>
        </w:rPr>
      </w:pPr>
      <w:r w:rsidRPr="00EB398D">
        <w:rPr>
          <w:rFonts w:asciiTheme="majorBidi" w:hAnsiTheme="majorBidi" w:cstheme="majorBidi"/>
          <w:color w:val="0077B6"/>
        </w:rPr>
        <w:t>4.1 Feature Engineering in Python:</w:t>
      </w:r>
    </w:p>
    <w:p w:rsidR="00EB398D" w:rsidRPr="00BF2465" w:rsidRDefault="00EB398D" w:rsidP="00BF2465">
      <w:pPr>
        <w:spacing w:before="80" w:after="80" w:line="360" w:lineRule="auto"/>
        <w:jc w:val="both"/>
        <w:rPr>
          <w:rFonts w:ascii="Georgia" w:hAnsi="Georgia"/>
          <w:sz w:val="24"/>
          <w:szCs w:val="24"/>
        </w:rPr>
      </w:pPr>
      <w:r w:rsidRPr="00BF2465">
        <w:rPr>
          <w:rFonts w:ascii="Georgia" w:eastAsia="Arial" w:hAnsi="Georgia" w:cs="Arial"/>
          <w:sz w:val="24"/>
          <w:szCs w:val="24"/>
        </w:rPr>
        <w:t>The engineered features were created during EDA: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EB398D" w:rsidRPr="00EB398D" w:rsidTr="00EB398D">
        <w:tblPrEx>
          <w:tblCellMar>
            <w:top w:w="0" w:type="dxa"/>
            <w:bottom w:w="0" w:type="dxa"/>
          </w:tblCellMar>
        </w:tblPrEx>
        <w:trPr>
          <w:tblHeader/>
          <w:jc w:val="center"/>
        </w:trPr>
        <w:tc>
          <w:tcPr>
            <w:tcW w:w="25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EB398D" w:rsidRPr="00EB398D" w:rsidRDefault="00EB398D" w:rsidP="00F0463F">
            <w:pPr>
              <w:jc w:val="center"/>
              <w:rPr>
                <w:rFonts w:asciiTheme="majorBidi" w:hAnsiTheme="majorBidi" w:cstheme="majorBidi"/>
              </w:rPr>
            </w:pPr>
            <w:r w:rsidRPr="00EB398D">
              <w:rPr>
                <w:rFonts w:asciiTheme="majorBidi" w:eastAsia="Arial" w:hAnsiTheme="majorBidi" w:cstheme="majorBidi"/>
                <w:b/>
                <w:bCs/>
                <w:color w:val="FFFFFF"/>
              </w:rPr>
              <w:t>New Column</w:t>
            </w:r>
          </w:p>
        </w:tc>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EB398D" w:rsidRPr="00EB398D" w:rsidRDefault="00EB398D" w:rsidP="00F0463F">
            <w:pPr>
              <w:jc w:val="center"/>
              <w:rPr>
                <w:rFonts w:asciiTheme="majorBidi" w:hAnsiTheme="majorBidi" w:cstheme="majorBidi"/>
              </w:rPr>
            </w:pPr>
            <w:r w:rsidRPr="00EB398D">
              <w:rPr>
                <w:rFonts w:asciiTheme="majorBidi" w:eastAsia="Arial" w:hAnsiTheme="majorBidi" w:cstheme="majorBidi"/>
                <w:b/>
                <w:bCs/>
                <w:color w:val="FFFFFF"/>
              </w:rPr>
              <w:t>Method</w:t>
            </w:r>
          </w:p>
        </w:tc>
        <w:tc>
          <w:tcPr>
            <w:tcW w:w="38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EB398D" w:rsidRPr="00EB398D" w:rsidRDefault="00EB398D" w:rsidP="00F0463F">
            <w:pPr>
              <w:jc w:val="center"/>
              <w:rPr>
                <w:rFonts w:asciiTheme="majorBidi" w:hAnsiTheme="majorBidi" w:cstheme="majorBidi"/>
              </w:rPr>
            </w:pPr>
            <w:r w:rsidRPr="00EB398D">
              <w:rPr>
                <w:rFonts w:asciiTheme="majorBidi" w:eastAsia="Arial" w:hAnsiTheme="majorBidi" w:cstheme="majorBidi"/>
                <w:b/>
                <w:bCs/>
                <w:color w:val="FFFFFF"/>
              </w:rPr>
              <w:t>Values</w:t>
            </w:r>
          </w:p>
        </w:tc>
      </w:tr>
      <w:tr w:rsidR="00EB398D" w:rsidRPr="00EB398D" w:rsidTr="00EB398D">
        <w:tblPrEx>
          <w:tblCellMar>
            <w:top w:w="0" w:type="dxa"/>
            <w:bottom w:w="0" w:type="dxa"/>
          </w:tblCellMar>
        </w:tblPrEx>
        <w:trPr>
          <w:jc w:val="center"/>
        </w:trPr>
        <w:tc>
          <w:tcPr>
            <w:tcW w:w="25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BF2465" w:rsidRDefault="00EB398D" w:rsidP="00F0463F">
            <w:pPr>
              <w:rPr>
                <w:rFonts w:asciiTheme="majorBidi" w:hAnsiTheme="majorBidi" w:cstheme="majorBidi"/>
                <w:b/>
                <w:bCs/>
              </w:rPr>
            </w:pPr>
            <w:r w:rsidRPr="00BF2465">
              <w:rPr>
                <w:rFonts w:asciiTheme="majorBidi" w:eastAsia="Arial" w:hAnsiTheme="majorBidi" w:cstheme="majorBidi"/>
                <w:b/>
                <w:bCs/>
              </w:rPr>
              <w:t>Income_band</w:t>
            </w:r>
          </w:p>
        </w:tc>
        <w:tc>
          <w:tcPr>
            <w:tcW w:w="30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EB398D" w:rsidRDefault="00EB398D" w:rsidP="00F0463F">
            <w:pPr>
              <w:rPr>
                <w:rFonts w:asciiTheme="majorBidi" w:hAnsiTheme="majorBidi" w:cstheme="majorBidi"/>
              </w:rPr>
            </w:pPr>
            <w:r w:rsidRPr="00EB398D">
              <w:rPr>
                <w:rFonts w:asciiTheme="majorBidi" w:eastAsia="Arial" w:hAnsiTheme="majorBidi" w:cstheme="majorBidi"/>
              </w:rPr>
              <w:t>pd.cut on Estimated Income</w:t>
            </w:r>
          </w:p>
        </w:tc>
        <w:tc>
          <w:tcPr>
            <w:tcW w:w="38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EB398D" w:rsidRDefault="00EB398D" w:rsidP="00F0463F">
            <w:pPr>
              <w:rPr>
                <w:rFonts w:asciiTheme="majorBidi" w:hAnsiTheme="majorBidi" w:cstheme="majorBidi"/>
              </w:rPr>
            </w:pPr>
            <w:r w:rsidRPr="00EB398D">
              <w:rPr>
                <w:rFonts w:asciiTheme="majorBidi" w:eastAsia="Arial" w:hAnsiTheme="majorBidi" w:cstheme="majorBidi"/>
              </w:rPr>
              <w:t>Low (&lt; 100K)  /  Mid (&lt; 300K)  /  High (300K+)</w:t>
            </w:r>
          </w:p>
        </w:tc>
      </w:tr>
    </w:tbl>
    <w:p w:rsidR="00EB398D" w:rsidRDefault="00EB398D" w:rsidP="00EB398D">
      <w:pPr>
        <w:spacing w:before="40" w:after="40"/>
      </w:pPr>
    </w:p>
    <w:p w:rsidR="00EB398D" w:rsidRPr="00BF2465" w:rsidRDefault="00BF2465" w:rsidP="00BF2465">
      <w:pPr>
        <w:pStyle w:val="Titre2"/>
        <w:spacing w:line="360" w:lineRule="auto"/>
        <w:rPr>
          <w:rFonts w:asciiTheme="majorBidi" w:hAnsiTheme="majorBidi" w:cstheme="majorBidi"/>
          <w:color w:val="0077B6"/>
        </w:rPr>
      </w:pPr>
      <w:r w:rsidRPr="00BF2465">
        <w:rPr>
          <w:rFonts w:asciiTheme="majorBidi" w:hAnsiTheme="majorBidi" w:cstheme="majorBidi"/>
          <w:color w:val="0077B6"/>
        </w:rPr>
        <w:t>4.2 Mapping</w:t>
      </w:r>
      <w:r w:rsidR="00EB398D" w:rsidRPr="00BF2465">
        <w:rPr>
          <w:rFonts w:asciiTheme="majorBidi" w:hAnsiTheme="majorBidi" w:cstheme="majorBidi"/>
          <w:color w:val="0077B6"/>
        </w:rPr>
        <w:t xml:space="preserve"> Operations (Power Query)</w:t>
      </w:r>
    </w:p>
    <w:p w:rsidR="00EB398D" w:rsidRPr="00BF2465" w:rsidRDefault="00EB398D" w:rsidP="00BF2465">
      <w:pPr>
        <w:spacing w:before="80" w:after="80" w:line="360" w:lineRule="auto"/>
        <w:jc w:val="both"/>
        <w:rPr>
          <w:rFonts w:ascii="Georgia" w:hAnsi="Georgia"/>
          <w:sz w:val="24"/>
          <w:szCs w:val="24"/>
        </w:rPr>
      </w:pPr>
      <w:r w:rsidRPr="00BF2465">
        <w:rPr>
          <w:rFonts w:ascii="Georgia" w:eastAsia="Arial" w:hAnsi="Georgia" w:cs="Arial"/>
          <w:sz w:val="24"/>
          <w:szCs w:val="24"/>
        </w:rPr>
        <w:t>Several numeric ID columns were converted to readable labels using Power Query mapping transformations in Power BI:</w:t>
      </w:r>
    </w:p>
    <w:p w:rsidR="00EB398D" w:rsidRDefault="00EB398D" w:rsidP="00EB398D">
      <w:pPr>
        <w:spacing w:before="40" w:after="4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B398D" w:rsidRPr="00BF2465" w:rsidTr="00BF2465">
        <w:tblPrEx>
          <w:tblCellMar>
            <w:top w:w="0" w:type="dxa"/>
            <w:bottom w:w="0" w:type="dxa"/>
          </w:tblCellMar>
        </w:tblPrEx>
        <w:trPr>
          <w:tblHeader/>
          <w:jc w:val="center"/>
        </w:trPr>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EB398D" w:rsidRPr="00BF2465" w:rsidRDefault="00EB398D" w:rsidP="00F0463F">
            <w:pPr>
              <w:jc w:val="center"/>
              <w:rPr>
                <w:rFonts w:asciiTheme="majorBidi" w:hAnsiTheme="majorBidi" w:cstheme="majorBidi"/>
              </w:rPr>
            </w:pPr>
            <w:r w:rsidRPr="00BF2465">
              <w:rPr>
                <w:rFonts w:asciiTheme="majorBidi" w:eastAsia="Arial" w:hAnsiTheme="majorBidi" w:cstheme="majorBidi"/>
                <w:b/>
                <w:bCs/>
                <w:color w:val="FFFFFF"/>
              </w:rPr>
              <w:t>Original Column</w:t>
            </w:r>
          </w:p>
        </w:tc>
        <w:tc>
          <w:tcPr>
            <w:tcW w:w="3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EB398D" w:rsidRPr="00BF2465" w:rsidRDefault="00EB398D" w:rsidP="00F0463F">
            <w:pPr>
              <w:jc w:val="center"/>
              <w:rPr>
                <w:rFonts w:asciiTheme="majorBidi" w:hAnsiTheme="majorBidi" w:cstheme="majorBidi"/>
              </w:rPr>
            </w:pPr>
            <w:r w:rsidRPr="00BF2465">
              <w:rPr>
                <w:rFonts w:asciiTheme="majorBidi" w:eastAsia="Arial" w:hAnsiTheme="majorBidi" w:cstheme="majorBidi"/>
                <w:b/>
                <w:bCs/>
                <w:color w:val="FFFFFF"/>
              </w:rPr>
              <w:t>Transformation</w:t>
            </w:r>
          </w:p>
        </w:tc>
        <w:tc>
          <w:tcPr>
            <w:tcW w:w="37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EB398D" w:rsidRPr="00BF2465" w:rsidRDefault="00EB398D" w:rsidP="00F0463F">
            <w:pPr>
              <w:jc w:val="center"/>
              <w:rPr>
                <w:rFonts w:asciiTheme="majorBidi" w:hAnsiTheme="majorBidi" w:cstheme="majorBidi"/>
              </w:rPr>
            </w:pPr>
            <w:r w:rsidRPr="00BF2465">
              <w:rPr>
                <w:rFonts w:asciiTheme="majorBidi" w:eastAsia="Arial" w:hAnsiTheme="majorBidi" w:cstheme="majorBidi"/>
                <w:b/>
                <w:bCs/>
                <w:color w:val="FFFFFF"/>
              </w:rPr>
              <w:t>Example Output</w:t>
            </w:r>
          </w:p>
        </w:tc>
      </w:tr>
      <w:tr w:rsidR="00EB398D" w:rsidRPr="00BF2465" w:rsidTr="00BF2465">
        <w:tblPrEx>
          <w:tblCellMar>
            <w:top w:w="0" w:type="dxa"/>
            <w:bottom w:w="0" w:type="dxa"/>
          </w:tblCellMar>
        </w:tblPrEx>
        <w:trPr>
          <w:jc w:val="center"/>
        </w:trPr>
        <w:tc>
          <w:tcPr>
            <w:tcW w:w="24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BF2465" w:rsidRDefault="00EB398D" w:rsidP="00F0463F">
            <w:pPr>
              <w:rPr>
                <w:rFonts w:asciiTheme="majorBidi" w:hAnsiTheme="majorBidi" w:cstheme="majorBidi"/>
                <w:b/>
                <w:bCs/>
              </w:rPr>
            </w:pPr>
            <w:r w:rsidRPr="00BF2465">
              <w:rPr>
                <w:rFonts w:asciiTheme="majorBidi" w:eastAsia="Arial" w:hAnsiTheme="majorBidi" w:cstheme="majorBidi"/>
                <w:b/>
                <w:bCs/>
              </w:rPr>
              <w:t>GenderId</w:t>
            </w:r>
          </w:p>
        </w:tc>
        <w:tc>
          <w:tcPr>
            <w:tcW w:w="3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BF2465" w:rsidRDefault="00EB398D" w:rsidP="00F0463F">
            <w:pPr>
              <w:rPr>
                <w:rFonts w:asciiTheme="majorBidi" w:hAnsiTheme="majorBidi" w:cstheme="majorBidi"/>
              </w:rPr>
            </w:pPr>
            <w:r w:rsidRPr="00BF2465">
              <w:rPr>
                <w:rFonts w:asciiTheme="majorBidi" w:eastAsia="Arial" w:hAnsiTheme="majorBidi" w:cstheme="majorBidi"/>
              </w:rPr>
              <w:t>Mapped to gender label</w:t>
            </w:r>
          </w:p>
        </w:tc>
        <w:tc>
          <w:tcPr>
            <w:tcW w:w="37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BF2465" w:rsidRDefault="00EB398D" w:rsidP="00F0463F">
            <w:pPr>
              <w:rPr>
                <w:rFonts w:asciiTheme="majorBidi" w:hAnsiTheme="majorBidi" w:cstheme="majorBidi"/>
              </w:rPr>
            </w:pPr>
            <w:r w:rsidRPr="00BF2465">
              <w:rPr>
                <w:rFonts w:asciiTheme="majorBidi" w:eastAsia="Arial" w:hAnsiTheme="majorBidi" w:cstheme="majorBidi"/>
              </w:rPr>
              <w:t>1 → Male  /  2 → Female</w:t>
            </w:r>
          </w:p>
        </w:tc>
      </w:tr>
      <w:tr w:rsidR="00EB398D" w:rsidRPr="00BF2465" w:rsidTr="00BF2465">
        <w:tblPrEx>
          <w:tblCellMar>
            <w:top w:w="0" w:type="dxa"/>
            <w:bottom w:w="0" w:type="dxa"/>
          </w:tblCellMar>
        </w:tblPrEx>
        <w:trPr>
          <w:jc w:val="center"/>
        </w:trPr>
        <w:tc>
          <w:tcPr>
            <w:tcW w:w="24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EB398D" w:rsidRPr="00BF2465" w:rsidRDefault="00EB398D" w:rsidP="00F0463F">
            <w:pPr>
              <w:rPr>
                <w:rFonts w:asciiTheme="majorBidi" w:hAnsiTheme="majorBidi" w:cstheme="majorBidi"/>
                <w:b/>
                <w:bCs/>
              </w:rPr>
            </w:pPr>
            <w:r w:rsidRPr="00BF2465">
              <w:rPr>
                <w:rFonts w:asciiTheme="majorBidi" w:eastAsia="Arial" w:hAnsiTheme="majorBidi" w:cstheme="majorBidi"/>
                <w:b/>
                <w:bCs/>
              </w:rPr>
              <w:t>BRId</w:t>
            </w:r>
          </w:p>
        </w:tc>
        <w:tc>
          <w:tcPr>
            <w:tcW w:w="32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EB398D" w:rsidRPr="00BF2465" w:rsidRDefault="00EB398D" w:rsidP="00F0463F">
            <w:pPr>
              <w:rPr>
                <w:rFonts w:asciiTheme="majorBidi" w:hAnsiTheme="majorBidi" w:cstheme="majorBidi"/>
              </w:rPr>
            </w:pPr>
            <w:r w:rsidRPr="00BF2465">
              <w:rPr>
                <w:rFonts w:asciiTheme="majorBidi" w:eastAsia="Arial" w:hAnsiTheme="majorBidi" w:cstheme="majorBidi"/>
              </w:rPr>
              <w:t>Mapped to banking relationship name</w:t>
            </w:r>
          </w:p>
        </w:tc>
        <w:tc>
          <w:tcPr>
            <w:tcW w:w="37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EB398D" w:rsidRPr="00BF2465" w:rsidRDefault="00EB398D" w:rsidP="00F0463F">
            <w:pPr>
              <w:rPr>
                <w:rFonts w:asciiTheme="majorBidi" w:hAnsiTheme="majorBidi" w:cstheme="majorBidi"/>
              </w:rPr>
            </w:pPr>
            <w:r w:rsidRPr="00BF2465">
              <w:rPr>
                <w:rFonts w:asciiTheme="majorBidi" w:eastAsia="Arial" w:hAnsiTheme="majorBidi" w:cstheme="majorBidi"/>
              </w:rPr>
              <w:t>1 → Private Bank  /  2 → Retail  /  ...</w:t>
            </w:r>
          </w:p>
        </w:tc>
      </w:tr>
      <w:tr w:rsidR="00EB398D" w:rsidRPr="00BF2465" w:rsidTr="00BF2465">
        <w:tblPrEx>
          <w:tblCellMar>
            <w:top w:w="0" w:type="dxa"/>
            <w:bottom w:w="0" w:type="dxa"/>
          </w:tblCellMar>
        </w:tblPrEx>
        <w:trPr>
          <w:jc w:val="center"/>
        </w:trPr>
        <w:tc>
          <w:tcPr>
            <w:tcW w:w="24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BF2465" w:rsidRDefault="00EB398D" w:rsidP="00F0463F">
            <w:pPr>
              <w:rPr>
                <w:rFonts w:asciiTheme="majorBidi" w:hAnsiTheme="majorBidi" w:cstheme="majorBidi"/>
                <w:b/>
                <w:bCs/>
              </w:rPr>
            </w:pPr>
            <w:r w:rsidRPr="00BF2465">
              <w:rPr>
                <w:rFonts w:asciiTheme="majorBidi" w:eastAsia="Arial" w:hAnsiTheme="majorBidi" w:cstheme="majorBidi"/>
                <w:b/>
                <w:bCs/>
              </w:rPr>
              <w:t>IAId</w:t>
            </w:r>
          </w:p>
        </w:tc>
        <w:tc>
          <w:tcPr>
            <w:tcW w:w="3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BF2465" w:rsidRDefault="00EB398D" w:rsidP="00F0463F">
            <w:pPr>
              <w:rPr>
                <w:rFonts w:asciiTheme="majorBidi" w:hAnsiTheme="majorBidi" w:cstheme="majorBidi"/>
              </w:rPr>
            </w:pPr>
            <w:r w:rsidRPr="00BF2465">
              <w:rPr>
                <w:rFonts w:asciiTheme="majorBidi" w:eastAsia="Arial" w:hAnsiTheme="majorBidi" w:cstheme="majorBidi"/>
              </w:rPr>
              <w:t>Mapped to investment advisor name</w:t>
            </w:r>
          </w:p>
        </w:tc>
        <w:tc>
          <w:tcPr>
            <w:tcW w:w="37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EB398D" w:rsidRPr="00BF2465" w:rsidRDefault="00EB398D" w:rsidP="00F0463F">
            <w:pPr>
              <w:rPr>
                <w:rFonts w:asciiTheme="majorBidi" w:hAnsiTheme="majorBidi" w:cstheme="majorBidi"/>
              </w:rPr>
            </w:pPr>
            <w:r w:rsidRPr="00BF2465">
              <w:rPr>
                <w:rFonts w:asciiTheme="majorBidi" w:eastAsia="Arial" w:hAnsiTheme="majorBidi" w:cstheme="majorBidi"/>
              </w:rPr>
              <w:t>Readable advisor names</w:t>
            </w:r>
          </w:p>
        </w:tc>
      </w:tr>
    </w:tbl>
    <w:p w:rsidR="00EB398D" w:rsidRPr="00BF2465" w:rsidRDefault="00EB398D" w:rsidP="00BF2465">
      <w:pPr>
        <w:pStyle w:val="Titre2"/>
        <w:spacing w:line="360" w:lineRule="auto"/>
        <w:ind w:left="0" w:firstLine="0"/>
        <w:rPr>
          <w:rFonts w:asciiTheme="majorBidi" w:hAnsiTheme="majorBidi" w:cstheme="majorBidi"/>
          <w:color w:val="0077B6"/>
        </w:rPr>
      </w:pPr>
    </w:p>
    <w:p w:rsidR="00EB398D" w:rsidRPr="00BF2465" w:rsidRDefault="00EB398D" w:rsidP="00BF2465">
      <w:pPr>
        <w:pStyle w:val="Titre2"/>
        <w:spacing w:line="360" w:lineRule="auto"/>
        <w:rPr>
          <w:rFonts w:asciiTheme="majorBidi" w:hAnsiTheme="majorBidi" w:cstheme="majorBidi"/>
          <w:color w:val="0077B6"/>
        </w:rPr>
      </w:pPr>
      <w:r w:rsidRPr="00BF2465">
        <w:rPr>
          <w:rFonts w:asciiTheme="majorBidi" w:hAnsiTheme="majorBidi" w:cstheme="majorBidi"/>
          <w:color w:val="0077B6"/>
        </w:rPr>
        <w:t>4.3 Correlation Analysis</w:t>
      </w:r>
    </w:p>
    <w:p w:rsidR="00EB398D" w:rsidRPr="00BF2465" w:rsidRDefault="00EB398D" w:rsidP="00BF2465">
      <w:pPr>
        <w:spacing w:before="80" w:after="80" w:line="360" w:lineRule="auto"/>
        <w:jc w:val="both"/>
        <w:rPr>
          <w:rFonts w:ascii="Georgia" w:hAnsi="Georgia"/>
          <w:sz w:val="24"/>
          <w:szCs w:val="24"/>
        </w:rPr>
      </w:pPr>
      <w:r w:rsidRPr="00BF2465">
        <w:rPr>
          <w:rFonts w:ascii="Georgia" w:eastAsia="Arial" w:hAnsi="Georgia" w:cs="Arial"/>
          <w:sz w:val="24"/>
          <w:szCs w:val="24"/>
        </w:rPr>
        <w:t>A correlation heatmap was produced on all numerical columns to identify key financial relationships between client accounts.</w:t>
      </w:r>
    </w:p>
    <w:p w:rsidR="00EB398D" w:rsidRPr="00BF2465" w:rsidRDefault="00EB398D" w:rsidP="00BF2465">
      <w:pPr>
        <w:spacing w:before="80" w:after="80" w:line="360" w:lineRule="auto"/>
        <w:jc w:val="both"/>
        <w:rPr>
          <w:rFonts w:ascii="Georgia" w:hAnsi="Georgia"/>
          <w:color w:val="D60093"/>
          <w:sz w:val="24"/>
          <w:szCs w:val="24"/>
        </w:rPr>
      </w:pPr>
      <w:r w:rsidRPr="00BF2465">
        <w:rPr>
          <w:rFonts w:ascii="Georgia" w:eastAsia="Arial" w:hAnsi="Georgia" w:cs="Arial"/>
          <w:b/>
          <w:bCs/>
          <w:color w:val="D60093"/>
          <w:sz w:val="24"/>
          <w:szCs w:val="24"/>
        </w:rPr>
        <w:t xml:space="preserve">Key findings from the </w:t>
      </w:r>
      <w:r w:rsidR="00BF2465">
        <w:rPr>
          <w:rFonts w:ascii="Georgia" w:eastAsia="Arial" w:hAnsi="Georgia" w:cs="Arial"/>
          <w:b/>
          <w:bCs/>
          <w:color w:val="D60093"/>
          <w:sz w:val="24"/>
          <w:szCs w:val="24"/>
        </w:rPr>
        <w:t>heat</w:t>
      </w:r>
      <w:r w:rsidR="00BF2465" w:rsidRPr="00BF2465">
        <w:rPr>
          <w:rFonts w:ascii="Georgia" w:eastAsia="Arial" w:hAnsi="Georgia" w:cs="Arial"/>
          <w:b/>
          <w:bCs/>
          <w:color w:val="D60093"/>
          <w:sz w:val="24"/>
          <w:szCs w:val="24"/>
        </w:rPr>
        <w:t>map</w:t>
      </w:r>
      <w:r w:rsidRPr="00BF2465">
        <w:rPr>
          <w:rFonts w:ascii="Georgia" w:eastAsia="Arial" w:hAnsi="Georgia" w:cs="Arial"/>
          <w:b/>
          <w:bCs/>
          <w:color w:val="D60093"/>
          <w:sz w:val="24"/>
          <w:szCs w:val="24"/>
        </w:rPr>
        <w:t>:</w:t>
      </w:r>
    </w:p>
    <w:p w:rsidR="00EB398D" w:rsidRPr="00BF2465" w:rsidRDefault="00EB398D" w:rsidP="00BF2465">
      <w:pPr>
        <w:pStyle w:val="Paragraphedeliste"/>
        <w:widowControl/>
        <w:numPr>
          <w:ilvl w:val="0"/>
          <w:numId w:val="3"/>
        </w:numPr>
        <w:autoSpaceDE/>
        <w:autoSpaceDN/>
        <w:spacing w:before="60" w:after="60"/>
        <w:jc w:val="both"/>
        <w:rPr>
          <w:rFonts w:ascii="Georgia" w:hAnsi="Georgia"/>
          <w:sz w:val="24"/>
          <w:szCs w:val="24"/>
        </w:rPr>
      </w:pPr>
      <w:r w:rsidRPr="00BF2465">
        <w:rPr>
          <w:rFonts w:ascii="Georgia" w:hAnsi="Georgia"/>
          <w:b/>
          <w:bCs/>
          <w:sz w:val="24"/>
          <w:szCs w:val="24"/>
        </w:rPr>
        <w:t xml:space="preserve">Bank Deposits </w:t>
      </w:r>
      <w:r w:rsidRPr="00BF2465">
        <w:rPr>
          <w:rFonts w:ascii="Times New Roman" w:hAnsi="Times New Roman" w:cs="Times New Roman"/>
          <w:b/>
          <w:bCs/>
          <w:sz w:val="24"/>
          <w:szCs w:val="24"/>
        </w:rPr>
        <w:t>↔</w:t>
      </w:r>
      <w:r w:rsidRPr="00BF2465">
        <w:rPr>
          <w:rFonts w:ascii="Georgia" w:hAnsi="Georgia"/>
          <w:b/>
          <w:bCs/>
          <w:sz w:val="24"/>
          <w:szCs w:val="24"/>
        </w:rPr>
        <w:t xml:space="preserve"> Checking Accounts (0.84</w:t>
      </w:r>
      <w:r w:rsidR="00BF2465" w:rsidRPr="00BF2465">
        <w:rPr>
          <w:rFonts w:ascii="Georgia" w:hAnsi="Georgia"/>
          <w:b/>
          <w:bCs/>
          <w:sz w:val="24"/>
          <w:szCs w:val="24"/>
        </w:rPr>
        <w:t>):</w:t>
      </w:r>
      <w:r w:rsidR="00BF2465">
        <w:rPr>
          <w:rFonts w:ascii="Georgia" w:hAnsi="Georgia" w:cs="Georgia"/>
          <w:sz w:val="24"/>
          <w:szCs w:val="24"/>
        </w:rPr>
        <w:t xml:space="preserve"> </w:t>
      </w:r>
      <w:r w:rsidRPr="00BF2465">
        <w:rPr>
          <w:rFonts w:ascii="Georgia" w:hAnsi="Georgia"/>
          <w:sz w:val="24"/>
          <w:szCs w:val="24"/>
        </w:rPr>
        <w:t>strongest correlation, indicating a high-liquidity client segment</w:t>
      </w:r>
    </w:p>
    <w:p w:rsidR="00EB398D" w:rsidRPr="00BF2465" w:rsidRDefault="00EB398D" w:rsidP="00BF2465">
      <w:pPr>
        <w:pStyle w:val="Paragraphedeliste"/>
        <w:widowControl/>
        <w:numPr>
          <w:ilvl w:val="0"/>
          <w:numId w:val="3"/>
        </w:numPr>
        <w:autoSpaceDE/>
        <w:autoSpaceDN/>
        <w:spacing w:before="60" w:after="60"/>
        <w:jc w:val="both"/>
        <w:rPr>
          <w:rFonts w:ascii="Georgia" w:hAnsi="Georgia"/>
          <w:sz w:val="24"/>
          <w:szCs w:val="24"/>
        </w:rPr>
      </w:pPr>
      <w:r w:rsidRPr="00BF2465">
        <w:rPr>
          <w:rFonts w:ascii="Georgia" w:hAnsi="Georgia"/>
          <w:b/>
          <w:bCs/>
          <w:sz w:val="24"/>
          <w:szCs w:val="24"/>
        </w:rPr>
        <w:t xml:space="preserve">Bank Deposits </w:t>
      </w:r>
      <w:r w:rsidRPr="00BF2465">
        <w:rPr>
          <w:rFonts w:ascii="Times New Roman" w:hAnsi="Times New Roman" w:cs="Times New Roman"/>
          <w:b/>
          <w:bCs/>
          <w:sz w:val="24"/>
          <w:szCs w:val="24"/>
        </w:rPr>
        <w:t>↔</w:t>
      </w:r>
      <w:r w:rsidR="00BF2465">
        <w:rPr>
          <w:rFonts w:ascii="Georgia" w:hAnsi="Georgia"/>
          <w:b/>
          <w:bCs/>
          <w:sz w:val="24"/>
          <w:szCs w:val="24"/>
        </w:rPr>
        <w:t xml:space="preserve"> Saving Accounts (0.75)</w:t>
      </w:r>
      <w:r w:rsidR="00BF2465" w:rsidRPr="00BF2465">
        <w:rPr>
          <w:rFonts w:ascii="Georgia" w:hAnsi="Georgia" w:cs="Georgia"/>
          <w:b/>
          <w:bCs/>
          <w:sz w:val="24"/>
          <w:szCs w:val="24"/>
        </w:rPr>
        <w:t>:</w:t>
      </w:r>
      <w:r w:rsidRPr="00BF2465">
        <w:rPr>
          <w:rFonts w:ascii="Georgia" w:hAnsi="Georgia"/>
          <w:sz w:val="24"/>
          <w:szCs w:val="24"/>
        </w:rPr>
        <w:t xml:space="preserve"> clear saver profile, ideal target for wealth management products</w:t>
      </w:r>
    </w:p>
    <w:p w:rsidR="00EB398D" w:rsidRPr="00BF2465" w:rsidRDefault="00EB398D" w:rsidP="00BF2465">
      <w:pPr>
        <w:pStyle w:val="Paragraphedeliste"/>
        <w:widowControl/>
        <w:numPr>
          <w:ilvl w:val="0"/>
          <w:numId w:val="3"/>
        </w:numPr>
        <w:autoSpaceDE/>
        <w:autoSpaceDN/>
        <w:spacing w:before="60" w:after="60"/>
        <w:jc w:val="both"/>
        <w:rPr>
          <w:rFonts w:ascii="Georgia" w:hAnsi="Georgia"/>
          <w:sz w:val="24"/>
          <w:szCs w:val="24"/>
        </w:rPr>
      </w:pPr>
      <w:r w:rsidRPr="00BF2465">
        <w:rPr>
          <w:rFonts w:ascii="Georgia" w:hAnsi="Georgia"/>
          <w:b/>
          <w:bCs/>
          <w:sz w:val="24"/>
          <w:szCs w:val="24"/>
        </w:rPr>
        <w:t xml:space="preserve">Bank Loans </w:t>
      </w:r>
      <w:r w:rsidRPr="00BF2465">
        <w:rPr>
          <w:rFonts w:ascii="Times New Roman" w:hAnsi="Times New Roman" w:cs="Times New Roman"/>
          <w:b/>
          <w:bCs/>
          <w:sz w:val="24"/>
          <w:szCs w:val="24"/>
        </w:rPr>
        <w:t>↔</w:t>
      </w:r>
      <w:r w:rsidRPr="00BF2465">
        <w:rPr>
          <w:rFonts w:ascii="Georgia" w:hAnsi="Georgia"/>
          <w:b/>
          <w:bCs/>
          <w:sz w:val="24"/>
          <w:szCs w:val="24"/>
        </w:rPr>
        <w:t xml:space="preserve"> Business Lending (0.42</w:t>
      </w:r>
      <w:r w:rsidR="00BF2465" w:rsidRPr="00BF2465">
        <w:rPr>
          <w:rFonts w:ascii="Georgia" w:hAnsi="Georgia"/>
          <w:b/>
          <w:bCs/>
          <w:sz w:val="24"/>
          <w:szCs w:val="24"/>
        </w:rPr>
        <w:t>):</w:t>
      </w:r>
      <w:r w:rsidRPr="00BF2465">
        <w:rPr>
          <w:rFonts w:ascii="Georgia" w:hAnsi="Georgia"/>
          <w:sz w:val="24"/>
          <w:szCs w:val="24"/>
        </w:rPr>
        <w:t xml:space="preserve"> suggests an SME/entrepreneur segment</w:t>
      </w:r>
    </w:p>
    <w:p w:rsidR="00EB398D" w:rsidRPr="00BF2465" w:rsidRDefault="00EB398D" w:rsidP="00BF2465">
      <w:pPr>
        <w:pStyle w:val="Paragraphedeliste"/>
        <w:widowControl/>
        <w:numPr>
          <w:ilvl w:val="0"/>
          <w:numId w:val="3"/>
        </w:numPr>
        <w:autoSpaceDE/>
        <w:autoSpaceDN/>
        <w:spacing w:before="60" w:after="60"/>
        <w:jc w:val="both"/>
        <w:rPr>
          <w:rFonts w:ascii="Georgia" w:hAnsi="Georgia"/>
          <w:sz w:val="24"/>
          <w:szCs w:val="24"/>
        </w:rPr>
      </w:pPr>
      <w:r w:rsidRPr="00BF2465">
        <w:rPr>
          <w:rFonts w:ascii="Georgia" w:hAnsi="Georgia"/>
          <w:b/>
          <w:bCs/>
          <w:sz w:val="24"/>
          <w:szCs w:val="24"/>
        </w:rPr>
        <w:t xml:space="preserve">Bank Loans </w:t>
      </w:r>
      <w:r w:rsidRPr="00BF2465">
        <w:rPr>
          <w:rFonts w:ascii="Times New Roman" w:hAnsi="Times New Roman" w:cs="Times New Roman"/>
          <w:b/>
          <w:bCs/>
          <w:sz w:val="24"/>
          <w:szCs w:val="24"/>
        </w:rPr>
        <w:t>↔</w:t>
      </w:r>
      <w:r w:rsidRPr="00BF2465">
        <w:rPr>
          <w:rFonts w:ascii="Georgia" w:hAnsi="Georgia"/>
          <w:b/>
          <w:bCs/>
          <w:sz w:val="24"/>
          <w:szCs w:val="24"/>
        </w:rPr>
        <w:t xml:space="preserve"> Credit Card Balance (0.37</w:t>
      </w:r>
      <w:r w:rsidR="00BF2465" w:rsidRPr="00BF2465">
        <w:rPr>
          <w:rFonts w:ascii="Georgia" w:hAnsi="Georgia"/>
          <w:b/>
          <w:bCs/>
          <w:sz w:val="24"/>
          <w:szCs w:val="24"/>
        </w:rPr>
        <w:t>):</w:t>
      </w:r>
      <w:r w:rsidR="00BF2465">
        <w:rPr>
          <w:rFonts w:ascii="Georgia" w:hAnsi="Georgia" w:cs="Georgia"/>
          <w:sz w:val="24"/>
          <w:szCs w:val="24"/>
        </w:rPr>
        <w:t xml:space="preserve"> </w:t>
      </w:r>
      <w:r w:rsidRPr="00BF2465">
        <w:rPr>
          <w:rFonts w:ascii="Georgia" w:hAnsi="Georgia"/>
          <w:sz w:val="24"/>
          <w:szCs w:val="24"/>
        </w:rPr>
        <w:t>debt-layering pattern, potential credit risk signal</w:t>
      </w:r>
    </w:p>
    <w:p w:rsidR="00EB398D" w:rsidRDefault="00EB398D" w:rsidP="00BF2465">
      <w:pPr>
        <w:pStyle w:val="Paragraphedeliste"/>
        <w:widowControl/>
        <w:numPr>
          <w:ilvl w:val="0"/>
          <w:numId w:val="3"/>
        </w:numPr>
        <w:autoSpaceDE/>
        <w:autoSpaceDN/>
        <w:spacing w:before="60" w:after="60"/>
        <w:jc w:val="both"/>
        <w:rPr>
          <w:rFonts w:ascii="Georgia" w:hAnsi="Georgia"/>
          <w:sz w:val="24"/>
          <w:szCs w:val="24"/>
        </w:rPr>
      </w:pPr>
      <w:r w:rsidRPr="00BF2465">
        <w:rPr>
          <w:rFonts w:ascii="Georgia" w:hAnsi="Georgia"/>
          <w:b/>
          <w:bCs/>
          <w:sz w:val="24"/>
          <w:szCs w:val="24"/>
        </w:rPr>
        <w:t>Superannuation i</w:t>
      </w:r>
      <w:r w:rsidR="00BF2465" w:rsidRPr="00BF2465">
        <w:rPr>
          <w:rFonts w:ascii="Georgia" w:hAnsi="Georgia"/>
          <w:b/>
          <w:bCs/>
          <w:sz w:val="24"/>
          <w:szCs w:val="24"/>
        </w:rPr>
        <w:t>s independent of all variables:</w:t>
      </w:r>
      <w:r w:rsidRPr="00BF2465">
        <w:rPr>
          <w:rFonts w:ascii="Georgia" w:hAnsi="Georgia"/>
          <w:sz w:val="24"/>
          <w:szCs w:val="24"/>
        </w:rPr>
        <w:t xml:space="preserve"> driven by employer contributions, not active banking behavior</w:t>
      </w:r>
    </w:p>
    <w:p w:rsidR="00BF2465" w:rsidRPr="00BF2465" w:rsidRDefault="00BF2465" w:rsidP="00BF2465">
      <w:pPr>
        <w:pStyle w:val="Titre2"/>
        <w:spacing w:line="360" w:lineRule="auto"/>
        <w:rPr>
          <w:rFonts w:asciiTheme="majorBidi" w:hAnsiTheme="majorBidi" w:cstheme="majorBidi"/>
          <w:color w:val="0077B6"/>
        </w:rPr>
      </w:pPr>
      <w:r w:rsidRPr="00BF2465">
        <w:rPr>
          <w:rFonts w:asciiTheme="majorBidi" w:hAnsiTheme="majorBidi" w:cstheme="majorBidi"/>
          <w:color w:val="0077B6"/>
        </w:rPr>
        <w:t>4.4 Bivariate Analysis</w:t>
      </w:r>
      <w:r>
        <w:rPr>
          <w:rFonts w:asciiTheme="majorBidi" w:hAnsiTheme="majorBidi" w:cstheme="majorBidi"/>
          <w:color w:val="0077B6"/>
        </w:rPr>
        <w:t>:</w:t>
      </w:r>
    </w:p>
    <w:p w:rsidR="00BF2465" w:rsidRPr="00BF2465" w:rsidRDefault="00BF2465" w:rsidP="00BF2465">
      <w:pPr>
        <w:spacing w:before="80" w:after="80" w:line="360" w:lineRule="auto"/>
        <w:jc w:val="both"/>
        <w:rPr>
          <w:rFonts w:ascii="Georgia" w:hAnsi="Georgia"/>
          <w:sz w:val="24"/>
          <w:szCs w:val="24"/>
        </w:rPr>
      </w:pPr>
      <w:r w:rsidRPr="00BF2465">
        <w:rPr>
          <w:rFonts w:ascii="Georgia" w:eastAsia="Arial" w:hAnsi="Georgia" w:cs="Arial"/>
          <w:sz w:val="24"/>
          <w:szCs w:val="24"/>
        </w:rPr>
        <w:t>Regression plots (regplot) were used to visualize 7 key variable pairs, confirming trends identified in the heatmap. Notably:</w:t>
      </w:r>
    </w:p>
    <w:p w:rsidR="00BF2465" w:rsidRPr="00BF2465" w:rsidRDefault="00BF2465" w:rsidP="00BF2465">
      <w:pPr>
        <w:pStyle w:val="Paragraphedeliste"/>
        <w:widowControl/>
        <w:numPr>
          <w:ilvl w:val="0"/>
          <w:numId w:val="4"/>
        </w:numPr>
        <w:autoSpaceDE/>
        <w:autoSpaceDN/>
        <w:spacing w:before="60" w:after="60"/>
        <w:jc w:val="both"/>
        <w:rPr>
          <w:rFonts w:ascii="Georgia" w:hAnsi="Georgia"/>
          <w:sz w:val="24"/>
          <w:szCs w:val="24"/>
        </w:rPr>
      </w:pPr>
      <w:r w:rsidRPr="00BF2465">
        <w:rPr>
          <w:rFonts w:ascii="Georgia" w:hAnsi="Georgia"/>
          <w:b/>
          <w:bCs/>
          <w:sz w:val="24"/>
          <w:szCs w:val="24"/>
        </w:rPr>
        <w:lastRenderedPageBreak/>
        <w:t>Bank Deposits Vs Saving Accounts:</w:t>
      </w:r>
      <w:r w:rsidRPr="00BF2465">
        <w:rPr>
          <w:rFonts w:ascii="Georgia" w:hAnsi="Georgia"/>
          <w:sz w:val="24"/>
          <w:szCs w:val="24"/>
        </w:rPr>
        <w:t xml:space="preserve"> strong positive linear trend confirming the saver segment</w:t>
      </w:r>
    </w:p>
    <w:p w:rsidR="00BF2465" w:rsidRPr="00BF2465" w:rsidRDefault="00BF2465" w:rsidP="00BF2465">
      <w:pPr>
        <w:pStyle w:val="Paragraphedeliste"/>
        <w:widowControl/>
        <w:numPr>
          <w:ilvl w:val="0"/>
          <w:numId w:val="4"/>
        </w:numPr>
        <w:autoSpaceDE/>
        <w:autoSpaceDN/>
        <w:spacing w:before="60" w:after="60"/>
        <w:jc w:val="both"/>
        <w:rPr>
          <w:rFonts w:ascii="Georgia" w:hAnsi="Georgia"/>
          <w:sz w:val="24"/>
          <w:szCs w:val="24"/>
        </w:rPr>
      </w:pPr>
      <w:r>
        <w:rPr>
          <w:rFonts w:ascii="Georgia" w:hAnsi="Georgia"/>
          <w:b/>
          <w:bCs/>
          <w:sz w:val="24"/>
          <w:szCs w:val="24"/>
        </w:rPr>
        <w:t>Age V</w:t>
      </w:r>
      <w:r w:rsidRPr="00BF2465">
        <w:rPr>
          <w:rFonts w:ascii="Georgia" w:hAnsi="Georgia"/>
          <w:b/>
          <w:bCs/>
          <w:sz w:val="24"/>
          <w:szCs w:val="24"/>
        </w:rPr>
        <w:t>s Superannuation:</w:t>
      </w:r>
      <w:r>
        <w:rPr>
          <w:rFonts w:ascii="Georgia" w:hAnsi="Georgia"/>
          <w:sz w:val="24"/>
          <w:szCs w:val="24"/>
        </w:rPr>
        <w:t xml:space="preserve"> </w:t>
      </w:r>
      <w:r w:rsidRPr="00BF2465">
        <w:rPr>
          <w:rFonts w:ascii="Georgia" w:hAnsi="Georgia"/>
          <w:sz w:val="24"/>
          <w:szCs w:val="24"/>
        </w:rPr>
        <w:t>nearly flat regression line; age does not predict retirement savings</w:t>
      </w:r>
    </w:p>
    <w:p w:rsidR="00BF2465" w:rsidRDefault="00BF2465" w:rsidP="00BF2465">
      <w:pPr>
        <w:pStyle w:val="Paragraphedeliste"/>
        <w:widowControl/>
        <w:numPr>
          <w:ilvl w:val="0"/>
          <w:numId w:val="4"/>
        </w:numPr>
        <w:autoSpaceDE/>
        <w:autoSpaceDN/>
        <w:spacing w:before="60" w:after="60"/>
        <w:jc w:val="both"/>
        <w:rPr>
          <w:rFonts w:ascii="Georgia" w:hAnsi="Georgia"/>
          <w:sz w:val="24"/>
          <w:szCs w:val="24"/>
        </w:rPr>
      </w:pPr>
      <w:r w:rsidRPr="00BF2465">
        <w:rPr>
          <w:rFonts w:ascii="Georgia" w:hAnsi="Georgia"/>
          <w:b/>
          <w:bCs/>
          <w:sz w:val="24"/>
          <w:szCs w:val="24"/>
        </w:rPr>
        <w:t>Business Lending Vs Bank Loans:</w:t>
      </w:r>
      <w:r w:rsidRPr="00BF2465">
        <w:rPr>
          <w:rFonts w:ascii="Georgia" w:hAnsi="Georgia"/>
          <w:sz w:val="24"/>
          <w:szCs w:val="24"/>
        </w:rPr>
        <w:t xml:space="preserve"> consistent upward trend confirming the SME borrowing pattern</w:t>
      </w:r>
      <w:r>
        <w:rPr>
          <w:rFonts w:ascii="Georgia" w:hAnsi="Georgia"/>
          <w:sz w:val="24"/>
          <w:szCs w:val="24"/>
        </w:rPr>
        <w:t>.</w:t>
      </w:r>
    </w:p>
    <w:p w:rsidR="008A4C01" w:rsidRDefault="00890B83" w:rsidP="008A4C01">
      <w:pPr>
        <w:spacing w:line="360" w:lineRule="auto"/>
        <w:rPr>
          <w:rFonts w:asciiTheme="majorBidi" w:hAnsiTheme="majorBidi" w:cstheme="majorBidi"/>
          <w:b/>
          <w:color w:val="032362"/>
          <w:sz w:val="36"/>
          <w:szCs w:val="26"/>
        </w:rPr>
      </w:pPr>
      <w:r>
        <w:rPr>
          <w:rFonts w:asciiTheme="majorBidi" w:hAnsiTheme="majorBidi" w:cstheme="majorBidi"/>
          <w:b/>
          <w:color w:val="032362"/>
          <w:sz w:val="36"/>
          <w:szCs w:val="26"/>
        </w:rPr>
        <w:t>5</w:t>
      </w:r>
      <w:r w:rsidR="008A4C01">
        <w:rPr>
          <w:rFonts w:asciiTheme="majorBidi" w:hAnsiTheme="majorBidi" w:cstheme="majorBidi"/>
          <w:b/>
          <w:color w:val="032362"/>
          <w:sz w:val="36"/>
          <w:szCs w:val="26"/>
        </w:rPr>
        <w:t>.</w:t>
      </w:r>
      <w:r>
        <w:rPr>
          <w:rFonts w:asciiTheme="majorBidi" w:hAnsiTheme="majorBidi" w:cstheme="majorBidi"/>
          <w:b/>
          <w:color w:val="032362"/>
          <w:sz w:val="36"/>
          <w:szCs w:val="26"/>
        </w:rPr>
        <w:t xml:space="preserve"> Calculated Column</w:t>
      </w:r>
      <w:r w:rsidR="008A4C01">
        <w:rPr>
          <w:rFonts w:asciiTheme="majorBidi" w:hAnsiTheme="majorBidi" w:cstheme="majorBidi"/>
          <w:b/>
          <w:color w:val="032362"/>
          <w:sz w:val="36"/>
          <w:szCs w:val="26"/>
        </w:rPr>
        <w:t>:</w:t>
      </w:r>
    </w:p>
    <w:p w:rsidR="008A4C01" w:rsidRPr="008A4C01" w:rsidRDefault="008A4C01" w:rsidP="008A4C01">
      <w:pPr>
        <w:pStyle w:val="Titre2"/>
        <w:rPr>
          <w:rFonts w:ascii="Georgia" w:hAnsi="Georgia"/>
        </w:rPr>
      </w:pPr>
      <w:r>
        <w:rPr>
          <w:rFonts w:asciiTheme="majorBidi" w:hAnsiTheme="majorBidi" w:cstheme="majorBidi"/>
          <w:b w:val="0"/>
          <w:color w:val="032362"/>
          <w:sz w:val="36"/>
          <w:szCs w:val="26"/>
        </w:rPr>
        <w:t xml:space="preserve">     </w:t>
      </w:r>
      <w:r w:rsidRPr="008A4C01">
        <w:rPr>
          <w:rFonts w:ascii="Georgia" w:hAnsi="Georgia"/>
          <w:color w:val="0077B6"/>
        </w:rPr>
        <w:t xml:space="preserve">5.1 </w:t>
      </w:r>
      <w:r w:rsidRPr="009851D0">
        <w:rPr>
          <w:rFonts w:ascii="Georgia" w:hAnsi="Georgia"/>
          <w:color w:val="0077B6"/>
        </w:rPr>
        <w:t>Processing</w:t>
      </w:r>
      <w:r w:rsidRPr="008A4C01">
        <w:rPr>
          <w:rFonts w:ascii="Georgia" w:hAnsi="Georgia"/>
          <w:color w:val="0077B6"/>
        </w:rPr>
        <w:t xml:space="preserve"> Fees</w:t>
      </w:r>
    </w:p>
    <w:p w:rsidR="009851D0" w:rsidRDefault="008A4C01" w:rsidP="008A4C01">
      <w:pPr>
        <w:spacing w:before="80" w:after="80" w:line="360" w:lineRule="auto"/>
        <w:rPr>
          <w:rFonts w:ascii="Arial" w:eastAsia="Arial" w:hAnsi="Arial" w:cs="Arial"/>
        </w:rPr>
      </w:pPr>
      <w:r>
        <w:rPr>
          <w:rFonts w:ascii="Arial" w:eastAsia="Arial" w:hAnsi="Arial" w:cs="Arial"/>
        </w:rPr>
        <w:t>A calcul</w:t>
      </w:r>
      <w:r w:rsidR="009851D0">
        <w:rPr>
          <w:rFonts w:ascii="Arial" w:eastAsia="Arial" w:hAnsi="Arial" w:cs="Arial"/>
        </w:rPr>
        <w:t>ated column was created to assign a processing fee rate based on the client's Fee Structure category.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1D0" w:rsidTr="00F0463F">
        <w:tblPrEx>
          <w:tblCellMar>
            <w:top w:w="0" w:type="dxa"/>
            <w:bottom w:w="0" w:type="dxa"/>
          </w:tblCellMar>
        </w:tblPrEx>
        <w:trPr>
          <w:jc w:val="center"/>
        </w:trPr>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tcPr>
          <w:p w:rsidR="009851D0" w:rsidRPr="00890B83" w:rsidRDefault="009851D0" w:rsidP="00F0463F">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Processing Fees =</w:t>
            </w:r>
          </w:p>
          <w:p w:rsidR="009851D0" w:rsidRPr="00890B83" w:rsidRDefault="009851D0" w:rsidP="00F0463F">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SWITCH(</w:t>
            </w:r>
          </w:p>
          <w:p w:rsidR="009851D0" w:rsidRPr="00890B83" w:rsidRDefault="009851D0" w:rsidP="00F0463F">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'public customer'[Fee Structure],</w:t>
            </w:r>
          </w:p>
          <w:p w:rsidR="009851D0" w:rsidRPr="00890B83" w:rsidRDefault="009851D0" w:rsidP="00F0463F">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"High", 0.05,</w:t>
            </w:r>
          </w:p>
          <w:p w:rsidR="009851D0" w:rsidRPr="00890B83" w:rsidRDefault="009851D0" w:rsidP="00F0463F">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"Mid",  0.03,</w:t>
            </w:r>
          </w:p>
          <w:p w:rsidR="009851D0" w:rsidRPr="00890B83" w:rsidRDefault="009851D0" w:rsidP="00F0463F">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"Low",  0.01,</w:t>
            </w:r>
          </w:p>
          <w:p w:rsidR="009851D0" w:rsidRPr="008A4C01" w:rsidRDefault="009851D0" w:rsidP="00F0463F">
            <w:pPr>
              <w:spacing w:before="20" w:after="20"/>
              <w:rPr>
                <w:b/>
                <w:bCs/>
                <w:sz w:val="24"/>
                <w:szCs w:val="24"/>
              </w:rPr>
            </w:pPr>
            <w:r w:rsidRPr="00890B83">
              <w:rPr>
                <w:rFonts w:asciiTheme="majorBidi" w:eastAsia="Courier New" w:hAnsiTheme="majorBidi" w:cstheme="majorBidi"/>
                <w:b/>
                <w:bCs/>
                <w:color w:val="FFFFFF" w:themeColor="background1"/>
                <w:sz w:val="20"/>
                <w:szCs w:val="20"/>
              </w:rPr>
              <w:t xml:space="preserve">    0 )</w:t>
            </w:r>
          </w:p>
        </w:tc>
      </w:tr>
    </w:tbl>
    <w:p w:rsidR="009851D0" w:rsidRDefault="009851D0" w:rsidP="009851D0">
      <w:pPr>
        <w:pStyle w:val="Titre2"/>
        <w:rPr>
          <w:rFonts w:ascii="Georgia" w:hAnsi="Georgia"/>
          <w:color w:val="0077B6"/>
        </w:rPr>
      </w:pPr>
    </w:p>
    <w:p w:rsidR="009851D0" w:rsidRPr="009851D0" w:rsidRDefault="009851D0" w:rsidP="009851D0">
      <w:pPr>
        <w:pStyle w:val="Titre2"/>
        <w:rPr>
          <w:rFonts w:ascii="Georgia" w:hAnsi="Georgia"/>
          <w:color w:val="0077B6"/>
        </w:rPr>
      </w:pPr>
      <w:r w:rsidRPr="009851D0">
        <w:rPr>
          <w:rFonts w:ascii="Georgia" w:hAnsi="Georgia"/>
          <w:color w:val="0077B6"/>
        </w:rPr>
        <w:t>5.2 Engagement Days</w:t>
      </w:r>
    </w:p>
    <w:p w:rsidR="008A4C01" w:rsidRPr="009851D0" w:rsidRDefault="009851D0" w:rsidP="009851D0">
      <w:pPr>
        <w:spacing w:before="80" w:after="80" w:line="360" w:lineRule="auto"/>
        <w:jc w:val="both"/>
        <w:rPr>
          <w:rFonts w:ascii="Georgia" w:eastAsia="Arial" w:hAnsi="Georgia" w:cs="Arial"/>
          <w:sz w:val="24"/>
          <w:szCs w:val="24"/>
        </w:rPr>
      </w:pPr>
      <w:r w:rsidRPr="009851D0">
        <w:rPr>
          <w:rFonts w:ascii="Georgia" w:eastAsia="Arial" w:hAnsi="Georgia" w:cs="Arial"/>
          <w:sz w:val="24"/>
          <w:szCs w:val="24"/>
        </w:rPr>
        <w:t>Calculates how many days each client has been with the bank since joining.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4C01" w:rsidTr="009851D0">
        <w:tblPrEx>
          <w:tblCellMar>
            <w:top w:w="0" w:type="dxa"/>
            <w:bottom w:w="0" w:type="dxa"/>
          </w:tblCellMar>
        </w:tblPrEx>
        <w:trPr>
          <w:jc w:val="center"/>
        </w:trPr>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tcPr>
          <w:p w:rsidR="009851D0" w:rsidRPr="00890B83" w:rsidRDefault="009851D0" w:rsidP="009851D0">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Engagement Days =</w:t>
            </w:r>
          </w:p>
          <w:p w:rsidR="009851D0" w:rsidRPr="008A4C01" w:rsidRDefault="009851D0" w:rsidP="009851D0">
            <w:pPr>
              <w:spacing w:before="20" w:after="20"/>
              <w:rPr>
                <w:b/>
                <w:bCs/>
                <w:sz w:val="24"/>
                <w:szCs w:val="24"/>
              </w:rPr>
            </w:pPr>
            <w:r w:rsidRPr="00890B83">
              <w:rPr>
                <w:rFonts w:asciiTheme="majorBidi" w:eastAsia="Courier New" w:hAnsiTheme="majorBidi" w:cstheme="majorBidi"/>
                <w:b/>
                <w:bCs/>
                <w:color w:val="FFFFFF" w:themeColor="background1"/>
                <w:sz w:val="20"/>
                <w:szCs w:val="20"/>
              </w:rPr>
              <w:t>DATEDIFF('public customer'[Joined Bank], TODAY(), DAY)</w:t>
            </w:r>
          </w:p>
        </w:tc>
      </w:tr>
    </w:tbl>
    <w:p w:rsidR="008A4C01" w:rsidRPr="009851D0" w:rsidRDefault="008A4C01" w:rsidP="009851D0">
      <w:pPr>
        <w:pStyle w:val="Titre2"/>
        <w:rPr>
          <w:rFonts w:ascii="Georgia" w:hAnsi="Georgia"/>
          <w:color w:val="0077B6"/>
        </w:rPr>
      </w:pPr>
    </w:p>
    <w:p w:rsidR="008A4C01" w:rsidRPr="009851D0" w:rsidRDefault="009851D0" w:rsidP="008A4C01">
      <w:pPr>
        <w:pStyle w:val="Titre2"/>
        <w:rPr>
          <w:rFonts w:ascii="Georgia" w:hAnsi="Georgia"/>
          <w:color w:val="0077B6"/>
        </w:rPr>
      </w:pPr>
      <w:r w:rsidRPr="009851D0">
        <w:rPr>
          <w:rFonts w:ascii="Georgia" w:hAnsi="Georgia"/>
          <w:color w:val="0077B6"/>
        </w:rPr>
        <w:t>5.3 Engagement</w:t>
      </w:r>
      <w:r w:rsidR="008A4C01" w:rsidRPr="009851D0">
        <w:rPr>
          <w:rFonts w:ascii="Georgia" w:hAnsi="Georgia"/>
          <w:color w:val="0077B6"/>
        </w:rPr>
        <w:t xml:space="preserve"> Timeframe</w:t>
      </w:r>
    </w:p>
    <w:p w:rsidR="009851D0" w:rsidRPr="009851D0" w:rsidRDefault="009851D0" w:rsidP="009851D0">
      <w:pPr>
        <w:spacing w:before="80" w:after="80" w:line="360" w:lineRule="auto"/>
        <w:rPr>
          <w:rFonts w:ascii="Georgia" w:eastAsia="Arial" w:hAnsi="Georgia" w:cs="Arial"/>
          <w:sz w:val="24"/>
          <w:szCs w:val="24"/>
        </w:rPr>
      </w:pPr>
      <w:r w:rsidRPr="009851D0">
        <w:rPr>
          <w:rFonts w:ascii="Georgia" w:eastAsia="Arial" w:hAnsi="Georgia" w:cs="Arial"/>
          <w:sz w:val="24"/>
          <w:szCs w:val="24"/>
        </w:rPr>
        <w:t>Categorizes</w:t>
      </w:r>
      <w:r w:rsidR="008A4C01" w:rsidRPr="009851D0">
        <w:rPr>
          <w:rFonts w:ascii="Georgia" w:eastAsia="Arial" w:hAnsi="Georgia" w:cs="Arial"/>
          <w:sz w:val="24"/>
          <w:szCs w:val="24"/>
        </w:rPr>
        <w:t xml:space="preserve"> clients by their banking relationship duration for segmentation analysis.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1D0" w:rsidTr="00F0463F">
        <w:tblPrEx>
          <w:tblCellMar>
            <w:top w:w="0" w:type="dxa"/>
            <w:bottom w:w="0" w:type="dxa"/>
          </w:tblCellMar>
        </w:tblPrEx>
        <w:trPr>
          <w:jc w:val="center"/>
        </w:trPr>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tcPr>
          <w:p w:rsidR="009851D0" w:rsidRPr="009851D0" w:rsidRDefault="009851D0" w:rsidP="009851D0">
            <w:pPr>
              <w:spacing w:before="20" w:after="20"/>
              <w:rPr>
                <w:rFonts w:asciiTheme="majorBidi" w:hAnsiTheme="majorBidi" w:cstheme="majorBidi"/>
                <w:b/>
                <w:bCs/>
                <w:color w:val="FFFFFF" w:themeColor="background1"/>
                <w:sz w:val="20"/>
                <w:szCs w:val="20"/>
              </w:rPr>
            </w:pPr>
            <w:r w:rsidRPr="009851D0">
              <w:rPr>
                <w:rFonts w:asciiTheme="majorBidi" w:eastAsia="Courier New" w:hAnsiTheme="majorBidi" w:cstheme="majorBidi"/>
                <w:b/>
                <w:bCs/>
                <w:color w:val="FFFFFF" w:themeColor="background1"/>
                <w:sz w:val="20"/>
                <w:szCs w:val="20"/>
              </w:rPr>
              <w:t>Engagement Timeframe =</w:t>
            </w:r>
          </w:p>
          <w:p w:rsidR="009851D0" w:rsidRPr="009851D0" w:rsidRDefault="009851D0" w:rsidP="009851D0">
            <w:pPr>
              <w:spacing w:before="20" w:after="20"/>
              <w:rPr>
                <w:rFonts w:asciiTheme="majorBidi" w:hAnsiTheme="majorBidi" w:cstheme="majorBidi"/>
                <w:b/>
                <w:bCs/>
                <w:color w:val="FFFFFF" w:themeColor="background1"/>
                <w:sz w:val="20"/>
                <w:szCs w:val="20"/>
              </w:rPr>
            </w:pPr>
            <w:r w:rsidRPr="009851D0">
              <w:rPr>
                <w:rFonts w:asciiTheme="majorBidi" w:eastAsia="Courier New" w:hAnsiTheme="majorBidi" w:cstheme="majorBidi"/>
                <w:b/>
                <w:bCs/>
                <w:color w:val="FFFFFF" w:themeColor="background1"/>
                <w:sz w:val="20"/>
                <w:szCs w:val="20"/>
              </w:rPr>
              <w:t>SWITCH(</w:t>
            </w:r>
          </w:p>
          <w:p w:rsidR="009851D0" w:rsidRPr="009851D0" w:rsidRDefault="009851D0" w:rsidP="009851D0">
            <w:pPr>
              <w:spacing w:before="20" w:after="20"/>
              <w:rPr>
                <w:rFonts w:asciiTheme="majorBidi" w:hAnsiTheme="majorBidi" w:cstheme="majorBidi"/>
                <w:b/>
                <w:bCs/>
                <w:color w:val="FFFFFF" w:themeColor="background1"/>
                <w:sz w:val="20"/>
                <w:szCs w:val="20"/>
              </w:rPr>
            </w:pPr>
            <w:r w:rsidRPr="009851D0">
              <w:rPr>
                <w:rFonts w:asciiTheme="majorBidi" w:eastAsia="Courier New" w:hAnsiTheme="majorBidi" w:cstheme="majorBidi"/>
                <w:b/>
                <w:bCs/>
                <w:color w:val="FFFFFF" w:themeColor="background1"/>
                <w:sz w:val="20"/>
                <w:szCs w:val="20"/>
              </w:rPr>
              <w:t xml:space="preserve">    TRUE(),</w:t>
            </w:r>
          </w:p>
          <w:p w:rsidR="009851D0" w:rsidRPr="009851D0" w:rsidRDefault="009851D0" w:rsidP="009851D0">
            <w:pPr>
              <w:spacing w:before="20" w:after="20"/>
              <w:rPr>
                <w:rFonts w:asciiTheme="majorBidi" w:hAnsiTheme="majorBidi" w:cstheme="majorBidi"/>
                <w:b/>
                <w:bCs/>
                <w:color w:val="FFFFFF" w:themeColor="background1"/>
                <w:sz w:val="20"/>
                <w:szCs w:val="20"/>
              </w:rPr>
            </w:pPr>
            <w:r w:rsidRPr="009851D0">
              <w:rPr>
                <w:rFonts w:asciiTheme="majorBidi" w:eastAsia="Courier New" w:hAnsiTheme="majorBidi" w:cstheme="majorBidi"/>
                <w:b/>
                <w:bCs/>
                <w:color w:val="FFFFFF" w:themeColor="background1"/>
                <w:sz w:val="20"/>
                <w:szCs w:val="20"/>
              </w:rPr>
              <w:t xml:space="preserve">    'public customer'[Engagement Days] &lt; 365,  "&lt; 1 Year",</w:t>
            </w:r>
          </w:p>
          <w:p w:rsidR="009851D0" w:rsidRPr="009851D0" w:rsidRDefault="009851D0" w:rsidP="009851D0">
            <w:pPr>
              <w:spacing w:before="20" w:after="20"/>
              <w:rPr>
                <w:rFonts w:asciiTheme="majorBidi" w:hAnsiTheme="majorBidi" w:cstheme="majorBidi"/>
                <w:b/>
                <w:bCs/>
                <w:color w:val="FFFFFF" w:themeColor="background1"/>
                <w:sz w:val="20"/>
                <w:szCs w:val="20"/>
              </w:rPr>
            </w:pPr>
            <w:r w:rsidRPr="009851D0">
              <w:rPr>
                <w:rFonts w:asciiTheme="majorBidi" w:eastAsia="Courier New" w:hAnsiTheme="majorBidi" w:cstheme="majorBidi"/>
                <w:b/>
                <w:bCs/>
                <w:color w:val="FFFFFF" w:themeColor="background1"/>
                <w:sz w:val="20"/>
                <w:szCs w:val="20"/>
              </w:rPr>
              <w:t xml:space="preserve">    'public customer'[Engagement Days] &lt; 1095, "1-3 Years",</w:t>
            </w:r>
          </w:p>
          <w:p w:rsidR="009851D0" w:rsidRPr="009851D0" w:rsidRDefault="009851D0" w:rsidP="009851D0">
            <w:pPr>
              <w:spacing w:before="20" w:after="20"/>
              <w:rPr>
                <w:rFonts w:asciiTheme="majorBidi" w:hAnsiTheme="majorBidi" w:cstheme="majorBidi"/>
                <w:b/>
                <w:bCs/>
                <w:color w:val="FFFFFF" w:themeColor="background1"/>
                <w:sz w:val="20"/>
                <w:szCs w:val="20"/>
              </w:rPr>
            </w:pPr>
            <w:r w:rsidRPr="009851D0">
              <w:rPr>
                <w:rFonts w:asciiTheme="majorBidi" w:eastAsia="Courier New" w:hAnsiTheme="majorBidi" w:cstheme="majorBidi"/>
                <w:b/>
                <w:bCs/>
                <w:color w:val="FFFFFF" w:themeColor="background1"/>
                <w:sz w:val="20"/>
                <w:szCs w:val="20"/>
              </w:rPr>
              <w:t xml:space="preserve">    'public customer'[Engagement Days] &lt; 1825, "3-5 Years",</w:t>
            </w:r>
          </w:p>
          <w:p w:rsidR="009851D0" w:rsidRPr="009851D0" w:rsidRDefault="009851D0" w:rsidP="009851D0">
            <w:pPr>
              <w:spacing w:before="20" w:after="20"/>
              <w:rPr>
                <w:rFonts w:asciiTheme="majorBidi" w:hAnsiTheme="majorBidi" w:cstheme="majorBidi"/>
                <w:b/>
                <w:bCs/>
                <w:color w:val="FFFFFF" w:themeColor="background1"/>
                <w:sz w:val="20"/>
                <w:szCs w:val="20"/>
              </w:rPr>
            </w:pPr>
            <w:r w:rsidRPr="009851D0">
              <w:rPr>
                <w:rFonts w:asciiTheme="majorBidi" w:eastAsia="Courier New" w:hAnsiTheme="majorBidi" w:cstheme="majorBidi"/>
                <w:b/>
                <w:bCs/>
                <w:color w:val="FFFFFF" w:themeColor="background1"/>
                <w:sz w:val="20"/>
                <w:szCs w:val="20"/>
              </w:rPr>
              <w:t xml:space="preserve">    "5+ Years")</w:t>
            </w:r>
          </w:p>
          <w:p w:rsidR="009851D0" w:rsidRPr="008A4C01" w:rsidRDefault="009851D0" w:rsidP="00F0463F">
            <w:pPr>
              <w:spacing w:before="20" w:after="20"/>
              <w:rPr>
                <w:b/>
                <w:bCs/>
                <w:sz w:val="24"/>
                <w:szCs w:val="24"/>
              </w:rPr>
            </w:pPr>
            <w:r w:rsidRPr="009851D0">
              <w:rPr>
                <w:rFonts w:asciiTheme="majorBidi" w:eastAsia="Courier New" w:hAnsiTheme="majorBidi" w:cstheme="majorBidi"/>
                <w:b/>
                <w:bCs/>
                <w:color w:val="FFFFFF" w:themeColor="background1"/>
                <w:sz w:val="20"/>
                <w:szCs w:val="20"/>
              </w:rPr>
              <w:t>DATEDIFF('public customer'[Joined Bank], TODAY(), DAY)</w:t>
            </w:r>
          </w:p>
        </w:tc>
      </w:tr>
    </w:tbl>
    <w:p w:rsidR="00890B83" w:rsidRDefault="00890B83" w:rsidP="00890B83">
      <w:pPr>
        <w:pStyle w:val="Titre2"/>
        <w:rPr>
          <w:rFonts w:ascii="Georgia" w:hAnsi="Georgia"/>
          <w:color w:val="0077B6"/>
        </w:rPr>
      </w:pPr>
    </w:p>
    <w:p w:rsidR="00890B83" w:rsidRDefault="00890B83" w:rsidP="00890B83">
      <w:pPr>
        <w:pStyle w:val="Titre2"/>
        <w:rPr>
          <w:rFonts w:ascii="Georgia" w:hAnsi="Georgia"/>
          <w:color w:val="0077B6"/>
        </w:rPr>
      </w:pPr>
      <w:r>
        <w:rPr>
          <w:rFonts w:ascii="Georgia" w:hAnsi="Georgia"/>
          <w:color w:val="0077B6"/>
        </w:rPr>
        <w:t>5.3 Income Band (DAX)</w:t>
      </w:r>
    </w:p>
    <w:p w:rsidR="00890B83" w:rsidRPr="00890B83" w:rsidRDefault="00890B83" w:rsidP="00890B83">
      <w:pPr>
        <w:spacing w:before="80" w:after="80" w:line="360" w:lineRule="auto"/>
        <w:jc w:val="both"/>
        <w:rPr>
          <w:rFonts w:ascii="Georgia" w:hAnsi="Georgia"/>
          <w:sz w:val="24"/>
          <w:szCs w:val="24"/>
        </w:rPr>
      </w:pPr>
      <w:r w:rsidRPr="00890B83">
        <w:rPr>
          <w:rFonts w:ascii="Georgia" w:eastAsia="Arial" w:hAnsi="Georgia" w:cs="Arial"/>
          <w:sz w:val="24"/>
          <w:szCs w:val="24"/>
        </w:rPr>
        <w:t>Bins clients into income segments for income-based filtering in the dashboard.</w:t>
      </w:r>
    </w:p>
    <w:tbl>
      <w:tblPr>
        <w:tblpPr w:leftFromText="180" w:rightFromText="180"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0B83" w:rsidTr="00426EE0">
        <w:tblPrEx>
          <w:tblCellMar>
            <w:top w:w="0" w:type="dxa"/>
            <w:bottom w:w="0" w:type="dxa"/>
          </w:tblCellMar>
        </w:tblPrEx>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tcPr>
          <w:p w:rsidR="00890B83" w:rsidRPr="00890B83" w:rsidRDefault="00890B83" w:rsidP="00890B83">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Income Band =</w:t>
            </w:r>
          </w:p>
          <w:p w:rsidR="00890B83" w:rsidRPr="00890B83" w:rsidRDefault="00890B83" w:rsidP="00890B83">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SWITCH(</w:t>
            </w:r>
          </w:p>
          <w:p w:rsidR="00890B83" w:rsidRPr="00890B83" w:rsidRDefault="00890B83" w:rsidP="00890B83">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TRUE(),</w:t>
            </w:r>
          </w:p>
          <w:p w:rsidR="00890B83" w:rsidRPr="00890B83" w:rsidRDefault="00890B83" w:rsidP="00890B83">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'public customer'[Estimated Income] &lt; 100000, "Low",</w:t>
            </w:r>
          </w:p>
          <w:p w:rsidR="00890B83" w:rsidRPr="00890B83" w:rsidRDefault="00890B83" w:rsidP="00890B83">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'public customer'[Estimated Income] &lt; 300000, "Mid",</w:t>
            </w:r>
          </w:p>
          <w:p w:rsidR="00890B83" w:rsidRPr="00890B83" w:rsidRDefault="00890B83" w:rsidP="00890B83">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 xml:space="preserve">    "High"</w:t>
            </w:r>
          </w:p>
          <w:p w:rsidR="00890B83" w:rsidRPr="008A4C01" w:rsidRDefault="00890B83" w:rsidP="00890B83">
            <w:pPr>
              <w:spacing w:before="20" w:after="20"/>
              <w:rPr>
                <w:b/>
                <w:bCs/>
                <w:sz w:val="24"/>
                <w:szCs w:val="24"/>
              </w:rPr>
            </w:pPr>
            <w:r w:rsidRPr="00890B83">
              <w:rPr>
                <w:rFonts w:asciiTheme="majorBidi" w:eastAsia="Courier New" w:hAnsiTheme="majorBidi" w:cstheme="majorBidi"/>
                <w:b/>
                <w:bCs/>
                <w:color w:val="FFFFFF" w:themeColor="background1"/>
                <w:sz w:val="20"/>
                <w:szCs w:val="20"/>
              </w:rPr>
              <w:t>)</w:t>
            </w:r>
          </w:p>
        </w:tc>
      </w:tr>
    </w:tbl>
    <w:p w:rsidR="00890B83" w:rsidRDefault="00890B83" w:rsidP="008A4C01">
      <w:pPr>
        <w:spacing w:before="40" w:after="40"/>
      </w:pPr>
    </w:p>
    <w:p w:rsidR="00890B83" w:rsidRPr="00890B83" w:rsidRDefault="00890B83" w:rsidP="00890B83"/>
    <w:p w:rsidR="00890B83" w:rsidRPr="00890B83" w:rsidRDefault="00890B83" w:rsidP="00890B83"/>
    <w:p w:rsidR="00890B83" w:rsidRPr="00890B83" w:rsidRDefault="00890B83" w:rsidP="00890B83"/>
    <w:p w:rsidR="00890B83" w:rsidRPr="00890B83" w:rsidRDefault="00890B83" w:rsidP="00890B83"/>
    <w:p w:rsidR="00890B83" w:rsidRPr="00890B83" w:rsidRDefault="00890B83" w:rsidP="00890B83"/>
    <w:p w:rsidR="00890B83" w:rsidRPr="00890B83" w:rsidRDefault="00890B83" w:rsidP="00890B83"/>
    <w:p w:rsidR="00890B83" w:rsidRDefault="00890B83" w:rsidP="008A4C01">
      <w:pPr>
        <w:spacing w:before="40" w:after="40"/>
      </w:pPr>
    </w:p>
    <w:p w:rsidR="00890B83" w:rsidRDefault="00890B83" w:rsidP="008A4C01">
      <w:pPr>
        <w:spacing w:before="40" w:after="40"/>
      </w:pPr>
    </w:p>
    <w:p w:rsidR="00890B83" w:rsidRDefault="00890B83" w:rsidP="00890B83">
      <w:pPr>
        <w:pStyle w:val="Titre2"/>
        <w:rPr>
          <w:rFonts w:ascii="Georgia" w:hAnsi="Georgia"/>
          <w:color w:val="0077B6"/>
        </w:rPr>
      </w:pPr>
      <w:r>
        <w:rPr>
          <w:rFonts w:ascii="Georgia" w:hAnsi="Georgia"/>
          <w:color w:val="0077B6"/>
        </w:rPr>
        <w:t xml:space="preserve">5.3 </w:t>
      </w:r>
      <w:r>
        <w:rPr>
          <w:rFonts w:ascii="Georgia" w:hAnsi="Georgia"/>
          <w:color w:val="0077B6"/>
        </w:rPr>
        <w:tab/>
        <w:t xml:space="preserve">Joining Year </w:t>
      </w:r>
    </w:p>
    <w:p w:rsidR="00890B83" w:rsidRPr="00A2402B" w:rsidRDefault="00A2402B" w:rsidP="00A2402B">
      <w:pPr>
        <w:spacing w:before="80" w:after="80" w:line="360" w:lineRule="auto"/>
        <w:jc w:val="both"/>
        <w:rPr>
          <w:rFonts w:ascii="Georgia" w:hAnsi="Georgia"/>
          <w:sz w:val="28"/>
          <w:szCs w:val="26"/>
        </w:rPr>
      </w:pPr>
      <w:r w:rsidRPr="00A2402B">
        <w:rPr>
          <w:rFonts w:ascii="Georgia" w:hAnsi="Georgia"/>
          <w:sz w:val="24"/>
          <w:szCs w:val="24"/>
        </w:rPr>
        <w:t>Extracts the year a client joined the bank, enabling year-based filtering and trend analysis in the dashboard.</w:t>
      </w:r>
    </w:p>
    <w:tbl>
      <w:tblPr>
        <w:tblpPr w:leftFromText="180" w:rightFromText="180"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0B83" w:rsidTr="00426EE0">
        <w:tblPrEx>
          <w:tblCellMar>
            <w:top w:w="0" w:type="dxa"/>
            <w:bottom w:w="0" w:type="dxa"/>
          </w:tblCellMar>
        </w:tblPrEx>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tcPr>
          <w:p w:rsidR="00890B83" w:rsidRPr="00A2402B" w:rsidRDefault="00890B83" w:rsidP="00A2402B">
            <w:pPr>
              <w:spacing w:before="20" w:after="20"/>
              <w:rPr>
                <w:rFonts w:asciiTheme="majorBidi" w:eastAsia="Courier New" w:hAnsiTheme="majorBidi" w:cstheme="majorBidi"/>
                <w:b/>
                <w:bCs/>
                <w:color w:val="FFFFFF" w:themeColor="background1"/>
                <w:sz w:val="20"/>
                <w:szCs w:val="20"/>
              </w:rPr>
            </w:pPr>
            <w:r w:rsidRPr="00890B83">
              <w:rPr>
                <w:rFonts w:asciiTheme="majorBidi" w:eastAsia="Courier New" w:hAnsiTheme="majorBidi" w:cstheme="majorBidi"/>
                <w:b/>
                <w:bCs/>
                <w:color w:val="FFFFFF" w:themeColor="background1"/>
                <w:sz w:val="20"/>
                <w:szCs w:val="20"/>
              </w:rPr>
              <w:t>Year Of Joining = YEAR('public customer'[Joined Bank])</w:t>
            </w:r>
          </w:p>
        </w:tc>
      </w:tr>
    </w:tbl>
    <w:p w:rsidR="00890B83" w:rsidRDefault="00890B83" w:rsidP="00890B83">
      <w:pPr>
        <w:spacing w:before="40" w:after="40"/>
      </w:pPr>
    </w:p>
    <w:p w:rsidR="00890B83" w:rsidRPr="00890B83" w:rsidRDefault="00890B83" w:rsidP="00890B83"/>
    <w:p w:rsidR="008A4C01" w:rsidRDefault="008A4C01" w:rsidP="008A4C01">
      <w:pPr>
        <w:spacing w:before="40" w:after="40"/>
      </w:pPr>
    </w:p>
    <w:p w:rsidR="00A2402B" w:rsidRDefault="00A2402B" w:rsidP="008A4C01">
      <w:pPr>
        <w:spacing w:before="40" w:after="40"/>
      </w:pPr>
    </w:p>
    <w:p w:rsidR="00A2402B" w:rsidRPr="00A2402B" w:rsidRDefault="00A2402B" w:rsidP="00A2402B">
      <w:pPr>
        <w:spacing w:line="360" w:lineRule="auto"/>
        <w:rPr>
          <w:rFonts w:asciiTheme="majorBidi" w:hAnsiTheme="majorBidi" w:cstheme="majorBidi"/>
          <w:b/>
          <w:color w:val="032362"/>
          <w:sz w:val="36"/>
          <w:szCs w:val="26"/>
        </w:rPr>
      </w:pPr>
      <w:r w:rsidRPr="00A2402B">
        <w:rPr>
          <w:rFonts w:asciiTheme="majorBidi" w:hAnsiTheme="majorBidi" w:cstheme="majorBidi"/>
          <w:b/>
          <w:color w:val="032362"/>
          <w:sz w:val="36"/>
          <w:szCs w:val="26"/>
        </w:rPr>
        <w:t>6. DAX Measures:</w:t>
      </w:r>
    </w:p>
    <w:p w:rsidR="008A4C01" w:rsidRPr="00A2402B" w:rsidRDefault="00A2402B" w:rsidP="00A2402B">
      <w:pPr>
        <w:spacing w:before="80" w:after="80" w:line="360" w:lineRule="auto"/>
        <w:jc w:val="both"/>
        <w:rPr>
          <w:rFonts w:ascii="Georgia" w:hAnsi="Georgia"/>
          <w:sz w:val="24"/>
          <w:szCs w:val="24"/>
        </w:rPr>
      </w:pPr>
      <w:r w:rsidRPr="00A2402B">
        <w:rPr>
          <w:rFonts w:ascii="Georgia" w:eastAsia="Arial" w:hAnsi="Georgia" w:cs="Arial"/>
          <w:sz w:val="24"/>
          <w:szCs w:val="24"/>
        </w:rPr>
        <w:t>All KPI values displayed on the dashboard are powered by DAX measures. Using measures instead of simple column sums ensures dynamic recalculation based on slicer selections and filter context.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8A4C01" w:rsidRPr="00A2402B" w:rsidTr="00A2402B">
        <w:tblPrEx>
          <w:tblCellMar>
            <w:top w:w="0" w:type="dxa"/>
            <w:bottom w:w="0" w:type="dxa"/>
          </w:tblCellMar>
        </w:tblPrEx>
        <w:trPr>
          <w:tblHeade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8A4C01" w:rsidRPr="00A2402B" w:rsidRDefault="008A4C01" w:rsidP="00F0463F">
            <w:pPr>
              <w:jc w:val="center"/>
              <w:rPr>
                <w:rFonts w:asciiTheme="majorBidi" w:hAnsiTheme="majorBidi" w:cstheme="majorBidi"/>
                <w:b/>
                <w:bCs/>
                <w:color w:val="032362"/>
              </w:rPr>
            </w:pPr>
            <w:r w:rsidRPr="00A2402B">
              <w:rPr>
                <w:rFonts w:asciiTheme="majorBidi" w:eastAsia="Arial" w:hAnsiTheme="majorBidi" w:cstheme="majorBidi"/>
                <w:b/>
                <w:bCs/>
                <w:color w:val="FFFFFF" w:themeColor="background1"/>
              </w:rPr>
              <w:t>Measure</w:t>
            </w:r>
          </w:p>
        </w:tc>
        <w:tc>
          <w:tcPr>
            <w:tcW w:w="4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8A4C01" w:rsidRPr="00A2402B" w:rsidRDefault="008A4C01" w:rsidP="00F0463F">
            <w:pPr>
              <w:jc w:val="center"/>
              <w:rPr>
                <w:rFonts w:asciiTheme="majorBidi" w:hAnsiTheme="majorBidi" w:cstheme="majorBidi"/>
              </w:rPr>
            </w:pPr>
            <w:r w:rsidRPr="00A2402B">
              <w:rPr>
                <w:rFonts w:asciiTheme="majorBidi" w:eastAsia="Arial" w:hAnsiTheme="majorBidi" w:cstheme="majorBidi"/>
                <w:b/>
                <w:bCs/>
                <w:color w:val="FFFFFF"/>
              </w:rPr>
              <w:t>DAX Formula</w:t>
            </w:r>
          </w:p>
        </w:tc>
        <w:tc>
          <w:tcPr>
            <w:tcW w:w="2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8A4C01" w:rsidRPr="00A2402B" w:rsidRDefault="008A4C01" w:rsidP="00F0463F">
            <w:pPr>
              <w:jc w:val="center"/>
              <w:rPr>
                <w:rFonts w:asciiTheme="majorBidi" w:hAnsiTheme="majorBidi" w:cstheme="majorBidi"/>
              </w:rPr>
            </w:pPr>
            <w:r w:rsidRPr="00A2402B">
              <w:rPr>
                <w:rFonts w:asciiTheme="majorBidi" w:eastAsia="Arial" w:hAnsiTheme="majorBidi" w:cstheme="majorBidi"/>
                <w:b/>
                <w:bCs/>
                <w:color w:val="FFFFFF"/>
              </w:rPr>
              <w:t>Result (All Time)</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Total Clients</w:t>
            </w:r>
          </w:p>
        </w:tc>
        <w:tc>
          <w:tcPr>
            <w:tcW w:w="4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DISTINCTCOUNT([Client ID])</w:t>
            </w:r>
          </w:p>
        </w:tc>
        <w:tc>
          <w:tcPr>
            <w:tcW w:w="2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3,000</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Total Loans</w:t>
            </w:r>
          </w:p>
        </w:tc>
        <w:tc>
          <w:tcPr>
            <w:tcW w:w="42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[Bank Loan] + [Business Lending] + [Credit Cards Balance]</w:t>
            </w:r>
          </w:p>
        </w:tc>
        <w:tc>
          <w:tcPr>
            <w:tcW w:w="2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$4.38bn</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Bank Loan</w:t>
            </w:r>
          </w:p>
        </w:tc>
        <w:tc>
          <w:tcPr>
            <w:tcW w:w="4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SUM([Bank Loans])</w:t>
            </w:r>
          </w:p>
        </w:tc>
        <w:tc>
          <w:tcPr>
            <w:tcW w:w="2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$1.77bn</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Business Lending</w:t>
            </w:r>
          </w:p>
        </w:tc>
        <w:tc>
          <w:tcPr>
            <w:tcW w:w="42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SUM([Business Lending])</w:t>
            </w:r>
          </w:p>
        </w:tc>
        <w:tc>
          <w:tcPr>
            <w:tcW w:w="2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$2.6bn</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Credit Cards Balance</w:t>
            </w:r>
          </w:p>
        </w:tc>
        <w:tc>
          <w:tcPr>
            <w:tcW w:w="4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SUM([Credit Card Balance])</w:t>
            </w:r>
          </w:p>
        </w:tc>
        <w:tc>
          <w:tcPr>
            <w:tcW w:w="2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$9.53M</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Total Deposit</w:t>
            </w:r>
          </w:p>
        </w:tc>
        <w:tc>
          <w:tcPr>
            <w:tcW w:w="42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[Bank Deposit] + [Savings Acc] + [Checking Acc] + [Foreign Currency]</w:t>
            </w:r>
          </w:p>
        </w:tc>
        <w:tc>
          <w:tcPr>
            <w:tcW w:w="2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$3.77bn</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Bank Deposit</w:t>
            </w:r>
          </w:p>
        </w:tc>
        <w:tc>
          <w:tcPr>
            <w:tcW w:w="4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SUM([Bank Deposits])</w:t>
            </w:r>
          </w:p>
        </w:tc>
        <w:tc>
          <w:tcPr>
            <w:tcW w:w="2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$2.01bn</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Saving Account Amount</w:t>
            </w:r>
          </w:p>
        </w:tc>
        <w:tc>
          <w:tcPr>
            <w:tcW w:w="42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SUM([Saving Accounts])</w:t>
            </w:r>
          </w:p>
        </w:tc>
        <w:tc>
          <w:tcPr>
            <w:tcW w:w="2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$698.73M</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Checking Account Amount</w:t>
            </w:r>
          </w:p>
        </w:tc>
        <w:tc>
          <w:tcPr>
            <w:tcW w:w="4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SUM([Checking Accounts])</w:t>
            </w:r>
          </w:p>
        </w:tc>
        <w:tc>
          <w:tcPr>
            <w:tcW w:w="2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$963.28M</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Foreign Currency Amount</w:t>
            </w:r>
          </w:p>
        </w:tc>
        <w:tc>
          <w:tcPr>
            <w:tcW w:w="42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SUM([Foreign Currency Account])</w:t>
            </w:r>
          </w:p>
        </w:tc>
        <w:tc>
          <w:tcPr>
            <w:tcW w:w="2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$89.65M</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Total Fees</w:t>
            </w:r>
          </w:p>
        </w:tc>
        <w:tc>
          <w:tcPr>
            <w:tcW w:w="4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SUMX(customer, [Total Loans] * [Processing Fees])</w:t>
            </w:r>
          </w:p>
        </w:tc>
        <w:tc>
          <w:tcPr>
            <w:tcW w:w="2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$158.19M</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Total CC Amount</w:t>
            </w:r>
          </w:p>
        </w:tc>
        <w:tc>
          <w:tcPr>
            <w:tcW w:w="42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SUM([Amount of Credit Cards])</w:t>
            </w:r>
          </w:p>
        </w:tc>
        <w:tc>
          <w:tcPr>
            <w:tcW w:w="2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$9.53M</w:t>
            </w:r>
          </w:p>
        </w:tc>
      </w:tr>
      <w:tr w:rsidR="008A4C01" w:rsidRPr="00A2402B" w:rsidTr="00A2402B">
        <w:tblPrEx>
          <w:tblCellMar>
            <w:top w:w="0" w:type="dxa"/>
            <w:bottom w:w="0" w:type="dxa"/>
          </w:tblCellMar>
        </w:tblPrEx>
        <w:trPr>
          <w:jc w:val="center"/>
        </w:trPr>
        <w:tc>
          <w:tcPr>
            <w:tcW w:w="26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b/>
                <w:bCs/>
                <w:color w:val="032362"/>
              </w:rPr>
            </w:pPr>
            <w:r w:rsidRPr="00A2402B">
              <w:rPr>
                <w:rFonts w:asciiTheme="majorBidi" w:eastAsia="Arial" w:hAnsiTheme="majorBidi" w:cstheme="majorBidi"/>
                <w:b/>
                <w:bCs/>
                <w:color w:val="032362"/>
              </w:rPr>
              <w:t>Average Engagement Years</w:t>
            </w:r>
          </w:p>
        </w:tc>
        <w:tc>
          <w:tcPr>
            <w:tcW w:w="42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DIVIDE(AVERAGE([Engagement Days]), 365)</w:t>
            </w:r>
          </w:p>
        </w:tc>
        <w:tc>
          <w:tcPr>
            <w:tcW w:w="2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8A4C01" w:rsidRPr="00A2402B" w:rsidRDefault="008A4C01" w:rsidP="00F0463F">
            <w:pPr>
              <w:rPr>
                <w:rFonts w:asciiTheme="majorBidi" w:hAnsiTheme="majorBidi" w:cstheme="majorBidi"/>
              </w:rPr>
            </w:pPr>
            <w:r w:rsidRPr="00A2402B">
              <w:rPr>
                <w:rFonts w:asciiTheme="majorBidi" w:eastAsia="Arial" w:hAnsiTheme="majorBidi" w:cstheme="majorBidi"/>
              </w:rPr>
              <w:t>15.76 years</w:t>
            </w:r>
          </w:p>
        </w:tc>
      </w:tr>
    </w:tbl>
    <w:p w:rsidR="008A4C01" w:rsidRDefault="008A4C01" w:rsidP="008A4C01">
      <w:pPr>
        <w:spacing w:before="40" w:after="40"/>
      </w:pPr>
    </w:p>
    <w:p w:rsidR="008A4C01" w:rsidRPr="00A2402B" w:rsidRDefault="00A2402B" w:rsidP="008A4C01">
      <w:pPr>
        <w:pStyle w:val="Titre2"/>
        <w:rPr>
          <w:rFonts w:ascii="Georgia" w:hAnsi="Georgia"/>
          <w:sz w:val="32"/>
          <w:szCs w:val="32"/>
        </w:rPr>
      </w:pPr>
      <w:r w:rsidRPr="00A2402B">
        <w:rPr>
          <w:rFonts w:ascii="Georgia" w:hAnsi="Georgia"/>
          <w:color w:val="0077B6"/>
        </w:rPr>
        <w:t>6.1 Key</w:t>
      </w:r>
      <w:r w:rsidR="008A4C01" w:rsidRPr="00A2402B">
        <w:rPr>
          <w:rFonts w:ascii="Georgia" w:hAnsi="Georgia"/>
          <w:color w:val="0077B6"/>
        </w:rPr>
        <w:t xml:space="preserve"> Measure Explanations</w:t>
      </w:r>
    </w:p>
    <w:p w:rsidR="008A4C01" w:rsidRPr="00A2402B" w:rsidRDefault="008A4C01" w:rsidP="00A2402B">
      <w:pPr>
        <w:spacing w:before="200" w:after="100"/>
        <w:jc w:val="both"/>
        <w:rPr>
          <w:rFonts w:ascii="Georgia" w:hAnsi="Georgia"/>
          <w:color w:val="D60093"/>
        </w:rPr>
      </w:pPr>
      <w:r w:rsidRPr="00A2402B">
        <w:rPr>
          <w:rFonts w:ascii="Georgia" w:eastAsia="Arial" w:hAnsi="Georgia" w:cs="Arial"/>
          <w:b/>
          <w:bCs/>
          <w:color w:val="D60093"/>
        </w:rPr>
        <w:t>Why SUMX for Total Fees?</w:t>
      </w:r>
    </w:p>
    <w:p w:rsidR="006650F3" w:rsidRPr="006650F3" w:rsidRDefault="008A4C01" w:rsidP="006650F3">
      <w:pPr>
        <w:spacing w:before="80" w:after="80" w:line="360" w:lineRule="auto"/>
        <w:jc w:val="both"/>
        <w:rPr>
          <w:rFonts w:ascii="Georgia" w:eastAsia="Arial" w:hAnsi="Georgia" w:cs="Arial"/>
          <w:sz w:val="24"/>
          <w:szCs w:val="24"/>
        </w:rPr>
      </w:pPr>
      <w:r w:rsidRPr="00A2402B">
        <w:rPr>
          <w:rFonts w:ascii="Georgia" w:eastAsia="Arial" w:hAnsi="Georgia" w:cs="Arial"/>
          <w:sz w:val="24"/>
          <w:szCs w:val="24"/>
        </w:rPr>
        <w:t>SUMX iterates row by row — for each client it multiplies their Total Loans by their Processing Fee rate, then sums the results. A simple SUM cannot perform this row-level multiplication.</w:t>
      </w:r>
    </w:p>
    <w:tbl>
      <w:tblPr>
        <w:tblpPr w:leftFromText="180" w:rightFromText="180"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0F3" w:rsidTr="00426EE0">
        <w:tblPrEx>
          <w:tblCellMar>
            <w:top w:w="0" w:type="dxa"/>
            <w:bottom w:w="0" w:type="dxa"/>
          </w:tblCellMar>
        </w:tblPrEx>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tcPr>
          <w:p w:rsidR="006650F3" w:rsidRPr="006650F3" w:rsidRDefault="006650F3" w:rsidP="002A7FFC">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Total Fees =</w:t>
            </w:r>
            <w:r w:rsidR="002A7FFC">
              <w:rPr>
                <w:rFonts w:asciiTheme="majorBidi" w:eastAsia="Courier New" w:hAnsiTheme="majorBidi" w:cstheme="majorBidi"/>
                <w:b/>
                <w:bCs/>
                <w:color w:val="FFFFFF" w:themeColor="background1"/>
                <w:sz w:val="20"/>
                <w:szCs w:val="20"/>
              </w:rPr>
              <w:t xml:space="preserve"> </w:t>
            </w:r>
            <w:r w:rsidRPr="006650F3">
              <w:rPr>
                <w:rFonts w:asciiTheme="majorBidi" w:eastAsia="Courier New" w:hAnsiTheme="majorBidi" w:cstheme="majorBidi"/>
                <w:b/>
                <w:bCs/>
                <w:color w:val="FFFFFF" w:themeColor="background1"/>
                <w:sz w:val="20"/>
                <w:szCs w:val="20"/>
              </w:rPr>
              <w:t>SUMX(</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lastRenderedPageBreak/>
              <w:t xml:space="preserve">    'public customer',</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 xml:space="preserve">    [Total Loans] * 'public customer'[Processing Fees]</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 Example:</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 Client A: $500K loans × 5% = $25K</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 Client B: $300K loans × 3% = $9K</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 Client C: $100K loans × 1% = $1K</w:t>
            </w:r>
          </w:p>
          <w:p w:rsidR="006650F3" w:rsidRPr="008A4C01" w:rsidRDefault="006650F3" w:rsidP="006650F3">
            <w:pPr>
              <w:spacing w:before="20" w:after="20"/>
              <w:rPr>
                <w:b/>
                <w:bCs/>
                <w:sz w:val="24"/>
                <w:szCs w:val="24"/>
              </w:rPr>
            </w:pPr>
            <w:r w:rsidRPr="006650F3">
              <w:rPr>
                <w:rFonts w:asciiTheme="majorBidi" w:eastAsia="Courier New" w:hAnsiTheme="majorBidi" w:cstheme="majorBidi"/>
                <w:b/>
                <w:bCs/>
                <w:color w:val="FFFFFF" w:themeColor="background1"/>
                <w:sz w:val="20"/>
                <w:szCs w:val="20"/>
              </w:rPr>
              <w:t>-- Total Fees = $35K</w:t>
            </w:r>
          </w:p>
        </w:tc>
      </w:tr>
    </w:tbl>
    <w:p w:rsidR="006650F3" w:rsidRDefault="006650F3" w:rsidP="006650F3">
      <w:pPr>
        <w:spacing w:before="40" w:after="40"/>
      </w:pPr>
    </w:p>
    <w:p w:rsidR="006650F3" w:rsidRPr="00890B83" w:rsidRDefault="006650F3" w:rsidP="006650F3"/>
    <w:p w:rsidR="006650F3" w:rsidRPr="00890B83" w:rsidRDefault="006650F3" w:rsidP="006650F3"/>
    <w:p w:rsidR="006650F3" w:rsidRPr="00890B83" w:rsidRDefault="006650F3" w:rsidP="006650F3"/>
    <w:p w:rsidR="006650F3" w:rsidRPr="00890B83" w:rsidRDefault="006650F3" w:rsidP="006650F3"/>
    <w:p w:rsidR="006650F3" w:rsidRPr="00890B83" w:rsidRDefault="006650F3" w:rsidP="006650F3"/>
    <w:p w:rsidR="008A4C01" w:rsidRDefault="008A4C01" w:rsidP="008A4C01">
      <w:pPr>
        <w:spacing w:before="40" w:after="40"/>
      </w:pPr>
    </w:p>
    <w:p w:rsidR="008A4C01" w:rsidRDefault="008A4C01" w:rsidP="008A4C01">
      <w:pPr>
        <w:spacing w:before="40" w:after="40"/>
      </w:pPr>
    </w:p>
    <w:p w:rsidR="00A61C45" w:rsidRDefault="00A61C45" w:rsidP="006650F3">
      <w:pPr>
        <w:spacing w:before="200" w:after="100"/>
        <w:jc w:val="both"/>
        <w:rPr>
          <w:rFonts w:ascii="Georgia" w:eastAsia="Arial" w:hAnsi="Georgia" w:cs="Arial"/>
          <w:b/>
          <w:bCs/>
          <w:color w:val="D60093"/>
        </w:rPr>
      </w:pPr>
    </w:p>
    <w:p w:rsidR="00A61C45" w:rsidRDefault="00A61C45" w:rsidP="006650F3">
      <w:pPr>
        <w:spacing w:before="200" w:after="100"/>
        <w:jc w:val="both"/>
        <w:rPr>
          <w:rFonts w:ascii="Georgia" w:eastAsia="Arial" w:hAnsi="Georgia" w:cs="Arial"/>
          <w:b/>
          <w:bCs/>
          <w:color w:val="D60093"/>
        </w:rPr>
      </w:pPr>
    </w:p>
    <w:p w:rsidR="008A4C01" w:rsidRPr="006650F3" w:rsidRDefault="008A4C01" w:rsidP="006650F3">
      <w:pPr>
        <w:spacing w:before="200" w:after="100"/>
        <w:jc w:val="both"/>
        <w:rPr>
          <w:rFonts w:ascii="Georgia" w:eastAsia="Arial" w:hAnsi="Georgia" w:cs="Arial"/>
          <w:b/>
          <w:bCs/>
          <w:color w:val="D60093"/>
        </w:rPr>
      </w:pPr>
      <w:r w:rsidRPr="006650F3">
        <w:rPr>
          <w:rFonts w:ascii="Georgia" w:eastAsia="Arial" w:hAnsi="Georgia" w:cs="Arial"/>
          <w:b/>
          <w:bCs/>
          <w:color w:val="D60093"/>
        </w:rPr>
        <w:t>Why DISTINCTCOUNT for Total Clients?</w:t>
      </w:r>
    </w:p>
    <w:p w:rsidR="006650F3" w:rsidRPr="009D20C4" w:rsidRDefault="008A4C01" w:rsidP="009D20C4">
      <w:pPr>
        <w:spacing w:before="80" w:after="80" w:line="360" w:lineRule="auto"/>
        <w:jc w:val="both"/>
        <w:rPr>
          <w:rFonts w:ascii="Georgia" w:eastAsia="Arial" w:hAnsi="Georgia" w:cs="Arial"/>
          <w:sz w:val="24"/>
          <w:szCs w:val="24"/>
        </w:rPr>
      </w:pPr>
      <w:r w:rsidRPr="006650F3">
        <w:rPr>
          <w:rFonts w:ascii="Georgia" w:eastAsia="Arial" w:hAnsi="Georgia" w:cs="Arial"/>
          <w:sz w:val="24"/>
          <w:szCs w:val="24"/>
        </w:rPr>
        <w:t>DISTINCTCOUNT counts unique Client IDs, ensuring no client is counted twice even if they appear in multiple rows.</w:t>
      </w:r>
    </w:p>
    <w:p w:rsidR="006650F3" w:rsidRDefault="006650F3" w:rsidP="006650F3">
      <w:pPr>
        <w:spacing w:line="360" w:lineRule="auto"/>
        <w:rPr>
          <w:rFonts w:asciiTheme="majorBidi" w:hAnsiTheme="majorBidi" w:cstheme="majorBidi"/>
          <w:b/>
          <w:color w:val="032362"/>
          <w:sz w:val="36"/>
          <w:szCs w:val="26"/>
        </w:rPr>
      </w:pPr>
      <w:r>
        <w:rPr>
          <w:rFonts w:asciiTheme="majorBidi" w:hAnsiTheme="majorBidi" w:cstheme="majorBidi"/>
          <w:b/>
          <w:color w:val="032362"/>
          <w:sz w:val="36"/>
          <w:szCs w:val="26"/>
        </w:rPr>
        <w:t>7</w:t>
      </w:r>
      <w:r w:rsidRPr="00A2402B">
        <w:rPr>
          <w:rFonts w:asciiTheme="majorBidi" w:hAnsiTheme="majorBidi" w:cstheme="majorBidi"/>
          <w:b/>
          <w:color w:val="032362"/>
          <w:sz w:val="36"/>
          <w:szCs w:val="26"/>
        </w:rPr>
        <w:t>.</w:t>
      </w:r>
      <w:r>
        <w:rPr>
          <w:rFonts w:asciiTheme="majorBidi" w:hAnsiTheme="majorBidi" w:cstheme="majorBidi"/>
          <w:b/>
          <w:color w:val="032362"/>
          <w:sz w:val="36"/>
          <w:szCs w:val="26"/>
        </w:rPr>
        <w:t>Date &amp;Time Intelligence</w:t>
      </w:r>
      <w:r w:rsidRPr="00A2402B">
        <w:rPr>
          <w:rFonts w:asciiTheme="majorBidi" w:hAnsiTheme="majorBidi" w:cstheme="majorBidi"/>
          <w:b/>
          <w:color w:val="032362"/>
          <w:sz w:val="36"/>
          <w:szCs w:val="26"/>
        </w:rPr>
        <w:t>:</w:t>
      </w:r>
    </w:p>
    <w:p w:rsidR="006650F3" w:rsidRDefault="006650F3" w:rsidP="006650F3">
      <w:pPr>
        <w:pStyle w:val="Titre2"/>
      </w:pPr>
      <w:r w:rsidRPr="006650F3">
        <w:rPr>
          <w:rFonts w:ascii="Georgia" w:hAnsi="Georgia"/>
          <w:color w:val="0077B6"/>
        </w:rPr>
        <w:t>7.1 Date Table Creation</w:t>
      </w:r>
    </w:p>
    <w:p w:rsidR="006650F3" w:rsidRPr="006650F3" w:rsidRDefault="006650F3" w:rsidP="006650F3">
      <w:pPr>
        <w:spacing w:before="80" w:after="80" w:line="360" w:lineRule="auto"/>
        <w:rPr>
          <w:rFonts w:ascii="Georgia" w:eastAsia="Arial" w:hAnsi="Georgia" w:cs="Arial"/>
          <w:sz w:val="24"/>
          <w:szCs w:val="24"/>
        </w:rPr>
      </w:pPr>
      <w:r w:rsidRPr="006650F3">
        <w:rPr>
          <w:rFonts w:ascii="Georgia" w:eastAsia="Arial" w:hAnsi="Georgia" w:cs="Arial"/>
          <w:sz w:val="24"/>
          <w:szCs w:val="24"/>
        </w:rPr>
        <w:t>A dedicated calendar table was created to support time intelligence calculations and connect the Period Slicer to all dashboard visuals.</w:t>
      </w:r>
    </w:p>
    <w:tbl>
      <w:tblPr>
        <w:tblpPr w:leftFromText="180" w:rightFromText="180"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0F3" w:rsidTr="00426EE0">
        <w:tblPrEx>
          <w:tblCellMar>
            <w:top w:w="0" w:type="dxa"/>
            <w:bottom w:w="0" w:type="dxa"/>
          </w:tblCellMar>
        </w:tblPrEx>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tcPr>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DateTable =</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CALENDAR(</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 xml:space="preserve">    MIN('public customer'[Joined Bank]),</w:t>
            </w:r>
          </w:p>
          <w:p w:rsidR="006650F3" w:rsidRP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 xml:space="preserve">    TODAY()</w:t>
            </w:r>
          </w:p>
          <w:p w:rsidR="006650F3" w:rsidRPr="00A2402B"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w:t>
            </w:r>
          </w:p>
        </w:tc>
      </w:tr>
    </w:tbl>
    <w:p w:rsidR="006650F3" w:rsidRDefault="006650F3" w:rsidP="006650F3">
      <w:pPr>
        <w:spacing w:before="40" w:after="40"/>
      </w:pPr>
    </w:p>
    <w:p w:rsidR="006650F3" w:rsidRPr="00890B83" w:rsidRDefault="006650F3" w:rsidP="006650F3"/>
    <w:p w:rsidR="006650F3" w:rsidRPr="006650F3" w:rsidRDefault="006650F3" w:rsidP="006650F3">
      <w:pPr>
        <w:spacing w:before="80" w:after="80" w:line="360" w:lineRule="auto"/>
        <w:rPr>
          <w:rFonts w:ascii="Georgia" w:eastAsia="Arial" w:hAnsi="Georgia" w:cs="Arial"/>
          <w:sz w:val="24"/>
          <w:szCs w:val="24"/>
        </w:rPr>
      </w:pPr>
    </w:p>
    <w:p w:rsidR="006650F3" w:rsidRDefault="006650F3" w:rsidP="006650F3">
      <w:pPr>
        <w:spacing w:before="40" w:after="40"/>
      </w:pPr>
    </w:p>
    <w:p w:rsidR="006650F3" w:rsidRDefault="006650F3" w:rsidP="006650F3">
      <w:pPr>
        <w:spacing w:before="40" w:after="40"/>
      </w:pPr>
    </w:p>
    <w:p w:rsidR="006650F3" w:rsidRPr="006650F3" w:rsidRDefault="006650F3" w:rsidP="006650F3">
      <w:pPr>
        <w:spacing w:before="80" w:after="80" w:line="360" w:lineRule="auto"/>
        <w:rPr>
          <w:rFonts w:ascii="Georgia" w:eastAsia="Arial" w:hAnsi="Georgia" w:cs="Arial"/>
          <w:sz w:val="24"/>
          <w:szCs w:val="24"/>
        </w:rPr>
      </w:pPr>
      <w:r w:rsidRPr="006650F3">
        <w:rPr>
          <w:rFonts w:ascii="Georgia" w:eastAsia="Arial" w:hAnsi="Georgia" w:cs="Arial"/>
          <w:sz w:val="24"/>
          <w:szCs w:val="24"/>
        </w:rPr>
        <w:t>A relationship was then established in Model View:</w:t>
      </w:r>
    </w:p>
    <w:tbl>
      <w:tblPr>
        <w:tblpPr w:leftFromText="180" w:rightFromText="180"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0F3" w:rsidTr="006650F3">
        <w:tc>
          <w:tcPr>
            <w:tcW w:w="9360" w:type="dxa"/>
            <w:tcBorders>
              <w:top w:val="single" w:sz="36" w:space="0" w:color="0077B6"/>
              <w:left w:val="single" w:sz="36" w:space="0" w:color="0077B6"/>
              <w:bottom w:val="single" w:sz="36" w:space="0" w:color="0077B6"/>
              <w:right w:val="single" w:sz="36" w:space="0" w:color="0077B6"/>
            </w:tcBorders>
            <w:shd w:val="clear" w:color="auto" w:fill="0D0D0D" w:themeFill="text1" w:themeFillTint="F2"/>
            <w:tcMar>
              <w:top w:w="140" w:type="dxa"/>
              <w:left w:w="240" w:type="dxa"/>
              <w:bottom w:w="140" w:type="dxa"/>
              <w:right w:w="240" w:type="dxa"/>
            </w:tcMar>
            <w:hideMark/>
          </w:tcPr>
          <w:p w:rsidR="006650F3" w:rsidRDefault="006650F3" w:rsidP="006650F3">
            <w:pPr>
              <w:spacing w:before="20" w:after="20"/>
              <w:rPr>
                <w:rFonts w:asciiTheme="majorBidi" w:eastAsia="Courier New" w:hAnsiTheme="majorBidi" w:cstheme="majorBidi"/>
                <w:b/>
                <w:bCs/>
                <w:color w:val="FFFFFF" w:themeColor="background1"/>
                <w:sz w:val="20"/>
                <w:szCs w:val="20"/>
              </w:rPr>
            </w:pPr>
            <w:r w:rsidRPr="006650F3">
              <w:rPr>
                <w:rFonts w:asciiTheme="majorBidi" w:eastAsia="Courier New" w:hAnsiTheme="majorBidi" w:cstheme="majorBidi"/>
                <w:b/>
                <w:bCs/>
                <w:color w:val="FFFFFF" w:themeColor="background1"/>
                <w:sz w:val="20"/>
                <w:szCs w:val="20"/>
              </w:rPr>
              <w:t>DateTable[Date]  →  'public customer'[Joined Bank]</w:t>
            </w:r>
            <w:r>
              <w:rPr>
                <w:rFonts w:asciiTheme="majorBidi" w:eastAsia="Courier New" w:hAnsiTheme="majorBidi" w:cstheme="majorBidi"/>
                <w:b/>
                <w:bCs/>
                <w:color w:val="FFFFFF" w:themeColor="background1"/>
                <w:sz w:val="20"/>
                <w:szCs w:val="20"/>
              </w:rPr>
              <w:t xml:space="preserve">                            </w:t>
            </w:r>
            <w:r w:rsidRPr="006650F3">
              <w:rPr>
                <w:rFonts w:asciiTheme="majorBidi" w:eastAsia="Courier New" w:hAnsiTheme="majorBidi" w:cstheme="majorBidi"/>
                <w:b/>
                <w:bCs/>
                <w:color w:val="D60093"/>
                <w:sz w:val="20"/>
                <w:szCs w:val="20"/>
              </w:rPr>
              <w:t>(Many-to-One, Single direction)</w:t>
            </w:r>
          </w:p>
        </w:tc>
      </w:tr>
    </w:tbl>
    <w:p w:rsidR="006650F3" w:rsidRDefault="006650F3" w:rsidP="006650F3">
      <w:pPr>
        <w:spacing w:before="40" w:after="40"/>
      </w:pPr>
    </w:p>
    <w:p w:rsidR="006650F3" w:rsidRDefault="006650F3" w:rsidP="006650F3"/>
    <w:p w:rsidR="006650F3" w:rsidRDefault="006650F3" w:rsidP="006650F3">
      <w:pPr>
        <w:spacing w:before="40" w:after="40"/>
      </w:pPr>
    </w:p>
    <w:p w:rsidR="006650F3" w:rsidRPr="006650F3" w:rsidRDefault="006650F3" w:rsidP="006650F3">
      <w:pPr>
        <w:pStyle w:val="Titre2"/>
        <w:rPr>
          <w:rFonts w:ascii="Georgia" w:hAnsi="Georgia"/>
          <w:color w:val="0077B6"/>
        </w:rPr>
      </w:pPr>
      <w:r w:rsidRPr="006650F3">
        <w:rPr>
          <w:rFonts w:ascii="Georgia" w:hAnsi="Georgia"/>
          <w:color w:val="0077B6"/>
        </w:rPr>
        <w:t>7.2 Period Filter Slicer</w:t>
      </w:r>
    </w:p>
    <w:p w:rsidR="006650F3" w:rsidRPr="006650F3" w:rsidRDefault="006650F3" w:rsidP="006650F3">
      <w:pPr>
        <w:spacing w:before="80" w:after="80" w:line="360" w:lineRule="auto"/>
        <w:jc w:val="both"/>
        <w:rPr>
          <w:rFonts w:ascii="Georgia" w:hAnsi="Georgia"/>
          <w:sz w:val="24"/>
          <w:szCs w:val="24"/>
        </w:rPr>
      </w:pPr>
      <w:r w:rsidRPr="006650F3">
        <w:rPr>
          <w:rFonts w:ascii="Georgia" w:eastAsia="Arial" w:hAnsi="Georgia" w:cs="Arial"/>
          <w:sz w:val="24"/>
          <w:szCs w:val="24"/>
        </w:rPr>
        <w:t>A custom Chiclet Slicer (tile-style) was implemented using a dedicated Period Filter table to enable time-based filtering across all dashboard visuals.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650F3" w:rsidRPr="006650F3" w:rsidTr="006650F3">
        <w:tblPrEx>
          <w:tblCellMar>
            <w:top w:w="0" w:type="dxa"/>
            <w:bottom w:w="0" w:type="dxa"/>
          </w:tblCellMar>
        </w:tblPrEx>
        <w:trPr>
          <w:tblHeade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6650F3" w:rsidRPr="006650F3" w:rsidRDefault="006650F3" w:rsidP="00F0463F">
            <w:pPr>
              <w:jc w:val="center"/>
              <w:rPr>
                <w:rFonts w:asciiTheme="majorBidi" w:hAnsiTheme="majorBidi" w:cstheme="majorBidi"/>
                <w:b/>
                <w:bCs/>
                <w:color w:val="032362"/>
              </w:rPr>
            </w:pPr>
            <w:r w:rsidRPr="006650F3">
              <w:rPr>
                <w:rFonts w:asciiTheme="majorBidi" w:eastAsia="Arial" w:hAnsiTheme="majorBidi" w:cstheme="majorBidi"/>
                <w:b/>
                <w:bCs/>
                <w:color w:val="FFFFFF" w:themeColor="background1"/>
              </w:rPr>
              <w:t>Tile</w:t>
            </w:r>
          </w:p>
        </w:tc>
        <w:tc>
          <w:tcPr>
            <w:tcW w:w="6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rsidR="006650F3" w:rsidRPr="006650F3" w:rsidRDefault="006650F3" w:rsidP="00F0463F">
            <w:pPr>
              <w:jc w:val="center"/>
              <w:rPr>
                <w:rFonts w:asciiTheme="majorBidi" w:hAnsiTheme="majorBidi" w:cstheme="majorBidi"/>
              </w:rPr>
            </w:pPr>
            <w:r w:rsidRPr="006650F3">
              <w:rPr>
                <w:rFonts w:asciiTheme="majorBidi" w:eastAsia="Arial" w:hAnsiTheme="majorBidi" w:cstheme="majorBidi"/>
                <w:b/>
                <w:bCs/>
                <w:color w:val="FFFFFF"/>
              </w:rPr>
              <w:t>Filter Applied</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All Time</w:t>
            </w:r>
          </w:p>
        </w:tc>
        <w:tc>
          <w:tcPr>
            <w:tcW w:w="6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No date filter — shows all data</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Last 30 D</w:t>
            </w:r>
          </w:p>
        </w:tc>
        <w:tc>
          <w:tcPr>
            <w:tcW w:w="6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Last 30 days from today</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Last 90 D</w:t>
            </w:r>
          </w:p>
        </w:tc>
        <w:tc>
          <w:tcPr>
            <w:tcW w:w="6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Last 90 days from today</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Last 3 M</w:t>
            </w:r>
          </w:p>
        </w:tc>
        <w:tc>
          <w:tcPr>
            <w:tcW w:w="6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Last 3 months</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Last 6 M</w:t>
            </w:r>
          </w:p>
        </w:tc>
        <w:tc>
          <w:tcPr>
            <w:tcW w:w="6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Last 6 months</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Last 12 M</w:t>
            </w:r>
          </w:p>
        </w:tc>
        <w:tc>
          <w:tcPr>
            <w:tcW w:w="6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Last 12 months</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Last 24 M</w:t>
            </w:r>
          </w:p>
        </w:tc>
        <w:tc>
          <w:tcPr>
            <w:tcW w:w="6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Last 24 months</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CM</w:t>
            </w:r>
          </w:p>
        </w:tc>
        <w:tc>
          <w:tcPr>
            <w:tcW w:w="6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Current Month</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lastRenderedPageBreak/>
              <w:t>CQ</w:t>
            </w:r>
          </w:p>
        </w:tc>
        <w:tc>
          <w:tcPr>
            <w:tcW w:w="6560" w:type="dxa"/>
            <w:tcBorders>
              <w:top w:val="single" w:sz="1" w:space="0" w:color="1B2A4A"/>
              <w:left w:val="single" w:sz="1" w:space="0" w:color="1B2A4A"/>
              <w:bottom w:val="single" w:sz="1" w:space="0" w:color="1B2A4A"/>
              <w:right w:val="single" w:sz="1" w:space="0" w:color="1B2A4A"/>
            </w:tcBorders>
            <w:shd w:val="clear" w:color="auto" w:fill="E8F4FB"/>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Current Quarter</w:t>
            </w:r>
          </w:p>
        </w:tc>
      </w:tr>
      <w:tr w:rsidR="006650F3" w:rsidRPr="006650F3" w:rsidTr="006650F3">
        <w:tblPrEx>
          <w:tblCellMar>
            <w:top w:w="0" w:type="dxa"/>
            <w:bottom w:w="0" w:type="dxa"/>
          </w:tblCellMar>
        </w:tblPrEx>
        <w:trPr>
          <w:jc w:val="center"/>
        </w:trPr>
        <w:tc>
          <w:tcPr>
            <w:tcW w:w="280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b/>
                <w:bCs/>
                <w:color w:val="032362"/>
              </w:rPr>
            </w:pPr>
            <w:r w:rsidRPr="006650F3">
              <w:rPr>
                <w:rFonts w:asciiTheme="majorBidi" w:eastAsia="Arial" w:hAnsiTheme="majorBidi" w:cstheme="majorBidi"/>
                <w:b/>
                <w:bCs/>
                <w:color w:val="032362"/>
              </w:rPr>
              <w:t>CY</w:t>
            </w:r>
          </w:p>
        </w:tc>
        <w:tc>
          <w:tcPr>
            <w:tcW w:w="6560" w:type="dxa"/>
            <w:tcBorders>
              <w:top w:val="single" w:sz="1" w:space="0" w:color="1B2A4A"/>
              <w:left w:val="single" w:sz="1" w:space="0" w:color="1B2A4A"/>
              <w:bottom w:val="single" w:sz="1" w:space="0" w:color="1B2A4A"/>
              <w:right w:val="single" w:sz="1" w:space="0" w:color="1B2A4A"/>
            </w:tcBorders>
            <w:shd w:val="clear" w:color="auto" w:fill="FFFFFF"/>
            <w:tcMar>
              <w:top w:w="80" w:type="dxa"/>
              <w:left w:w="150" w:type="dxa"/>
              <w:bottom w:w="80" w:type="dxa"/>
              <w:right w:w="150" w:type="dxa"/>
            </w:tcMar>
          </w:tcPr>
          <w:p w:rsidR="006650F3" w:rsidRPr="006650F3" w:rsidRDefault="006650F3" w:rsidP="00F0463F">
            <w:pPr>
              <w:rPr>
                <w:rFonts w:asciiTheme="majorBidi" w:hAnsiTheme="majorBidi" w:cstheme="majorBidi"/>
              </w:rPr>
            </w:pPr>
            <w:r w:rsidRPr="006650F3">
              <w:rPr>
                <w:rFonts w:asciiTheme="majorBidi" w:eastAsia="Arial" w:hAnsiTheme="majorBidi" w:cstheme="majorBidi"/>
              </w:rPr>
              <w:t>Current Year</w:t>
            </w:r>
          </w:p>
        </w:tc>
      </w:tr>
    </w:tbl>
    <w:p w:rsidR="006650F3" w:rsidRDefault="009D20C4" w:rsidP="00F0463F">
      <w:pPr>
        <w:spacing w:before="240" w:line="360" w:lineRule="auto"/>
        <w:rPr>
          <w:rFonts w:asciiTheme="majorBidi" w:hAnsiTheme="majorBidi" w:cstheme="majorBidi"/>
          <w:b/>
          <w:color w:val="032362"/>
          <w:sz w:val="36"/>
          <w:szCs w:val="26"/>
        </w:rPr>
      </w:pPr>
      <w:r>
        <w:rPr>
          <w:rFonts w:asciiTheme="majorBidi" w:hAnsiTheme="majorBidi" w:cstheme="majorBidi"/>
          <w:b/>
          <w:color w:val="032362"/>
          <w:sz w:val="36"/>
          <w:szCs w:val="26"/>
        </w:rPr>
        <w:t>8.Dashboard Pages &amp; Visualizations</w:t>
      </w:r>
      <w:r w:rsidRPr="00A2402B">
        <w:rPr>
          <w:rFonts w:asciiTheme="majorBidi" w:hAnsiTheme="majorBidi" w:cstheme="majorBidi"/>
          <w:b/>
          <w:color w:val="032362"/>
          <w:sz w:val="36"/>
          <w:szCs w:val="26"/>
        </w:rPr>
        <w:t>:</w:t>
      </w:r>
    </w:p>
    <w:p w:rsidR="006650F3" w:rsidRDefault="009D20C4" w:rsidP="009D20C4">
      <w:pPr>
        <w:spacing w:before="80" w:after="80" w:line="360" w:lineRule="auto"/>
        <w:jc w:val="both"/>
        <w:rPr>
          <w:rFonts w:ascii="Georgia" w:eastAsia="Arial" w:hAnsi="Georgia" w:cs="Arial"/>
          <w:sz w:val="24"/>
          <w:szCs w:val="24"/>
        </w:rPr>
      </w:pPr>
      <w:r w:rsidRPr="009D20C4">
        <w:rPr>
          <w:rFonts w:ascii="Georgia" w:eastAsia="Arial" w:hAnsi="Georgia" w:cs="Arial"/>
          <w:sz w:val="24"/>
          <w:szCs w:val="24"/>
        </w:rPr>
        <w:t>The</w:t>
      </w:r>
      <w:r w:rsidRPr="009D20C4">
        <w:rPr>
          <w:rFonts w:ascii="Georgia" w:eastAsia="Arial" w:hAnsi="Georgia" w:cs="Arial"/>
          <w:b/>
          <w:bCs/>
          <w:sz w:val="24"/>
          <w:szCs w:val="24"/>
        </w:rPr>
        <w:t xml:space="preserve"> FINVAULT </w:t>
      </w:r>
      <w:r w:rsidRPr="009D20C4">
        <w:rPr>
          <w:rFonts w:ascii="Georgia" w:eastAsia="Arial" w:hAnsi="Georgia" w:cs="Arial"/>
          <w:sz w:val="24"/>
          <w:szCs w:val="24"/>
        </w:rPr>
        <w:t>dashboard consists of 4 main pages. All pages share a consistent dark navy theme, the FINVAULT logo, an</w:t>
      </w:r>
      <w:r>
        <w:rPr>
          <w:rFonts w:ascii="Georgia" w:eastAsia="Arial" w:hAnsi="Georgia" w:cs="Arial"/>
          <w:sz w:val="24"/>
          <w:szCs w:val="24"/>
        </w:rPr>
        <w:t>d the interactive Period Slicer</w:t>
      </w:r>
      <w:r w:rsidR="002A7FFC">
        <w:rPr>
          <w:rFonts w:ascii="Georgia" w:eastAsia="Arial" w:hAnsi="Georgia" w:cs="Arial"/>
          <w:sz w:val="24"/>
          <w:szCs w:val="24"/>
        </w:rPr>
        <w:t>:</w:t>
      </w:r>
    </w:p>
    <w:p w:rsidR="002A7FFC" w:rsidRDefault="002A7FFC" w:rsidP="002A7FFC">
      <w:pPr>
        <w:pStyle w:val="Titre2"/>
        <w:ind w:left="0" w:firstLine="0"/>
        <w:rPr>
          <w:rFonts w:ascii="Georgia" w:hAnsi="Georgia"/>
          <w:color w:val="0077B6"/>
        </w:rPr>
      </w:pPr>
    </w:p>
    <w:p w:rsidR="006650F3" w:rsidRPr="009D20C4" w:rsidRDefault="009D20C4" w:rsidP="006650F3">
      <w:pPr>
        <w:pStyle w:val="Titre2"/>
        <w:rPr>
          <w:rFonts w:ascii="Georgia" w:hAnsi="Georgia"/>
          <w:color w:val="0077B6"/>
        </w:rPr>
      </w:pPr>
      <w:r w:rsidRPr="009D20C4">
        <w:rPr>
          <w:rFonts w:ascii="Georgia" w:hAnsi="Georgia"/>
          <w:color w:val="0077B6"/>
        </w:rPr>
        <w:t>8.1 Home</w:t>
      </w:r>
      <w:r w:rsidR="006650F3" w:rsidRPr="009D20C4">
        <w:rPr>
          <w:rFonts w:ascii="Georgia" w:hAnsi="Georgia"/>
          <w:color w:val="0077B6"/>
        </w:rPr>
        <w:t xml:space="preserve"> Page</w:t>
      </w:r>
    </w:p>
    <w:p w:rsidR="002A7FFC" w:rsidRDefault="002A7FFC" w:rsidP="009D20C4">
      <w:pPr>
        <w:spacing w:before="80" w:after="80" w:line="360" w:lineRule="auto"/>
        <w:rPr>
          <w:rFonts w:ascii="Georgia" w:eastAsia="Arial" w:hAnsi="Georgia" w:cs="Arial"/>
          <w:sz w:val="24"/>
          <w:szCs w:val="24"/>
        </w:rPr>
      </w:pPr>
    </w:p>
    <w:p w:rsidR="009D20C4" w:rsidRDefault="006650F3" w:rsidP="009D20C4">
      <w:pPr>
        <w:spacing w:before="80" w:after="80" w:line="360" w:lineRule="auto"/>
        <w:rPr>
          <w:rFonts w:ascii="Georgia" w:eastAsia="Arial" w:hAnsi="Georgia" w:cs="Arial"/>
          <w:sz w:val="24"/>
          <w:szCs w:val="24"/>
        </w:rPr>
      </w:pPr>
      <w:r w:rsidRPr="009D20C4">
        <w:rPr>
          <w:rFonts w:ascii="Georgia" w:eastAsia="Arial" w:hAnsi="Georgia" w:cs="Arial"/>
          <w:sz w:val="24"/>
          <w:szCs w:val="24"/>
        </w:rPr>
        <w:t>The landing page featuring the FINVAULT logo, navigation buttons, Gender slicer (tile), and Joining Year slicer. Displays the 6 most important KPI cards at a glance.</w:t>
      </w:r>
    </w:p>
    <w:p w:rsidR="002A7FFC" w:rsidRDefault="002A7FFC" w:rsidP="002A7FFC">
      <w:pPr>
        <w:keepNext/>
        <w:spacing w:before="80" w:after="80" w:line="360" w:lineRule="auto"/>
        <w:rPr>
          <w:noProof/>
        </w:rPr>
      </w:pPr>
    </w:p>
    <w:p w:rsidR="009D20C4" w:rsidRDefault="009D20C4" w:rsidP="009D20C4">
      <w:pPr>
        <w:keepNext/>
        <w:spacing w:before="80" w:after="80" w:line="360" w:lineRule="auto"/>
        <w:jc w:val="center"/>
      </w:pPr>
      <w:r>
        <w:rPr>
          <w:noProof/>
        </w:rPr>
        <w:drawing>
          <wp:inline distT="0" distB="0" distL="0" distR="0" wp14:anchorId="346F58D3" wp14:editId="2EAF651B">
            <wp:extent cx="7165075" cy="4000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220240" cy="4031300"/>
                    </a:xfrm>
                    <a:prstGeom prst="rect">
                      <a:avLst/>
                    </a:prstGeom>
                  </pic:spPr>
                </pic:pic>
              </a:graphicData>
            </a:graphic>
          </wp:inline>
        </w:drawing>
      </w:r>
    </w:p>
    <w:p w:rsidR="006650F3" w:rsidRPr="000D6F12" w:rsidRDefault="009D20C4" w:rsidP="000D6F12">
      <w:pPr>
        <w:pStyle w:val="Lgende"/>
        <w:spacing w:after="0"/>
        <w:jc w:val="center"/>
        <w:rPr>
          <w:rFonts w:ascii="Georgia" w:eastAsia="Arial" w:hAnsi="Georgia" w:cs="Arial"/>
          <w:sz w:val="24"/>
          <w:szCs w:val="24"/>
        </w:rPr>
      </w:pPr>
      <w:r>
        <w:t xml:space="preserve">Figure </w:t>
      </w:r>
      <w:r>
        <w:fldChar w:fldCharType="begin"/>
      </w:r>
      <w:r>
        <w:instrText xml:space="preserve"> SEQ Figure \* ARABIC </w:instrText>
      </w:r>
      <w:r>
        <w:fldChar w:fldCharType="separate"/>
      </w:r>
      <w:r w:rsidR="00BB4949">
        <w:rPr>
          <w:noProof/>
        </w:rPr>
        <w:t>1</w:t>
      </w:r>
      <w:r>
        <w:fldChar w:fldCharType="end"/>
      </w:r>
      <w:r w:rsidRPr="000D6F12">
        <w:t>:Home</w:t>
      </w:r>
    </w:p>
    <w:p w:rsidR="002A7FFC" w:rsidRDefault="002A7FFC" w:rsidP="006650F3">
      <w:pPr>
        <w:pStyle w:val="Titre2"/>
        <w:rPr>
          <w:rFonts w:ascii="Georgia" w:hAnsi="Georgia"/>
          <w:color w:val="0077B6"/>
        </w:rPr>
      </w:pPr>
    </w:p>
    <w:p w:rsidR="002A7FFC" w:rsidRDefault="002A7FFC" w:rsidP="006650F3">
      <w:pPr>
        <w:pStyle w:val="Titre2"/>
        <w:rPr>
          <w:rFonts w:ascii="Georgia" w:hAnsi="Georgia"/>
          <w:color w:val="0077B6"/>
        </w:rPr>
      </w:pPr>
    </w:p>
    <w:p w:rsidR="002A7FFC" w:rsidRDefault="002A7FFC" w:rsidP="006650F3">
      <w:pPr>
        <w:pStyle w:val="Titre2"/>
        <w:rPr>
          <w:rFonts w:ascii="Georgia" w:hAnsi="Georgia"/>
          <w:color w:val="0077B6"/>
        </w:rPr>
      </w:pPr>
    </w:p>
    <w:p w:rsidR="002A7FFC" w:rsidRDefault="002A7FFC" w:rsidP="006650F3">
      <w:pPr>
        <w:pStyle w:val="Titre2"/>
        <w:rPr>
          <w:rFonts w:ascii="Georgia" w:hAnsi="Georgia"/>
          <w:color w:val="0077B6"/>
        </w:rPr>
      </w:pPr>
    </w:p>
    <w:p w:rsidR="002A7FFC" w:rsidRDefault="002A7FFC" w:rsidP="006650F3">
      <w:pPr>
        <w:pStyle w:val="Titre2"/>
        <w:rPr>
          <w:rFonts w:ascii="Georgia" w:hAnsi="Georgia"/>
          <w:color w:val="0077B6"/>
        </w:rPr>
      </w:pPr>
    </w:p>
    <w:p w:rsidR="002A7FFC" w:rsidRDefault="002A7FFC" w:rsidP="006650F3">
      <w:pPr>
        <w:pStyle w:val="Titre2"/>
        <w:rPr>
          <w:rFonts w:ascii="Georgia" w:hAnsi="Georgia"/>
          <w:color w:val="0077B6"/>
        </w:rPr>
      </w:pPr>
    </w:p>
    <w:p w:rsidR="002A7FFC" w:rsidRDefault="002A7FFC" w:rsidP="002A7FFC">
      <w:pPr>
        <w:pStyle w:val="Titre2"/>
        <w:ind w:left="0" w:firstLine="0"/>
        <w:rPr>
          <w:rFonts w:ascii="Georgia" w:hAnsi="Georgia"/>
          <w:color w:val="0077B6"/>
        </w:rPr>
      </w:pPr>
    </w:p>
    <w:p w:rsidR="006650F3" w:rsidRPr="009D20C4" w:rsidRDefault="009D20C4" w:rsidP="006650F3">
      <w:pPr>
        <w:pStyle w:val="Titre2"/>
        <w:rPr>
          <w:rFonts w:ascii="Georgia" w:hAnsi="Georgia"/>
          <w:color w:val="0077B6"/>
        </w:rPr>
      </w:pPr>
      <w:r w:rsidRPr="009D20C4">
        <w:rPr>
          <w:rFonts w:ascii="Georgia" w:hAnsi="Georgia"/>
          <w:color w:val="0077B6"/>
        </w:rPr>
        <w:lastRenderedPageBreak/>
        <w:t>8.2 Loan</w:t>
      </w:r>
      <w:r w:rsidR="006650F3" w:rsidRPr="009D20C4">
        <w:rPr>
          <w:rFonts w:ascii="Georgia" w:hAnsi="Georgia"/>
          <w:color w:val="0077B6"/>
        </w:rPr>
        <w:t xml:space="preserve"> Analysis Page</w:t>
      </w:r>
    </w:p>
    <w:p w:rsidR="006650F3" w:rsidRDefault="006650F3" w:rsidP="006650F3">
      <w:pPr>
        <w:spacing w:before="80" w:after="80" w:line="360" w:lineRule="auto"/>
        <w:rPr>
          <w:rFonts w:ascii="Georgia" w:eastAsia="Arial" w:hAnsi="Georgia" w:cs="Arial"/>
          <w:sz w:val="24"/>
          <w:szCs w:val="24"/>
        </w:rPr>
      </w:pPr>
      <w:r w:rsidRPr="009D20C4">
        <w:rPr>
          <w:rFonts w:ascii="Georgia" w:eastAsia="Arial" w:hAnsi="Georgia" w:cs="Arial"/>
          <w:sz w:val="24"/>
          <w:szCs w:val="24"/>
        </w:rPr>
        <w:t>Deep-dive into loan distribution across multiple dimensions.</w:t>
      </w:r>
    </w:p>
    <w:p w:rsidR="000D6F12" w:rsidRDefault="009D20C4" w:rsidP="000D6F12">
      <w:pPr>
        <w:keepNext/>
        <w:spacing w:before="80" w:after="80" w:line="360" w:lineRule="auto"/>
        <w:jc w:val="center"/>
      </w:pPr>
      <w:r>
        <w:rPr>
          <w:noProof/>
        </w:rPr>
        <w:drawing>
          <wp:inline distT="0" distB="0" distL="0" distR="0" wp14:anchorId="3AEB6FDF" wp14:editId="752F8771">
            <wp:extent cx="6553200" cy="3686782"/>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80364" cy="3702065"/>
                    </a:xfrm>
                    <a:prstGeom prst="rect">
                      <a:avLst/>
                    </a:prstGeom>
                  </pic:spPr>
                </pic:pic>
              </a:graphicData>
            </a:graphic>
          </wp:inline>
        </w:drawing>
      </w:r>
    </w:p>
    <w:p w:rsidR="006650F3" w:rsidRPr="009D20C4" w:rsidRDefault="000D6F12" w:rsidP="000D6F12">
      <w:pPr>
        <w:pStyle w:val="Lgende"/>
        <w:jc w:val="center"/>
        <w:rPr>
          <w:rFonts w:ascii="Georgia" w:eastAsia="Arial" w:hAnsi="Georgia" w:cs="Arial"/>
          <w:sz w:val="24"/>
          <w:szCs w:val="24"/>
        </w:rPr>
      </w:pPr>
      <w:r>
        <w:t xml:space="preserve">Figure </w:t>
      </w:r>
      <w:r>
        <w:fldChar w:fldCharType="begin"/>
      </w:r>
      <w:r>
        <w:instrText xml:space="preserve"> SEQ Figure \* ARABIC </w:instrText>
      </w:r>
      <w:r>
        <w:fldChar w:fldCharType="separate"/>
      </w:r>
      <w:r w:rsidR="00BB4949">
        <w:rPr>
          <w:noProof/>
        </w:rPr>
        <w:t>2</w:t>
      </w:r>
      <w:r>
        <w:fldChar w:fldCharType="end"/>
      </w:r>
      <w:r>
        <w:rPr>
          <w:lang w:val="sv-FI"/>
        </w:rPr>
        <w:t>:Loan Analysis</w:t>
      </w:r>
    </w:p>
    <w:p w:rsidR="006650F3" w:rsidRPr="009D20C4" w:rsidRDefault="009D20C4" w:rsidP="006650F3">
      <w:pPr>
        <w:pStyle w:val="Titre2"/>
        <w:rPr>
          <w:rFonts w:ascii="Georgia" w:hAnsi="Georgia"/>
          <w:color w:val="0077B6"/>
        </w:rPr>
      </w:pPr>
      <w:r w:rsidRPr="009D20C4">
        <w:rPr>
          <w:rFonts w:ascii="Georgia" w:hAnsi="Georgia"/>
          <w:color w:val="0077B6"/>
        </w:rPr>
        <w:t>8.3 Deposit</w:t>
      </w:r>
      <w:r w:rsidR="006650F3" w:rsidRPr="009D20C4">
        <w:rPr>
          <w:rFonts w:ascii="Georgia" w:hAnsi="Georgia"/>
          <w:color w:val="0077B6"/>
        </w:rPr>
        <w:t xml:space="preserve"> Analysis Page</w:t>
      </w:r>
    </w:p>
    <w:p w:rsidR="006650F3" w:rsidRDefault="006650F3" w:rsidP="006650F3">
      <w:pPr>
        <w:spacing w:before="80" w:after="80" w:line="360" w:lineRule="auto"/>
        <w:rPr>
          <w:rFonts w:ascii="Georgia" w:eastAsia="Arial" w:hAnsi="Georgia" w:cs="Arial"/>
          <w:sz w:val="24"/>
          <w:szCs w:val="24"/>
        </w:rPr>
      </w:pPr>
      <w:r w:rsidRPr="009D20C4">
        <w:rPr>
          <w:rFonts w:ascii="Georgia" w:eastAsia="Arial" w:hAnsi="Georgia" w:cs="Arial"/>
          <w:sz w:val="24"/>
          <w:szCs w:val="24"/>
        </w:rPr>
        <w:t>Analysis of client deposit behavior across account types and demographics.</w:t>
      </w:r>
    </w:p>
    <w:p w:rsidR="000D6F12" w:rsidRDefault="000D6F12" w:rsidP="000D6F12">
      <w:pPr>
        <w:keepNext/>
        <w:spacing w:before="80" w:after="80" w:line="360" w:lineRule="auto"/>
        <w:jc w:val="center"/>
      </w:pPr>
      <w:r>
        <w:rPr>
          <w:noProof/>
        </w:rPr>
        <w:drawing>
          <wp:inline distT="0" distB="0" distL="0" distR="0" wp14:anchorId="0BDA1B13" wp14:editId="494D4E0A">
            <wp:extent cx="6801743" cy="38385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90"/>
                    <a:stretch/>
                  </pic:blipFill>
                  <pic:spPr bwMode="auto">
                    <a:xfrm>
                      <a:off x="0" y="0"/>
                      <a:ext cx="6813397" cy="3845152"/>
                    </a:xfrm>
                    <a:prstGeom prst="rect">
                      <a:avLst/>
                    </a:prstGeom>
                    <a:ln>
                      <a:noFill/>
                    </a:ln>
                    <a:extLst>
                      <a:ext uri="{53640926-AAD7-44D8-BBD7-CCE9431645EC}">
                        <a14:shadowObscured xmlns:a14="http://schemas.microsoft.com/office/drawing/2010/main"/>
                      </a:ext>
                    </a:extLst>
                  </pic:spPr>
                </pic:pic>
              </a:graphicData>
            </a:graphic>
          </wp:inline>
        </w:drawing>
      </w:r>
    </w:p>
    <w:p w:rsidR="006650F3" w:rsidRPr="000D6F12" w:rsidRDefault="000D6F12" w:rsidP="000D6F12">
      <w:pPr>
        <w:pStyle w:val="Lgende"/>
        <w:spacing w:after="0"/>
        <w:jc w:val="center"/>
        <w:rPr>
          <w:rFonts w:ascii="Georgia" w:eastAsia="Arial" w:hAnsi="Georgia" w:cs="Arial"/>
          <w:sz w:val="24"/>
          <w:szCs w:val="24"/>
        </w:rPr>
      </w:pPr>
      <w:r>
        <w:t xml:space="preserve">Figure </w:t>
      </w:r>
      <w:r>
        <w:fldChar w:fldCharType="begin"/>
      </w:r>
      <w:r>
        <w:instrText xml:space="preserve"> SEQ Figure \* ARABIC </w:instrText>
      </w:r>
      <w:r>
        <w:fldChar w:fldCharType="separate"/>
      </w:r>
      <w:r w:rsidR="00BB4949">
        <w:rPr>
          <w:noProof/>
        </w:rPr>
        <w:t>3</w:t>
      </w:r>
      <w:r>
        <w:fldChar w:fldCharType="end"/>
      </w:r>
      <w:r>
        <w:rPr>
          <w:lang w:val="sv-FI"/>
        </w:rPr>
        <w:t>:Deposit Analysis</w:t>
      </w:r>
    </w:p>
    <w:p w:rsidR="006650F3" w:rsidRDefault="009D20C4" w:rsidP="006650F3">
      <w:pPr>
        <w:pStyle w:val="Titre2"/>
      </w:pPr>
      <w:r w:rsidRPr="009D20C4">
        <w:rPr>
          <w:rFonts w:ascii="Georgia" w:hAnsi="Georgia"/>
          <w:color w:val="0077B6"/>
        </w:rPr>
        <w:lastRenderedPageBreak/>
        <w:t>8.4 Summary</w:t>
      </w:r>
      <w:r w:rsidR="006650F3" w:rsidRPr="009D20C4">
        <w:rPr>
          <w:rFonts w:ascii="Georgia" w:hAnsi="Georgia"/>
          <w:color w:val="0077B6"/>
        </w:rPr>
        <w:t xml:space="preserve"> Page</w:t>
      </w:r>
    </w:p>
    <w:p w:rsidR="006650F3" w:rsidRDefault="006650F3" w:rsidP="009D20C4">
      <w:pPr>
        <w:spacing w:before="80" w:after="80" w:line="360" w:lineRule="auto"/>
        <w:jc w:val="both"/>
        <w:rPr>
          <w:rFonts w:ascii="Arial" w:eastAsia="Arial" w:hAnsi="Arial" w:cs="Arial"/>
        </w:rPr>
      </w:pPr>
      <w:r w:rsidRPr="009D20C4">
        <w:rPr>
          <w:rFonts w:ascii="Georgia" w:eastAsia="Arial" w:hAnsi="Georgia" w:cs="Arial"/>
          <w:sz w:val="24"/>
          <w:szCs w:val="24"/>
        </w:rPr>
        <w:t>Executive-level overview showing all KPIs in a single view. Includes Banking Relationship, Gender, and Investment Advisor slicers for cross-filtering analysis</w:t>
      </w:r>
      <w:r>
        <w:rPr>
          <w:rFonts w:ascii="Arial" w:eastAsia="Arial" w:hAnsi="Arial" w:cs="Arial"/>
        </w:rPr>
        <w:t>.</w:t>
      </w:r>
    </w:p>
    <w:p w:rsidR="000D6F12" w:rsidRDefault="000D6F12" w:rsidP="000D6F12">
      <w:pPr>
        <w:keepNext/>
        <w:spacing w:before="80" w:after="80" w:line="360" w:lineRule="auto"/>
        <w:jc w:val="center"/>
      </w:pPr>
      <w:r>
        <w:rPr>
          <w:noProof/>
        </w:rPr>
        <w:drawing>
          <wp:inline distT="0" distB="0" distL="0" distR="0" wp14:anchorId="5E8B486A" wp14:editId="2065F3C9">
            <wp:extent cx="6493679" cy="3667125"/>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08196" cy="3675323"/>
                    </a:xfrm>
                    <a:prstGeom prst="rect">
                      <a:avLst/>
                    </a:prstGeom>
                  </pic:spPr>
                </pic:pic>
              </a:graphicData>
            </a:graphic>
          </wp:inline>
        </w:drawing>
      </w:r>
    </w:p>
    <w:p w:rsidR="000D6F12" w:rsidRPr="00A61C45" w:rsidRDefault="000D6F12" w:rsidP="000D6F12">
      <w:pPr>
        <w:pStyle w:val="Lgende"/>
        <w:jc w:val="center"/>
      </w:pPr>
      <w:r>
        <w:t xml:space="preserve">Figure </w:t>
      </w:r>
      <w:r>
        <w:fldChar w:fldCharType="begin"/>
      </w:r>
      <w:r>
        <w:instrText xml:space="preserve"> SEQ Figure \* ARABIC </w:instrText>
      </w:r>
      <w:r>
        <w:fldChar w:fldCharType="separate"/>
      </w:r>
      <w:r w:rsidR="00BB4949">
        <w:rPr>
          <w:noProof/>
        </w:rPr>
        <w:t>4</w:t>
      </w:r>
      <w:r>
        <w:fldChar w:fldCharType="end"/>
      </w:r>
      <w:r w:rsidRPr="00A61C45">
        <w:t>:Summary</w:t>
      </w:r>
    </w:p>
    <w:p w:rsidR="00A61C45" w:rsidRPr="00A61C45" w:rsidRDefault="00A61C45" w:rsidP="00A61C45">
      <w:pPr>
        <w:spacing w:before="240"/>
        <w:rPr>
          <w:rFonts w:asciiTheme="majorBidi" w:hAnsiTheme="majorBidi" w:cstheme="majorBidi"/>
          <w:b/>
          <w:color w:val="032362"/>
          <w:sz w:val="36"/>
          <w:szCs w:val="26"/>
        </w:rPr>
      </w:pPr>
      <w:r w:rsidRPr="00A61C45">
        <w:rPr>
          <w:rFonts w:asciiTheme="majorBidi" w:hAnsiTheme="majorBidi" w:cstheme="majorBidi"/>
          <w:b/>
          <w:color w:val="032362"/>
          <w:sz w:val="36"/>
          <w:szCs w:val="26"/>
        </w:rPr>
        <w:t>9. Key Insights</w:t>
      </w:r>
    </w:p>
    <w:p w:rsidR="00A61C45" w:rsidRPr="00A61C45" w:rsidRDefault="00A61C45" w:rsidP="00A61C45">
      <w:pPr>
        <w:pStyle w:val="Titre2"/>
        <w:rPr>
          <w:rFonts w:ascii="Georgia" w:hAnsi="Georgia"/>
          <w:color w:val="0077B6"/>
        </w:rPr>
      </w:pPr>
      <w:r w:rsidRPr="00A61C45">
        <w:rPr>
          <w:rFonts w:ascii="Georgia" w:hAnsi="Georgia"/>
          <w:color w:val="0077B6"/>
        </w:rPr>
        <w:t>9.1 Loan Insights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Total Loans ($4.38bn) exceed Total Deposits ($3.77bn), placing the bank in a net lending position with a funding gap of approximately $610M — meaning the bank relies on external funding sources beyond client deposits to finance its lending activity. This generates interest revenue but introduces credit risk that requires active monitoring.</w:t>
      </w:r>
    </w:p>
    <w:p w:rsidR="00A61C45" w:rsidRPr="00A61C45" w:rsidRDefault="00A61C45" w:rsidP="00A61C45">
      <w:pPr>
        <w:pStyle w:val="NormalWeb"/>
        <w:numPr>
          <w:ilvl w:val="0"/>
          <w:numId w:val="9"/>
        </w:numPr>
        <w:jc w:val="both"/>
        <w:rPr>
          <w:rFonts w:ascii="Georgia" w:hAnsi="Georgia"/>
        </w:rPr>
      </w:pPr>
      <w:r w:rsidRPr="00A61C45">
        <w:rPr>
          <w:rFonts w:ascii="Georgia" w:hAnsi="Georgia"/>
        </w:rPr>
        <w:t>Business Lending ($2.6bn) is the dominant loan category, surpassing Bank Loans ($1.77bn), which reflects a strong SME and corporate client base.</w:t>
      </w:r>
    </w:p>
    <w:p w:rsidR="00A61C45" w:rsidRPr="00A61C45" w:rsidRDefault="00A61C45" w:rsidP="00A61C45">
      <w:pPr>
        <w:pStyle w:val="NormalWeb"/>
        <w:numPr>
          <w:ilvl w:val="0"/>
          <w:numId w:val="9"/>
        </w:numPr>
        <w:jc w:val="both"/>
        <w:rPr>
          <w:rFonts w:ascii="Georgia" w:hAnsi="Georgia"/>
        </w:rPr>
      </w:pPr>
      <w:r w:rsidRPr="00A61C45">
        <w:rPr>
          <w:rFonts w:ascii="Georgia" w:hAnsi="Georgia"/>
        </w:rPr>
        <w:t>Private Bank clients carry the highest individual loan balances ($0.81bn), followed by Retail ($0.38bn), Commercial ($0.30bn), and Institutional ($0.28bn), indicating that premium relationship clients represent the largest credit exposure.</w:t>
      </w:r>
    </w:p>
    <w:p w:rsidR="00A61C45" w:rsidRPr="00A61C45" w:rsidRDefault="00A61C45" w:rsidP="00A61C45">
      <w:pPr>
        <w:pStyle w:val="NormalWeb"/>
        <w:numPr>
          <w:ilvl w:val="0"/>
          <w:numId w:val="9"/>
        </w:numPr>
        <w:jc w:val="both"/>
        <w:rPr>
          <w:rFonts w:ascii="Georgia" w:hAnsi="Georgia"/>
        </w:rPr>
      </w:pPr>
      <w:r w:rsidRPr="00A61C45">
        <w:rPr>
          <w:rFonts w:ascii="Georgia" w:hAnsi="Georgia"/>
        </w:rPr>
        <w:t>Clients with more than 20 years of engagement hold the largest loan balances, confirming that long-term clients are the bank's most significant borrowers.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The Mid income band accounts for 53.12% of total loans, making it the core credit segment. The Low income band represents 25.26%, a non-negligible exposure that warrants ongoing risk monitoring.</w:t>
      </w:r>
    </w:p>
    <w:p w:rsidR="00A61C45" w:rsidRPr="00A61C45" w:rsidRDefault="00A61C45" w:rsidP="00A61C45">
      <w:pPr>
        <w:pStyle w:val="NormalWeb"/>
        <w:numPr>
          <w:ilvl w:val="0"/>
          <w:numId w:val="9"/>
        </w:numPr>
        <w:jc w:val="both"/>
        <w:rPr>
          <w:rFonts w:ascii="Georgia" w:hAnsi="Georgia"/>
        </w:rPr>
      </w:pPr>
      <w:r w:rsidRPr="00A61C45">
        <w:rPr>
          <w:rFonts w:ascii="Georgia" w:hAnsi="Georgia"/>
        </w:rPr>
        <w:t>European clients represent the largest nationality segment by loan volume, followed by Asian and American clients. Australian and African clients represent smaller but present segments.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Clients in the 5–</w:t>
      </w:r>
      <w:r>
        <w:rPr>
          <w:rFonts w:ascii="Georgia" w:hAnsi="Georgia"/>
        </w:rPr>
        <w:t xml:space="preserve">10 </w:t>
      </w:r>
      <w:r w:rsidRPr="00A61C45">
        <w:rPr>
          <w:rFonts w:ascii="Georgia" w:hAnsi="Georgia"/>
        </w:rPr>
        <w:t>year engagement range already hold $1.2bn in loans, suggesting that mid-tenure clients are an actively growing borrower segment.</w:t>
      </w:r>
    </w:p>
    <w:p w:rsidR="002A7FFC" w:rsidRDefault="002A7FFC" w:rsidP="00A61C45">
      <w:pPr>
        <w:pStyle w:val="Titre2"/>
        <w:rPr>
          <w:rFonts w:ascii="Georgia" w:hAnsi="Georgia"/>
          <w:color w:val="0077B6"/>
        </w:rPr>
      </w:pPr>
    </w:p>
    <w:p w:rsidR="00A61C45" w:rsidRPr="00A61C45" w:rsidRDefault="00A61C45" w:rsidP="00A61C45">
      <w:pPr>
        <w:pStyle w:val="Titre2"/>
        <w:rPr>
          <w:rFonts w:ascii="Georgia" w:hAnsi="Georgia"/>
          <w:color w:val="0077B6"/>
        </w:rPr>
      </w:pPr>
      <w:r w:rsidRPr="00A61C45">
        <w:rPr>
          <w:rFonts w:ascii="Georgia" w:hAnsi="Georgia"/>
          <w:color w:val="0077B6"/>
        </w:rPr>
        <w:lastRenderedPageBreak/>
        <w:t>9.2 Deposit Insights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Total Deposits amount to $3.77bn, with Bank Deposits ($2.01bn) as the primary channel, followed by Checking Accounts ($963.28M) and Saving Accounts ($698.73M).</w:t>
      </w:r>
    </w:p>
    <w:p w:rsidR="00A61C45" w:rsidRPr="00A61C45" w:rsidRDefault="00A61C45" w:rsidP="00A61C45">
      <w:pPr>
        <w:pStyle w:val="NormalWeb"/>
        <w:numPr>
          <w:ilvl w:val="0"/>
          <w:numId w:val="9"/>
        </w:numPr>
        <w:jc w:val="both"/>
        <w:rPr>
          <w:rFonts w:ascii="Georgia" w:hAnsi="Georgia"/>
        </w:rPr>
      </w:pPr>
      <w:r w:rsidRPr="00A61C45">
        <w:rPr>
          <w:rFonts w:ascii="Georgia" w:hAnsi="Georgia"/>
        </w:rPr>
        <w:t>European clients are the largest depositors across all account types. Asian clients rank second with $0.52bn in bank deposits, followed by American, Australian, and African clients.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The Mid income band contributes the largest share of total deposits, consistent with its dominance in the loan portfolio.</w:t>
      </w:r>
    </w:p>
    <w:p w:rsidR="00A61C45" w:rsidRPr="00A61C45" w:rsidRDefault="00A61C45" w:rsidP="00A61C45">
      <w:pPr>
        <w:pStyle w:val="NormalWeb"/>
        <w:numPr>
          <w:ilvl w:val="0"/>
          <w:numId w:val="9"/>
        </w:numPr>
        <w:jc w:val="both"/>
        <w:rPr>
          <w:rFonts w:ascii="Georgia" w:hAnsi="Georgia"/>
        </w:rPr>
      </w:pPr>
      <w:r w:rsidRPr="00A61C45">
        <w:rPr>
          <w:rFonts w:ascii="Georgia" w:hAnsi="Georgia"/>
        </w:rPr>
        <w:t>Clients with more than 20 years of engagement hold $1.4bn in deposits, demonstrating that client loyalty directly correlates with deposit volume.</w:t>
      </w:r>
    </w:p>
    <w:p w:rsidR="00A61C45" w:rsidRPr="00A61C45" w:rsidRDefault="00A61C45" w:rsidP="00A61C45">
      <w:pPr>
        <w:pStyle w:val="NormalWeb"/>
        <w:numPr>
          <w:ilvl w:val="0"/>
          <w:numId w:val="9"/>
        </w:numPr>
        <w:jc w:val="both"/>
        <w:rPr>
          <w:rFonts w:ascii="Georgia" w:hAnsi="Georgia"/>
        </w:rPr>
      </w:pPr>
      <w:r w:rsidRPr="00A61C45">
        <w:rPr>
          <w:rFonts w:ascii="Georgia" w:hAnsi="Georgia"/>
        </w:rPr>
        <w:t>Checking Accounts ($963.28M) represent a large liquid asset pool and a potential cross-sell opportunity for investment and wealth management products.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Foreign Currency Accounts ($89.65M) represent a small but internationally active client segment, introducing limited FX exposure.</w:t>
      </w:r>
    </w:p>
    <w:p w:rsidR="00A61C45" w:rsidRPr="00A61C45" w:rsidRDefault="00A61C45" w:rsidP="00A61C45">
      <w:pPr>
        <w:pStyle w:val="NormalWeb"/>
        <w:numPr>
          <w:ilvl w:val="0"/>
          <w:numId w:val="9"/>
        </w:numPr>
        <w:jc w:val="both"/>
        <w:rPr>
          <w:rFonts w:ascii="Georgia" w:hAnsi="Georgia"/>
        </w:rPr>
      </w:pPr>
      <w:r w:rsidRPr="00A61C45">
        <w:rPr>
          <w:rFonts w:ascii="Georgia" w:hAnsi="Georgia"/>
        </w:rPr>
        <w:t>Clients with fewer than 5 years of engagement hold comparatively low deposit balances, indicating that newer clients are not yet fully integrated into the bank's product ecosystem.</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The gap between Total Loans ($4.38bn) and Total Deposits ($3.77bn) represents a funding gap of approximately $610M, meaning the bank relies on external funding sources beyond client deposits to finance its lending activity.</w:t>
      </w:r>
    </w:p>
    <w:p w:rsidR="00A61C45" w:rsidRPr="00A61C45" w:rsidRDefault="00A61C45" w:rsidP="00A61C45">
      <w:pPr>
        <w:pStyle w:val="Titre2"/>
        <w:rPr>
          <w:rFonts w:ascii="Georgia" w:hAnsi="Georgia"/>
          <w:color w:val="0077B6"/>
        </w:rPr>
      </w:pPr>
      <w:r w:rsidRPr="00A61C45">
        <w:rPr>
          <w:rFonts w:ascii="Georgia" w:hAnsi="Georgia"/>
          <w:color w:val="0077B6"/>
        </w:rPr>
        <w:t>9.3 Risk Observations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The correlation between Bank Loans and Credit Card Balance (0.37) signals a debt-layering pattern in a subset of clients, representing an elevated credit risk profile worth flagging for the risk team.</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The concentration of loan balances among Private Bank clients ($0.81bn) creates revenue concentration risk — a deterioration in this segment would have an outsized impact on the loan portfolio.</w:t>
      </w:r>
    </w:p>
    <w:p w:rsidR="00A61C45" w:rsidRPr="00A61C45" w:rsidRDefault="00A61C45" w:rsidP="00A61C45">
      <w:pPr>
        <w:pStyle w:val="NormalWeb"/>
        <w:numPr>
          <w:ilvl w:val="0"/>
          <w:numId w:val="9"/>
        </w:numPr>
        <w:jc w:val="both"/>
        <w:rPr>
          <w:rFonts w:ascii="Georgia" w:hAnsi="Georgia"/>
        </w:rPr>
      </w:pPr>
      <w:r w:rsidRPr="00A61C45">
        <w:rPr>
          <w:rFonts w:ascii="Georgia" w:hAnsi="Georgia"/>
        </w:rPr>
        <w:t>High income clients represent 21.61% of total loans. Although a smaller segment by count, they are high-value accounts that justify dedicated relationship management.</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The Low income band (25.26% of loans) presents a segment that requires careful credit monitoring, particularly in economic downturns.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Superannuation savings show no correlation with any banking variable, confirming they are driven by employer contributions rather than banking behavior. Retirement products should therefore be marketed independently of standard banking offers.</w:t>
      </w:r>
    </w:p>
    <w:p w:rsidR="00A61C45" w:rsidRPr="00A61C45" w:rsidRDefault="00A61C45" w:rsidP="00A61C45">
      <w:pPr>
        <w:pStyle w:val="NormalWeb"/>
        <w:numPr>
          <w:ilvl w:val="0"/>
          <w:numId w:val="9"/>
        </w:numPr>
        <w:jc w:val="both"/>
        <w:rPr>
          <w:rFonts w:ascii="Georgia" w:hAnsi="Georgia"/>
        </w:rPr>
      </w:pPr>
      <w:r w:rsidRPr="00A61C45">
        <w:rPr>
          <w:rFonts w:ascii="Georgia" w:hAnsi="Georgia"/>
        </w:rPr>
        <w:t>Foreign Currency exposure ($89.65M), while limited in scale, introduces FX risk that should be tracked alongside interest rate sensitivity.</w:t>
      </w:r>
    </w:p>
    <w:p w:rsidR="00A61C45" w:rsidRPr="00A61C45" w:rsidRDefault="00A61C45" w:rsidP="00A61C45">
      <w:pPr>
        <w:pStyle w:val="NormalWeb"/>
        <w:numPr>
          <w:ilvl w:val="0"/>
          <w:numId w:val="9"/>
        </w:numPr>
        <w:jc w:val="both"/>
        <w:rPr>
          <w:rFonts w:ascii="Georgia" w:hAnsi="Georgia"/>
        </w:rPr>
      </w:pPr>
      <w:r w:rsidRPr="00A61C45">
        <w:rPr>
          <w:rFonts w:ascii="Georgia" w:hAnsi="Georgia"/>
        </w:rPr>
        <w:t>Total Fees of $158.19M are generated through processing fee rates applied to total loan balances. High fee structure clients (5% rate) contribute the most per loan, making them the most profitable segment on a fee basis.</w:t>
      </w:r>
    </w:p>
    <w:p w:rsidR="002A7FFC" w:rsidRDefault="002A7FFC" w:rsidP="00A61C45">
      <w:pPr>
        <w:rPr>
          <w:rFonts w:asciiTheme="majorBidi" w:hAnsiTheme="majorBidi" w:cstheme="majorBidi"/>
          <w:b/>
          <w:color w:val="032362"/>
          <w:sz w:val="36"/>
          <w:szCs w:val="26"/>
        </w:rPr>
      </w:pPr>
    </w:p>
    <w:p w:rsidR="002A7FFC" w:rsidRDefault="002A7FFC" w:rsidP="00A61C45">
      <w:pPr>
        <w:rPr>
          <w:rFonts w:asciiTheme="majorBidi" w:hAnsiTheme="majorBidi" w:cstheme="majorBidi"/>
          <w:b/>
          <w:color w:val="032362"/>
          <w:sz w:val="36"/>
          <w:szCs w:val="26"/>
        </w:rPr>
      </w:pPr>
    </w:p>
    <w:p w:rsidR="002A7FFC" w:rsidRDefault="002A7FFC" w:rsidP="00A61C45">
      <w:pPr>
        <w:rPr>
          <w:rFonts w:asciiTheme="majorBidi" w:hAnsiTheme="majorBidi" w:cstheme="majorBidi"/>
          <w:b/>
          <w:color w:val="032362"/>
          <w:sz w:val="36"/>
          <w:szCs w:val="26"/>
        </w:rPr>
      </w:pPr>
    </w:p>
    <w:p w:rsidR="002A7FFC" w:rsidRDefault="002A7FFC" w:rsidP="00A61C45">
      <w:pPr>
        <w:rPr>
          <w:rFonts w:asciiTheme="majorBidi" w:hAnsiTheme="majorBidi" w:cstheme="majorBidi"/>
          <w:b/>
          <w:color w:val="032362"/>
          <w:sz w:val="36"/>
          <w:szCs w:val="26"/>
        </w:rPr>
      </w:pPr>
    </w:p>
    <w:p w:rsidR="002A7FFC" w:rsidRDefault="002A7FFC" w:rsidP="00A61C45">
      <w:pPr>
        <w:rPr>
          <w:rFonts w:asciiTheme="majorBidi" w:hAnsiTheme="majorBidi" w:cstheme="majorBidi"/>
          <w:b/>
          <w:color w:val="032362"/>
          <w:sz w:val="36"/>
          <w:szCs w:val="26"/>
        </w:rPr>
      </w:pPr>
    </w:p>
    <w:p w:rsidR="002A7FFC" w:rsidRDefault="002A7FFC" w:rsidP="00A61C45">
      <w:pPr>
        <w:rPr>
          <w:rFonts w:asciiTheme="majorBidi" w:hAnsiTheme="majorBidi" w:cstheme="majorBidi"/>
          <w:b/>
          <w:color w:val="032362"/>
          <w:sz w:val="36"/>
          <w:szCs w:val="26"/>
        </w:rPr>
      </w:pPr>
    </w:p>
    <w:p w:rsidR="002A7FFC" w:rsidRDefault="002A7FFC" w:rsidP="00A61C45">
      <w:pPr>
        <w:rPr>
          <w:rFonts w:asciiTheme="majorBidi" w:hAnsiTheme="majorBidi" w:cstheme="majorBidi"/>
          <w:b/>
          <w:color w:val="032362"/>
          <w:sz w:val="36"/>
          <w:szCs w:val="26"/>
        </w:rPr>
      </w:pPr>
    </w:p>
    <w:p w:rsidR="00A61C45" w:rsidRDefault="00A61C45" w:rsidP="00A61C45">
      <w:r>
        <w:rPr>
          <w:rFonts w:asciiTheme="majorBidi" w:hAnsiTheme="majorBidi" w:cstheme="majorBidi"/>
          <w:b/>
          <w:color w:val="032362"/>
          <w:sz w:val="36"/>
          <w:szCs w:val="26"/>
        </w:rPr>
        <w:lastRenderedPageBreak/>
        <w:t xml:space="preserve">9. Conclusion: </w:t>
      </w:r>
    </w:p>
    <w:p w:rsidR="00A61C45" w:rsidRDefault="00A61C45" w:rsidP="000D6F12"/>
    <w:p w:rsidR="000D6F12" w:rsidRPr="00A61C45" w:rsidRDefault="000D6F12" w:rsidP="00A61C45">
      <w:pPr>
        <w:spacing w:before="80" w:after="80" w:line="360" w:lineRule="auto"/>
        <w:jc w:val="both"/>
        <w:rPr>
          <w:rFonts w:ascii="Georgia" w:hAnsi="Georgia"/>
          <w:sz w:val="24"/>
          <w:szCs w:val="24"/>
        </w:rPr>
      </w:pPr>
      <w:r w:rsidRPr="00A61C45">
        <w:rPr>
          <w:rFonts w:ascii="Georgia" w:eastAsia="Arial" w:hAnsi="Georgia" w:cs="Arial"/>
          <w:sz w:val="24"/>
          <w:szCs w:val="24"/>
        </w:rPr>
        <w:t xml:space="preserve">The </w:t>
      </w:r>
      <w:r w:rsidRPr="002A7FFC">
        <w:rPr>
          <w:rFonts w:ascii="Georgia" w:eastAsia="Arial" w:hAnsi="Georgia" w:cs="Arial"/>
          <w:b/>
          <w:bCs/>
          <w:sz w:val="24"/>
          <w:szCs w:val="24"/>
        </w:rPr>
        <w:t>FINVAULT</w:t>
      </w:r>
      <w:r w:rsidRPr="00A61C45">
        <w:rPr>
          <w:rFonts w:ascii="Georgia" w:eastAsia="Arial" w:hAnsi="Georgia" w:cs="Arial"/>
          <w:sz w:val="24"/>
          <w:szCs w:val="24"/>
        </w:rPr>
        <w:t xml:space="preserve"> Banking Dashboard demonstrates a complete, production-grade data analytics pipeline — from raw CSV data through PostgreSQL storage, Python exploratory analysis, and a fully interactive Power BI dashboard.</w:t>
      </w:r>
    </w:p>
    <w:p w:rsidR="000D6F12" w:rsidRPr="00A61C45" w:rsidRDefault="000D6F12" w:rsidP="00A61C45">
      <w:pPr>
        <w:spacing w:before="80" w:after="80" w:line="360" w:lineRule="auto"/>
        <w:jc w:val="both"/>
        <w:rPr>
          <w:rFonts w:ascii="Georgia" w:hAnsi="Georgia"/>
          <w:sz w:val="24"/>
          <w:szCs w:val="24"/>
        </w:rPr>
      </w:pPr>
      <w:r w:rsidRPr="00A61C45">
        <w:rPr>
          <w:rFonts w:ascii="Georgia" w:eastAsia="Arial" w:hAnsi="Georgia" w:cs="Arial"/>
          <w:sz w:val="24"/>
          <w:szCs w:val="24"/>
        </w:rPr>
        <w:t>The project delivers actionable insights into client loan exposure, deposit behavior, fee revenue, and engagement patterns. The interactive Period Slicer and multi-dimensional filters allow business users to slice data dynamically without writing a single query.</w:t>
      </w:r>
    </w:p>
    <w:p w:rsidR="000D6F12" w:rsidRPr="00A61C45" w:rsidRDefault="000D6F12" w:rsidP="00A61C45">
      <w:pPr>
        <w:spacing w:before="80" w:after="80" w:line="360" w:lineRule="auto"/>
        <w:jc w:val="both"/>
        <w:rPr>
          <w:rFonts w:ascii="Georgia" w:hAnsi="Georgia"/>
          <w:sz w:val="24"/>
          <w:szCs w:val="24"/>
        </w:rPr>
      </w:pPr>
      <w:r w:rsidRPr="00A61C45">
        <w:rPr>
          <w:rFonts w:ascii="Georgia" w:eastAsia="Arial" w:hAnsi="Georgia" w:cs="Arial"/>
          <w:sz w:val="24"/>
          <w:szCs w:val="24"/>
        </w:rPr>
        <w:t>The dashboard proves that:</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Total Loans ($4.38bn) exceed Total Deposits ($3.77bn) — the bank is generating revenue through active lending</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Long-term clients (&gt; 20 years) are the most valuable — highest loans and highest deposits</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Mid income band represents the core client base — 53% of loans and the largest deposit share</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European clients dominate both loan volumes and deposit balances</w:t>
      </w:r>
    </w:p>
    <w:p w:rsidR="000D6F12" w:rsidRPr="00A61C45" w:rsidRDefault="000D6F12" w:rsidP="00A61C45">
      <w:pPr>
        <w:spacing w:before="40" w:after="40"/>
        <w:jc w:val="both"/>
        <w:rPr>
          <w:rFonts w:ascii="Georgia" w:hAnsi="Georgia"/>
          <w:sz w:val="24"/>
          <w:szCs w:val="24"/>
        </w:rPr>
      </w:pPr>
    </w:p>
    <w:p w:rsidR="000D6F12" w:rsidRPr="00A61C45" w:rsidRDefault="000D6F12" w:rsidP="00A61C45">
      <w:pPr>
        <w:pStyle w:val="Titre2"/>
        <w:jc w:val="both"/>
        <w:rPr>
          <w:rFonts w:ascii="Georgia" w:hAnsi="Georgia"/>
          <w:color w:val="0077B6"/>
        </w:rPr>
      </w:pPr>
      <w:r w:rsidRPr="00A61C45">
        <w:rPr>
          <w:rFonts w:ascii="Georgia" w:hAnsi="Georgia"/>
          <w:color w:val="0077B6"/>
        </w:rPr>
        <w:t>Future Improvements</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Connect Power BI directly to PostgreSQL for real-time data refresh</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Build a loan default prediction model using Python (scikit-learn / XGBoost)</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Add a Drill Through page for individual client-level analysis</w:t>
      </w:r>
    </w:p>
    <w:p w:rsidR="000D6F12"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Implement Row-Level Security (RLS) in Power BI for role-based access</w:t>
      </w:r>
    </w:p>
    <w:p w:rsidR="000B7726" w:rsidRPr="00A61C45" w:rsidRDefault="000D6F12" w:rsidP="00A61C45">
      <w:pPr>
        <w:pStyle w:val="Paragraphedeliste"/>
        <w:widowControl/>
        <w:numPr>
          <w:ilvl w:val="0"/>
          <w:numId w:val="4"/>
        </w:numPr>
        <w:autoSpaceDE/>
        <w:autoSpaceDN/>
        <w:spacing w:before="60" w:after="60"/>
        <w:jc w:val="both"/>
        <w:rPr>
          <w:rFonts w:ascii="Georgia" w:hAnsi="Georgia"/>
          <w:sz w:val="24"/>
          <w:szCs w:val="24"/>
        </w:rPr>
      </w:pPr>
      <w:r w:rsidRPr="00A61C45">
        <w:rPr>
          <w:rFonts w:ascii="Georgia" w:hAnsi="Georgia"/>
          <w:sz w:val="24"/>
          <w:szCs w:val="24"/>
        </w:rPr>
        <w:t>Expand the dataset with transaction history for time-series forecasting</w:t>
      </w:r>
    </w:p>
    <w:sectPr w:rsidR="000B7726" w:rsidRPr="00A61C45">
      <w:footerReference w:type="default" r:id="rId13"/>
      <w:pgSz w:w="12240" w:h="15840"/>
      <w:pgMar w:top="86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3F9A" w:rsidRDefault="00893F9A">
      <w:r>
        <w:separator/>
      </w:r>
    </w:p>
  </w:endnote>
  <w:endnote w:type="continuationSeparator" w:id="0">
    <w:p w:rsidR="00893F9A" w:rsidRDefault="00893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CF8" w:rsidRDefault="00853CF8">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3F9A" w:rsidRDefault="00893F9A">
      <w:r>
        <w:separator/>
      </w:r>
    </w:p>
  </w:footnote>
  <w:footnote w:type="continuationSeparator" w:id="0">
    <w:p w:rsidR="00893F9A" w:rsidRDefault="00893F9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0195F"/>
    <w:multiLevelType w:val="hybridMultilevel"/>
    <w:tmpl w:val="2622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C282C"/>
    <w:multiLevelType w:val="multilevel"/>
    <w:tmpl w:val="C7A4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C5F0F"/>
    <w:multiLevelType w:val="multilevel"/>
    <w:tmpl w:val="0C94CBB6"/>
    <w:lvl w:ilvl="0">
      <w:start w:val="3"/>
      <w:numFmt w:val="decimal"/>
      <w:lvlText w:val="%1."/>
      <w:lvlJc w:val="left"/>
      <w:pPr>
        <w:ind w:left="511" w:hanging="312"/>
      </w:pPr>
      <w:rPr>
        <w:rFonts w:ascii="Arial" w:eastAsia="Arial" w:hAnsi="Arial" w:cs="Arial" w:hint="default"/>
        <w:b/>
        <w:bCs/>
        <w:i w:val="0"/>
        <w:iCs w:val="0"/>
        <w:color w:val="032362"/>
        <w:spacing w:val="0"/>
        <w:w w:val="100"/>
        <w:sz w:val="28"/>
        <w:szCs w:val="28"/>
        <w:lang w:val="en-US" w:eastAsia="en-US" w:bidi="ar-SA"/>
      </w:rPr>
    </w:lvl>
    <w:lvl w:ilvl="1">
      <w:start w:val="1"/>
      <w:numFmt w:val="decimal"/>
      <w:lvlText w:val="%1.%2"/>
      <w:lvlJc w:val="left"/>
      <w:pPr>
        <w:ind w:left="667" w:hanging="468"/>
      </w:pPr>
      <w:rPr>
        <w:rFonts w:ascii="Arial" w:eastAsia="Arial" w:hAnsi="Arial" w:cs="Arial" w:hint="default"/>
        <w:b/>
        <w:bCs/>
        <w:i w:val="0"/>
        <w:iCs w:val="0"/>
        <w:color w:val="032362"/>
        <w:spacing w:val="0"/>
        <w:w w:val="100"/>
        <w:sz w:val="28"/>
        <w:szCs w:val="28"/>
        <w:lang w:val="en-US" w:eastAsia="en-US" w:bidi="ar-SA"/>
      </w:rPr>
    </w:lvl>
    <w:lvl w:ilvl="2">
      <w:numFmt w:val="bullet"/>
      <w:lvlText w:val="•"/>
      <w:lvlJc w:val="left"/>
      <w:pPr>
        <w:ind w:left="1786" w:hanging="468"/>
      </w:pPr>
      <w:rPr>
        <w:rFonts w:hint="default"/>
        <w:lang w:val="en-US" w:eastAsia="en-US" w:bidi="ar-SA"/>
      </w:rPr>
    </w:lvl>
    <w:lvl w:ilvl="3">
      <w:numFmt w:val="bullet"/>
      <w:lvlText w:val="•"/>
      <w:lvlJc w:val="left"/>
      <w:pPr>
        <w:ind w:left="2913" w:hanging="468"/>
      </w:pPr>
      <w:rPr>
        <w:rFonts w:hint="default"/>
        <w:lang w:val="en-US" w:eastAsia="en-US" w:bidi="ar-SA"/>
      </w:rPr>
    </w:lvl>
    <w:lvl w:ilvl="4">
      <w:numFmt w:val="bullet"/>
      <w:lvlText w:val="•"/>
      <w:lvlJc w:val="left"/>
      <w:pPr>
        <w:ind w:left="4040" w:hanging="468"/>
      </w:pPr>
      <w:rPr>
        <w:rFonts w:hint="default"/>
        <w:lang w:val="en-US" w:eastAsia="en-US" w:bidi="ar-SA"/>
      </w:rPr>
    </w:lvl>
    <w:lvl w:ilvl="5">
      <w:numFmt w:val="bullet"/>
      <w:lvlText w:val="•"/>
      <w:lvlJc w:val="left"/>
      <w:pPr>
        <w:ind w:left="5166" w:hanging="468"/>
      </w:pPr>
      <w:rPr>
        <w:rFonts w:hint="default"/>
        <w:lang w:val="en-US" w:eastAsia="en-US" w:bidi="ar-SA"/>
      </w:rPr>
    </w:lvl>
    <w:lvl w:ilvl="6">
      <w:numFmt w:val="bullet"/>
      <w:lvlText w:val="•"/>
      <w:lvlJc w:val="left"/>
      <w:pPr>
        <w:ind w:left="6293" w:hanging="468"/>
      </w:pPr>
      <w:rPr>
        <w:rFonts w:hint="default"/>
        <w:lang w:val="en-US" w:eastAsia="en-US" w:bidi="ar-SA"/>
      </w:rPr>
    </w:lvl>
    <w:lvl w:ilvl="7">
      <w:numFmt w:val="bullet"/>
      <w:lvlText w:val="•"/>
      <w:lvlJc w:val="left"/>
      <w:pPr>
        <w:ind w:left="7420" w:hanging="468"/>
      </w:pPr>
      <w:rPr>
        <w:rFonts w:hint="default"/>
        <w:lang w:val="en-US" w:eastAsia="en-US" w:bidi="ar-SA"/>
      </w:rPr>
    </w:lvl>
    <w:lvl w:ilvl="8">
      <w:numFmt w:val="bullet"/>
      <w:lvlText w:val="•"/>
      <w:lvlJc w:val="left"/>
      <w:pPr>
        <w:ind w:left="8546" w:hanging="468"/>
      </w:pPr>
      <w:rPr>
        <w:rFonts w:hint="default"/>
        <w:lang w:val="en-US" w:eastAsia="en-US" w:bidi="ar-SA"/>
      </w:rPr>
    </w:lvl>
  </w:abstractNum>
  <w:abstractNum w:abstractNumId="3" w15:restartNumberingAfterBreak="0">
    <w:nsid w:val="33A621C7"/>
    <w:multiLevelType w:val="multilevel"/>
    <w:tmpl w:val="095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96A03"/>
    <w:multiLevelType w:val="multilevel"/>
    <w:tmpl w:val="65B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70C33"/>
    <w:multiLevelType w:val="hybridMultilevel"/>
    <w:tmpl w:val="75CEE542"/>
    <w:lvl w:ilvl="0" w:tplc="9D50A44C">
      <w:start w:val="1"/>
      <w:numFmt w:val="bullet"/>
      <w:lvlText w:val="•"/>
      <w:lvlJc w:val="left"/>
      <w:pPr>
        <w:ind w:left="720" w:hanging="360"/>
      </w:pPr>
    </w:lvl>
    <w:lvl w:ilvl="1" w:tplc="894CAC44">
      <w:numFmt w:val="decimal"/>
      <w:lvlText w:val=""/>
      <w:lvlJc w:val="left"/>
      <w:pPr>
        <w:ind w:left="0" w:firstLine="0"/>
      </w:pPr>
    </w:lvl>
    <w:lvl w:ilvl="2" w:tplc="27DA60FE">
      <w:numFmt w:val="decimal"/>
      <w:lvlText w:val=""/>
      <w:lvlJc w:val="left"/>
      <w:pPr>
        <w:ind w:left="0" w:firstLine="0"/>
      </w:pPr>
    </w:lvl>
    <w:lvl w:ilvl="3" w:tplc="720244C2">
      <w:numFmt w:val="decimal"/>
      <w:lvlText w:val=""/>
      <w:lvlJc w:val="left"/>
      <w:pPr>
        <w:ind w:left="0" w:firstLine="0"/>
      </w:pPr>
    </w:lvl>
    <w:lvl w:ilvl="4" w:tplc="2E609532">
      <w:numFmt w:val="decimal"/>
      <w:lvlText w:val=""/>
      <w:lvlJc w:val="left"/>
      <w:pPr>
        <w:ind w:left="0" w:firstLine="0"/>
      </w:pPr>
    </w:lvl>
    <w:lvl w:ilvl="5" w:tplc="083659D8">
      <w:numFmt w:val="decimal"/>
      <w:lvlText w:val=""/>
      <w:lvlJc w:val="left"/>
      <w:pPr>
        <w:ind w:left="0" w:firstLine="0"/>
      </w:pPr>
    </w:lvl>
    <w:lvl w:ilvl="6" w:tplc="0CD6E286">
      <w:numFmt w:val="decimal"/>
      <w:lvlText w:val=""/>
      <w:lvlJc w:val="left"/>
      <w:pPr>
        <w:ind w:left="0" w:firstLine="0"/>
      </w:pPr>
    </w:lvl>
    <w:lvl w:ilvl="7" w:tplc="E60880B2">
      <w:numFmt w:val="decimal"/>
      <w:lvlText w:val=""/>
      <w:lvlJc w:val="left"/>
      <w:pPr>
        <w:ind w:left="0" w:firstLine="0"/>
      </w:pPr>
    </w:lvl>
    <w:lvl w:ilvl="8" w:tplc="B150EBEC">
      <w:numFmt w:val="decimal"/>
      <w:lvlText w:val=""/>
      <w:lvlJc w:val="left"/>
      <w:pPr>
        <w:ind w:left="0" w:firstLine="0"/>
      </w:pPr>
    </w:lvl>
  </w:abstractNum>
  <w:abstractNum w:abstractNumId="6" w15:restartNumberingAfterBreak="0">
    <w:nsid w:val="690106C6"/>
    <w:multiLevelType w:val="multilevel"/>
    <w:tmpl w:val="EE8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C2878"/>
    <w:multiLevelType w:val="hybridMultilevel"/>
    <w:tmpl w:val="6E1C93C8"/>
    <w:lvl w:ilvl="0" w:tplc="EF1472BC">
      <w:start w:val="1"/>
      <w:numFmt w:val="bullet"/>
      <w:lvlText w:val="•"/>
      <w:lvlJc w:val="left"/>
      <w:pPr>
        <w:ind w:left="720" w:hanging="360"/>
      </w:pPr>
    </w:lvl>
    <w:lvl w:ilvl="1" w:tplc="25D0233A">
      <w:numFmt w:val="decimal"/>
      <w:lvlText w:val=""/>
      <w:lvlJc w:val="left"/>
    </w:lvl>
    <w:lvl w:ilvl="2" w:tplc="DA521EE8">
      <w:numFmt w:val="decimal"/>
      <w:lvlText w:val=""/>
      <w:lvlJc w:val="left"/>
    </w:lvl>
    <w:lvl w:ilvl="3" w:tplc="04A22192">
      <w:numFmt w:val="decimal"/>
      <w:lvlText w:val=""/>
      <w:lvlJc w:val="left"/>
    </w:lvl>
    <w:lvl w:ilvl="4" w:tplc="32E4E53C">
      <w:numFmt w:val="decimal"/>
      <w:lvlText w:val=""/>
      <w:lvlJc w:val="left"/>
    </w:lvl>
    <w:lvl w:ilvl="5" w:tplc="D09439BA">
      <w:numFmt w:val="decimal"/>
      <w:lvlText w:val=""/>
      <w:lvlJc w:val="left"/>
    </w:lvl>
    <w:lvl w:ilvl="6" w:tplc="0602D1A6">
      <w:numFmt w:val="decimal"/>
      <w:lvlText w:val=""/>
      <w:lvlJc w:val="left"/>
    </w:lvl>
    <w:lvl w:ilvl="7" w:tplc="7B781AAA">
      <w:numFmt w:val="decimal"/>
      <w:lvlText w:val=""/>
      <w:lvlJc w:val="left"/>
    </w:lvl>
    <w:lvl w:ilvl="8" w:tplc="55D8A9FA">
      <w:numFmt w:val="decimal"/>
      <w:lvlText w:val=""/>
      <w:lvlJc w:val="left"/>
    </w:lvl>
  </w:abstractNum>
  <w:num w:numId="1">
    <w:abstractNumId w:val="2"/>
  </w:num>
  <w:num w:numId="2">
    <w:abstractNumId w:val="5"/>
    <w:lvlOverride w:ilvl="0"/>
    <w:lvlOverride w:ilvl="1"/>
    <w:lvlOverride w:ilvl="2"/>
    <w:lvlOverride w:ilvl="3"/>
    <w:lvlOverride w:ilvl="4"/>
    <w:lvlOverride w:ilvl="5"/>
    <w:lvlOverride w:ilvl="6"/>
    <w:lvlOverride w:ilvl="7"/>
    <w:lvlOverride w:ilvl="8"/>
  </w:num>
  <w:num w:numId="3">
    <w:abstractNumId w:val="7"/>
    <w:lvlOverride w:ilvl="0">
      <w:startOverride w:val="1"/>
    </w:lvlOverride>
  </w:num>
  <w:num w:numId="4">
    <w:abstractNumId w:val="5"/>
    <w:lvlOverride w:ilvl="0">
      <w:startOverride w:val="1"/>
    </w:lvlOverride>
  </w:num>
  <w:num w:numId="5">
    <w:abstractNumId w:val="3"/>
  </w:num>
  <w:num w:numId="6">
    <w:abstractNumId w:val="6"/>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726"/>
    <w:rsid w:val="000B7726"/>
    <w:rsid w:val="000D6F12"/>
    <w:rsid w:val="000E537D"/>
    <w:rsid w:val="00162565"/>
    <w:rsid w:val="002042EF"/>
    <w:rsid w:val="002A7FFC"/>
    <w:rsid w:val="002B6BDB"/>
    <w:rsid w:val="00426EE0"/>
    <w:rsid w:val="006650F3"/>
    <w:rsid w:val="00853CF8"/>
    <w:rsid w:val="00890B83"/>
    <w:rsid w:val="00893F9A"/>
    <w:rsid w:val="008A4C01"/>
    <w:rsid w:val="009851D0"/>
    <w:rsid w:val="009D20C4"/>
    <w:rsid w:val="00A2402B"/>
    <w:rsid w:val="00A61C45"/>
    <w:rsid w:val="00A85DF6"/>
    <w:rsid w:val="00BB4949"/>
    <w:rsid w:val="00BF2465"/>
    <w:rsid w:val="00EB398D"/>
    <w:rsid w:val="00F0463F"/>
    <w:rsid w:val="00F865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C4CA3"/>
  <w15:docId w15:val="{3A5F60C0-DBBC-4684-BFC4-0739E7C0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D20C4"/>
    <w:rPr>
      <w:rFonts w:ascii="Arial MT" w:eastAsia="Arial MT" w:hAnsi="Arial MT" w:cs="Arial MT"/>
    </w:rPr>
  </w:style>
  <w:style w:type="paragraph" w:styleId="Titre1">
    <w:name w:val="heading 1"/>
    <w:basedOn w:val="Normal"/>
    <w:uiPriority w:val="1"/>
    <w:qFormat/>
    <w:pPr>
      <w:spacing w:before="69"/>
      <w:ind w:left="745"/>
      <w:outlineLvl w:val="0"/>
    </w:pPr>
    <w:rPr>
      <w:rFonts w:ascii="Arial" w:eastAsia="Arial" w:hAnsi="Arial" w:cs="Arial"/>
      <w:b/>
      <w:bCs/>
      <w:sz w:val="48"/>
      <w:szCs w:val="48"/>
    </w:rPr>
  </w:style>
  <w:style w:type="paragraph" w:styleId="Titre2">
    <w:name w:val="heading 2"/>
    <w:basedOn w:val="Normal"/>
    <w:link w:val="Titre2Car"/>
    <w:uiPriority w:val="1"/>
    <w:qFormat/>
    <w:pPr>
      <w:ind w:left="667" w:hanging="467"/>
      <w:outlineLvl w:val="1"/>
    </w:pPr>
    <w:rPr>
      <w:rFonts w:ascii="Arial" w:eastAsia="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qFormat/>
    <w:pPr>
      <w:ind w:left="667" w:hanging="467"/>
    </w:pPr>
    <w:rPr>
      <w:rFonts w:ascii="Arial" w:eastAsia="Arial" w:hAnsi="Arial" w:cs="Arial"/>
    </w:r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2042EF"/>
    <w:pPr>
      <w:tabs>
        <w:tab w:val="center" w:pos="4703"/>
        <w:tab w:val="right" w:pos="9406"/>
      </w:tabs>
    </w:pPr>
  </w:style>
  <w:style w:type="character" w:customStyle="1" w:styleId="En-tteCar">
    <w:name w:val="En-tête Car"/>
    <w:basedOn w:val="Policepardfaut"/>
    <w:link w:val="En-tte"/>
    <w:uiPriority w:val="99"/>
    <w:rsid w:val="002042EF"/>
    <w:rPr>
      <w:rFonts w:ascii="Arial MT" w:eastAsia="Arial MT" w:hAnsi="Arial MT" w:cs="Arial MT"/>
    </w:rPr>
  </w:style>
  <w:style w:type="paragraph" w:styleId="Pieddepage">
    <w:name w:val="footer"/>
    <w:basedOn w:val="Normal"/>
    <w:link w:val="PieddepageCar"/>
    <w:uiPriority w:val="99"/>
    <w:unhideWhenUsed/>
    <w:rsid w:val="002042EF"/>
    <w:pPr>
      <w:tabs>
        <w:tab w:val="center" w:pos="4703"/>
        <w:tab w:val="right" w:pos="9406"/>
      </w:tabs>
    </w:pPr>
  </w:style>
  <w:style w:type="character" w:customStyle="1" w:styleId="PieddepageCar">
    <w:name w:val="Pied de page Car"/>
    <w:basedOn w:val="Policepardfaut"/>
    <w:link w:val="Pieddepage"/>
    <w:uiPriority w:val="99"/>
    <w:rsid w:val="002042EF"/>
    <w:rPr>
      <w:rFonts w:ascii="Arial MT" w:eastAsia="Arial MT" w:hAnsi="Arial MT" w:cs="Arial MT"/>
    </w:rPr>
  </w:style>
  <w:style w:type="paragraph" w:styleId="NormalWeb">
    <w:name w:val="Normal (Web)"/>
    <w:basedOn w:val="Normal"/>
    <w:uiPriority w:val="99"/>
    <w:unhideWhenUsed/>
    <w:rsid w:val="0016256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Titre2Car">
    <w:name w:val="Titre 2 Car"/>
    <w:basedOn w:val="Policepardfaut"/>
    <w:link w:val="Titre2"/>
    <w:uiPriority w:val="1"/>
    <w:rsid w:val="009851D0"/>
    <w:rPr>
      <w:rFonts w:ascii="Arial" w:eastAsia="Arial" w:hAnsi="Arial" w:cs="Arial"/>
      <w:b/>
      <w:bCs/>
      <w:sz w:val="28"/>
      <w:szCs w:val="28"/>
    </w:rPr>
  </w:style>
  <w:style w:type="paragraph" w:styleId="Lgende">
    <w:name w:val="caption"/>
    <w:basedOn w:val="Normal"/>
    <w:next w:val="Normal"/>
    <w:uiPriority w:val="35"/>
    <w:unhideWhenUsed/>
    <w:qFormat/>
    <w:rsid w:val="009D20C4"/>
    <w:pPr>
      <w:spacing w:after="200"/>
    </w:pPr>
    <w:rPr>
      <w:i/>
      <w:iCs/>
      <w:color w:val="1F497D" w:themeColor="text2"/>
      <w:sz w:val="18"/>
      <w:szCs w:val="18"/>
    </w:rPr>
  </w:style>
  <w:style w:type="character" w:styleId="lev">
    <w:name w:val="Strong"/>
    <w:basedOn w:val="Policepardfaut"/>
    <w:uiPriority w:val="22"/>
    <w:qFormat/>
    <w:rsid w:val="000D6F12"/>
    <w:rPr>
      <w:b/>
      <w:bCs/>
    </w:rPr>
  </w:style>
  <w:style w:type="paragraph" w:styleId="Sansinterligne">
    <w:name w:val="No Spacing"/>
    <w:link w:val="SansinterligneCar"/>
    <w:uiPriority w:val="1"/>
    <w:qFormat/>
    <w:rsid w:val="00853CF8"/>
    <w:pPr>
      <w:widowControl/>
      <w:autoSpaceDE/>
      <w:autoSpaceDN/>
    </w:pPr>
    <w:rPr>
      <w:rFonts w:eastAsiaTheme="minorEastAsia"/>
    </w:rPr>
  </w:style>
  <w:style w:type="character" w:customStyle="1" w:styleId="SansinterligneCar">
    <w:name w:val="Sans interligne Car"/>
    <w:basedOn w:val="Policepardfaut"/>
    <w:link w:val="Sansinterligne"/>
    <w:uiPriority w:val="1"/>
    <w:rsid w:val="00853CF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063386">
      <w:bodyDiv w:val="1"/>
      <w:marLeft w:val="0"/>
      <w:marRight w:val="0"/>
      <w:marTop w:val="0"/>
      <w:marBottom w:val="0"/>
      <w:divBdr>
        <w:top w:val="none" w:sz="0" w:space="0" w:color="auto"/>
        <w:left w:val="none" w:sz="0" w:space="0" w:color="auto"/>
        <w:bottom w:val="none" w:sz="0" w:space="0" w:color="auto"/>
        <w:right w:val="none" w:sz="0" w:space="0" w:color="auto"/>
      </w:divBdr>
    </w:div>
    <w:div w:id="444234071">
      <w:bodyDiv w:val="1"/>
      <w:marLeft w:val="0"/>
      <w:marRight w:val="0"/>
      <w:marTop w:val="0"/>
      <w:marBottom w:val="0"/>
      <w:divBdr>
        <w:top w:val="none" w:sz="0" w:space="0" w:color="auto"/>
        <w:left w:val="none" w:sz="0" w:space="0" w:color="auto"/>
        <w:bottom w:val="none" w:sz="0" w:space="0" w:color="auto"/>
        <w:right w:val="none" w:sz="0" w:space="0" w:color="auto"/>
      </w:divBdr>
    </w:div>
    <w:div w:id="758520585">
      <w:bodyDiv w:val="1"/>
      <w:marLeft w:val="0"/>
      <w:marRight w:val="0"/>
      <w:marTop w:val="0"/>
      <w:marBottom w:val="0"/>
      <w:divBdr>
        <w:top w:val="none" w:sz="0" w:space="0" w:color="auto"/>
        <w:left w:val="none" w:sz="0" w:space="0" w:color="auto"/>
        <w:bottom w:val="none" w:sz="0" w:space="0" w:color="auto"/>
        <w:right w:val="none" w:sz="0" w:space="0" w:color="auto"/>
      </w:divBdr>
      <w:divsChild>
        <w:div w:id="978993067">
          <w:marLeft w:val="0"/>
          <w:marRight w:val="0"/>
          <w:marTop w:val="0"/>
          <w:marBottom w:val="0"/>
          <w:divBdr>
            <w:top w:val="none" w:sz="0" w:space="0" w:color="auto"/>
            <w:left w:val="none" w:sz="0" w:space="0" w:color="auto"/>
            <w:bottom w:val="none" w:sz="0" w:space="0" w:color="auto"/>
            <w:right w:val="none" w:sz="0" w:space="0" w:color="auto"/>
          </w:divBdr>
          <w:divsChild>
            <w:div w:id="4645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0034">
      <w:bodyDiv w:val="1"/>
      <w:marLeft w:val="0"/>
      <w:marRight w:val="0"/>
      <w:marTop w:val="0"/>
      <w:marBottom w:val="0"/>
      <w:divBdr>
        <w:top w:val="none" w:sz="0" w:space="0" w:color="auto"/>
        <w:left w:val="none" w:sz="0" w:space="0" w:color="auto"/>
        <w:bottom w:val="none" w:sz="0" w:space="0" w:color="auto"/>
        <w:right w:val="none" w:sz="0" w:space="0" w:color="auto"/>
      </w:divBdr>
    </w:div>
    <w:div w:id="1278491128">
      <w:bodyDiv w:val="1"/>
      <w:marLeft w:val="0"/>
      <w:marRight w:val="0"/>
      <w:marTop w:val="0"/>
      <w:marBottom w:val="0"/>
      <w:divBdr>
        <w:top w:val="none" w:sz="0" w:space="0" w:color="auto"/>
        <w:left w:val="none" w:sz="0" w:space="0" w:color="auto"/>
        <w:bottom w:val="none" w:sz="0" w:space="0" w:color="auto"/>
        <w:right w:val="none" w:sz="0" w:space="0" w:color="auto"/>
      </w:divBdr>
    </w:div>
    <w:div w:id="1326397454">
      <w:bodyDiv w:val="1"/>
      <w:marLeft w:val="0"/>
      <w:marRight w:val="0"/>
      <w:marTop w:val="0"/>
      <w:marBottom w:val="0"/>
      <w:divBdr>
        <w:top w:val="none" w:sz="0" w:space="0" w:color="auto"/>
        <w:left w:val="none" w:sz="0" w:space="0" w:color="auto"/>
        <w:bottom w:val="none" w:sz="0" w:space="0" w:color="auto"/>
        <w:right w:val="none" w:sz="0" w:space="0" w:color="auto"/>
      </w:divBdr>
    </w:div>
    <w:div w:id="1396783805">
      <w:bodyDiv w:val="1"/>
      <w:marLeft w:val="0"/>
      <w:marRight w:val="0"/>
      <w:marTop w:val="0"/>
      <w:marBottom w:val="0"/>
      <w:divBdr>
        <w:top w:val="none" w:sz="0" w:space="0" w:color="auto"/>
        <w:left w:val="none" w:sz="0" w:space="0" w:color="auto"/>
        <w:bottom w:val="none" w:sz="0" w:space="0" w:color="auto"/>
        <w:right w:val="none" w:sz="0" w:space="0" w:color="auto"/>
      </w:divBdr>
    </w:div>
    <w:div w:id="1721436691">
      <w:bodyDiv w:val="1"/>
      <w:marLeft w:val="0"/>
      <w:marRight w:val="0"/>
      <w:marTop w:val="0"/>
      <w:marBottom w:val="0"/>
      <w:divBdr>
        <w:top w:val="none" w:sz="0" w:space="0" w:color="auto"/>
        <w:left w:val="none" w:sz="0" w:space="0" w:color="auto"/>
        <w:bottom w:val="none" w:sz="0" w:space="0" w:color="auto"/>
        <w:right w:val="none" w:sz="0" w:space="0" w:color="auto"/>
      </w:divBdr>
    </w:div>
    <w:div w:id="1755856722">
      <w:bodyDiv w:val="1"/>
      <w:marLeft w:val="0"/>
      <w:marRight w:val="0"/>
      <w:marTop w:val="0"/>
      <w:marBottom w:val="0"/>
      <w:divBdr>
        <w:top w:val="none" w:sz="0" w:space="0" w:color="auto"/>
        <w:left w:val="none" w:sz="0" w:space="0" w:color="auto"/>
        <w:bottom w:val="none" w:sz="0" w:space="0" w:color="auto"/>
        <w:right w:val="none" w:sz="0" w:space="0" w:color="auto"/>
      </w:divBdr>
    </w:div>
    <w:div w:id="1902980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71FBC-1CE8-477B-A1B8-B190642B4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10</Pages>
  <Words>1996</Words>
  <Characters>11383</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AdMin</cp:lastModifiedBy>
  <cp:revision>4</cp:revision>
  <cp:lastPrinted>2026-05-12T09:53:00Z</cp:lastPrinted>
  <dcterms:created xsi:type="dcterms:W3CDTF">2026-05-12T09:50:00Z</dcterms:created>
  <dcterms:modified xsi:type="dcterms:W3CDTF">2026-05-12T12:00:00Z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(unspecified)</vt:lpwstr>
  </property>
  <property fmtid="{D5CDD505-2E9C-101B-9397-08002B2CF9AE}" pid="5" name="LastSaved">
    <vt:filetime>2026-05-12T00:00:00Z</vt:filetime>
  </property>
  <property fmtid="{D5CDD505-2E9C-101B-9397-08002B2CF9AE}" pid="6" name="Producer">
    <vt:lpwstr>ReportLab PDF Library - www.reportlab.com</vt:lpwstr>
  </property>
</Properties>
</file>