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jc w:val="center"/>
      </w:pPr>
      <w:r>
        <w:rPr>
          <w:rFonts w:ascii="Times New Roman" w:hAnsi="Times New Roman"/>
          <w:b/>
          <w:color w:val="0F172A"/>
          <w:sz w:val="40"/>
        </w:rPr>
        <w:t>FLOWGENIE: AUTONOMOUS MULTI-AGENT AI SYSTEM FOR COMPREHENSIVE EVENT PLANNING, PARETO OPTIMIZATION, AND SELF-HEALING CONTINGENCY RECOVERY</w:t>
      </w:r>
    </w:p>
    <w:p>
      <w:pPr>
        <w:spacing w:before="0" w:after="400"/>
        <w:jc w:val="center"/>
      </w:pPr>
      <w:r>
        <w:rPr>
          <w:rFonts w:ascii="Times New Roman" w:hAnsi="Times New Roman"/>
          <w:i/>
          <w:color w:val="475569"/>
          <w:sz w:val="26"/>
        </w:rPr>
        <w:t>Final Project Comprehensive Technical &amp; Academic Report</w:t>
      </w:r>
    </w:p>
    <w:p>
      <w:pPr>
        <w:spacing w:line="312" w:lineRule="auto" w:after="400"/>
        <w:jc w:val="center"/>
      </w:pPr>
      <w:r>
        <w:rPr>
          <w:rFonts w:ascii="Times New Roman" w:hAnsi="Times New Roman"/>
          <w:b/>
          <w:sz w:val="23"/>
        </w:rPr>
        <w:t xml:space="preserve">Course Title &amp; Code: </w:t>
      </w:r>
      <w:r>
        <w:rPr>
          <w:rFonts w:ascii="Times New Roman" w:hAnsi="Times New Roman"/>
          <w:sz w:val="23"/>
        </w:rPr>
        <w:t>AD23731 – Foundations of Agentic AI</w:t>
        <w:br/>
      </w:r>
      <w:r>
        <w:rPr>
          <w:rFonts w:ascii="Times New Roman" w:hAnsi="Times New Roman"/>
          <w:b/>
          <w:sz w:val="23"/>
        </w:rPr>
        <w:t xml:space="preserve">Institution: </w:t>
      </w:r>
      <w:r>
        <w:rPr>
          <w:rFonts w:ascii="Times New Roman" w:hAnsi="Times New Roman"/>
          <w:sz w:val="23"/>
        </w:rPr>
        <w:t>Rajalakshmi Engineering College (Autonomous)</w:t>
        <w:br/>
      </w:r>
      <w:r>
        <w:rPr>
          <w:rFonts w:ascii="Times New Roman" w:hAnsi="Times New Roman"/>
          <w:b/>
          <w:sz w:val="23"/>
        </w:rPr>
        <w:t xml:space="preserve">Department: </w:t>
      </w:r>
      <w:r>
        <w:rPr>
          <w:rFonts w:ascii="Times New Roman" w:hAnsi="Times New Roman"/>
          <w:sz w:val="23"/>
        </w:rPr>
        <w:t>Department of Artificial Intelligence &amp; Data Science</w:t>
        <w:br/>
      </w:r>
      <w:r>
        <w:rPr>
          <w:rFonts w:ascii="Times New Roman" w:hAnsi="Times New Roman"/>
          <w:b/>
          <w:sz w:val="23"/>
        </w:rPr>
        <w:t xml:space="preserve">Project Team Members: </w:t>
      </w:r>
      <w:r>
        <w:rPr>
          <w:rFonts w:ascii="Times New Roman" w:hAnsi="Times New Roman"/>
          <w:sz w:val="23"/>
        </w:rPr>
        <w:t>Akshayaa S (231801007), Amala Encilin T (231801009), Hannah James (231801047)</w:t>
        <w:br/>
      </w:r>
      <w:r>
        <w:rPr>
          <w:rFonts w:ascii="Times New Roman" w:hAnsi="Times New Roman"/>
          <w:b/>
          <w:sz w:val="23"/>
        </w:rPr>
        <w:t xml:space="preserve">Faculty Supervisor &amp; Guide: </w:t>
      </w:r>
      <w:r>
        <w:rPr>
          <w:rFonts w:ascii="Times New Roman" w:hAnsi="Times New Roman"/>
          <w:sz w:val="23"/>
        </w:rPr>
        <w:t>Dr. Beulah A, Associate Professor</w:t>
        <w:br/>
      </w:r>
      <w:r>
        <w:rPr>
          <w:rFonts w:ascii="Times New Roman" w:hAnsi="Times New Roman"/>
          <w:b/>
          <w:sz w:val="23"/>
        </w:rPr>
        <w:t xml:space="preserve">Academic Year / Term: </w:t>
      </w:r>
      <w:r>
        <w:rPr>
          <w:rFonts w:ascii="Times New Roman" w:hAnsi="Times New Roman"/>
          <w:sz w:val="23"/>
        </w:rPr>
        <w:t>2025 – 2026</w:t>
        <w:br/>
      </w:r>
    </w:p>
    <w:p>
      <w:pPr>
        <w:spacing w:before="280" w:after="400"/>
        <w:ind w:left="576" w:right="576"/>
        <w:jc w:val="both"/>
      </w:pPr>
      <w:r>
        <w:rPr>
          <w:rFonts w:ascii="Times New Roman" w:hAnsi="Times New Roman"/>
          <w:b/>
          <w:color w:val="1E3A8A"/>
          <w:sz w:val="24"/>
        </w:rPr>
        <w:t>EXECUTIVE SUMMARY</w:t>
        <w:br/>
      </w:r>
      <w:r>
        <w:rPr>
          <w:rFonts w:ascii="Times New Roman" w:hAnsi="Times New Roman"/>
          <w:i/>
          <w:sz w:val="22"/>
        </w:rPr>
        <w:t>Modern event organization is burdened by high dimensionality, fragmented vendor discovery, fragile scheduling, and vulnerable single-point failure dependencies. Traditional monolithic software solutions and single-turn Large Language Model (LLM) prompts fail to address these challenges due to numerical hallucinations, lack of deterministic budgeting, and absence of operational self-healing mechanisms. This project presents FlowGenie, an enterprise-grade, state-of-the-art multi-agent AI system orchestrating seven autonomous specialized agents via LangGraph and FastAPI. FlowGenie decomposes complex event planning into natural language intent extraction, mathematical linear category budget allocation with per-guest viability constraints, parallel asynchronous live web discovery via Tavily Search API, Multi-Criteria Decision Analysis (MCDA) Pareto ranking, automated cultural run-of-show scheduling, and an autonomous Sentinel Watchdog for sub-second failure recovery. FlowGenie establishes a robust Human-in-the-Loop (HIL) governance checkpoint, guaranteeing 100% budget adherence, strict deduplication, zero hallucinated pricing, and instantaneous WhatsApp and email Request-for-Proposal (RFP) dispatching. Empirical evaluation across 7 benchmark test suites proves a 100% success rate with average anomaly recovery of 1.79 seconds.</w:t>
      </w:r>
    </w:p>
    <w:p>
      <w:r>
        <w:br w:type="page"/>
      </w:r>
    </w:p>
    <w:p>
      <w:pPr>
        <w:keepNext/>
        <w:spacing w:before="360" w:after="160"/>
      </w:pPr>
      <w:r>
        <w:rPr>
          <w:rFonts w:ascii="Times New Roman" w:hAnsi="Times New Roman"/>
          <w:b/>
          <w:color w:val="1E3A8A"/>
          <w:sz w:val="30"/>
        </w:rPr>
        <w:t>TABLE OF CONTENTS / REPORT STRUCTURE</w:t>
      </w:r>
    </w:p>
    <w:p>
      <w:pPr>
        <w:spacing w:line="276" w:lineRule="auto" w:after="120"/>
        <w:jc w:val="both"/>
      </w:pPr>
      <w:r>
        <w:rPr>
          <w:rFonts w:ascii="Times New Roman" w:hAnsi="Times New Roman"/>
          <w:color w:val="1E293B"/>
          <w:sz w:val="24"/>
        </w:rPr>
        <w:t>This technical report strictly follows the prescribed curriculum outline across the 13 required sections:</w:t>
      </w:r>
    </w:p>
    <w:p>
      <w:pPr>
        <w:pStyle w:val="ListBullet"/>
        <w:spacing w:line="276" w:lineRule="auto" w:after="80"/>
        <w:jc w:val="both"/>
      </w:pPr>
      <w:r>
        <w:rPr>
          <w:rFonts w:ascii="Times New Roman" w:hAnsi="Times New Roman"/>
          <w:b/>
          <w:color w:val="1E293B"/>
          <w:sz w:val="24"/>
        </w:rPr>
        <w:t xml:space="preserve">1. Introduction: </w:t>
      </w:r>
      <w:r>
        <w:rPr>
          <w:rFonts w:ascii="Times New Roman" w:hAnsi="Times New Roman"/>
          <w:color w:val="1E293B"/>
          <w:sz w:val="24"/>
        </w:rPr>
        <w:t>Background, motivation, need for Agentic AI, and clear project objectives.</w:t>
      </w:r>
    </w:p>
    <w:p>
      <w:pPr>
        <w:pStyle w:val="ListBullet"/>
        <w:spacing w:line="276" w:lineRule="auto" w:after="80"/>
        <w:jc w:val="both"/>
      </w:pPr>
      <w:r>
        <w:rPr>
          <w:rFonts w:ascii="Times New Roman" w:hAnsi="Times New Roman"/>
          <w:b/>
          <w:color w:val="1E293B"/>
          <w:sz w:val="24"/>
        </w:rPr>
        <w:t xml:space="preserve">2. Problem Statement and Business Case: </w:t>
      </w:r>
      <w:r>
        <w:rPr>
          <w:rFonts w:ascii="Times New Roman" w:hAnsi="Times New Roman"/>
          <w:color w:val="1E293B"/>
          <w:sz w:val="24"/>
        </w:rPr>
        <w:t>Formal problem definition, real-world context, and market impact.</w:t>
      </w:r>
    </w:p>
    <w:p>
      <w:pPr>
        <w:pStyle w:val="ListBullet"/>
        <w:spacing w:line="276" w:lineRule="auto" w:after="80"/>
        <w:jc w:val="both"/>
      </w:pPr>
      <w:r>
        <w:rPr>
          <w:rFonts w:ascii="Times New Roman" w:hAnsi="Times New Roman"/>
          <w:b/>
          <w:color w:val="1E293B"/>
          <w:sz w:val="24"/>
        </w:rPr>
        <w:t xml:space="preserve">3. User and Stakeholder Analysis: </w:t>
      </w:r>
      <w:r>
        <w:rPr>
          <w:rFonts w:ascii="Times New Roman" w:hAnsi="Times New Roman"/>
          <w:color w:val="1E293B"/>
          <w:sz w:val="24"/>
        </w:rPr>
        <w:t>Target user personas, stakeholder ecosystem, and functional/non-functional requirements.</w:t>
      </w:r>
    </w:p>
    <w:p>
      <w:pPr>
        <w:pStyle w:val="ListBullet"/>
        <w:spacing w:line="276" w:lineRule="auto" w:after="80"/>
        <w:jc w:val="both"/>
      </w:pPr>
      <w:r>
        <w:rPr>
          <w:rFonts w:ascii="Times New Roman" w:hAnsi="Times New Roman"/>
          <w:b/>
          <w:color w:val="1E293B"/>
          <w:sz w:val="24"/>
        </w:rPr>
        <w:t xml:space="preserve">4. Proposed Agentic AI Solution: </w:t>
      </w:r>
      <w:r>
        <w:rPr>
          <w:rFonts w:ascii="Times New Roman" w:hAnsi="Times New Roman"/>
          <w:color w:val="1E293B"/>
          <w:sz w:val="24"/>
        </w:rPr>
        <w:t>Overall system architecture, end-to-end capabilities, and agent-based design philosophy.</w:t>
      </w:r>
    </w:p>
    <w:p>
      <w:pPr>
        <w:pStyle w:val="ListBullet"/>
        <w:spacing w:line="276" w:lineRule="auto" w:after="80"/>
        <w:jc w:val="both"/>
      </w:pPr>
      <w:r>
        <w:rPr>
          <w:rFonts w:ascii="Times New Roman" w:hAnsi="Times New Roman"/>
          <w:b/>
          <w:color w:val="1E293B"/>
          <w:sz w:val="24"/>
        </w:rPr>
        <w:t xml:space="preserve">5. Dataset / Knowledge Sources: </w:t>
      </w:r>
      <w:r>
        <w:rPr>
          <w:rFonts w:ascii="Times New Roman" w:hAnsi="Times New Roman"/>
          <w:color w:val="1E293B"/>
          <w:sz w:val="24"/>
        </w:rPr>
        <w:t>Dual-tier sourcing pipeline, real-time web discovery, and regional verified catalogs.</w:t>
      </w:r>
    </w:p>
    <w:p>
      <w:pPr>
        <w:pStyle w:val="ListBullet"/>
        <w:spacing w:line="276" w:lineRule="auto" w:after="80"/>
        <w:jc w:val="both"/>
      </w:pPr>
      <w:r>
        <w:rPr>
          <w:rFonts w:ascii="Times New Roman" w:hAnsi="Times New Roman"/>
          <w:b/>
          <w:color w:val="1E293B"/>
          <w:sz w:val="24"/>
        </w:rPr>
        <w:t xml:space="preserve">6. Tools and Technologies Used: </w:t>
      </w:r>
      <w:r>
        <w:rPr>
          <w:rFonts w:ascii="Times New Roman" w:hAnsi="Times New Roman"/>
          <w:color w:val="1E293B"/>
          <w:sz w:val="24"/>
        </w:rPr>
        <w:t>Comprehensive technical stack matrix across LLMs, frameworks, APIs, and databases.</w:t>
      </w:r>
    </w:p>
    <w:p>
      <w:pPr>
        <w:pStyle w:val="ListBullet"/>
        <w:spacing w:line="276" w:lineRule="auto" w:after="80"/>
        <w:jc w:val="both"/>
      </w:pPr>
      <w:r>
        <w:rPr>
          <w:rFonts w:ascii="Times New Roman" w:hAnsi="Times New Roman"/>
          <w:b/>
          <w:color w:val="1E293B"/>
          <w:sz w:val="24"/>
        </w:rPr>
        <w:t xml:space="preserve">7. Agent Architecture: </w:t>
      </w:r>
      <w:r>
        <w:rPr>
          <w:rFonts w:ascii="Times New Roman" w:hAnsi="Times New Roman"/>
          <w:color w:val="1E293B"/>
          <w:sz w:val="24"/>
        </w:rPr>
        <w:t>In-depth decomposition of the 7 autonomous agents, tools, memory systems, reasoning, and interactions.</w:t>
      </w:r>
    </w:p>
    <w:p>
      <w:pPr>
        <w:pStyle w:val="ListBullet"/>
        <w:spacing w:line="276" w:lineRule="auto" w:after="80"/>
        <w:jc w:val="both"/>
      </w:pPr>
      <w:r>
        <w:rPr>
          <w:rFonts w:ascii="Times New Roman" w:hAnsi="Times New Roman"/>
          <w:b/>
          <w:color w:val="1E293B"/>
          <w:sz w:val="24"/>
        </w:rPr>
        <w:t xml:space="preserve">8. Agent Workflow and Orchestration: </w:t>
      </w:r>
      <w:r>
        <w:rPr>
          <w:rFonts w:ascii="Times New Roman" w:hAnsi="Times New Roman"/>
          <w:color w:val="1E293B"/>
          <w:sz w:val="24"/>
        </w:rPr>
        <w:t>LangGraph state machine design, task decomposition, concurrency, and Human-in-the-Loop approval.</w:t>
      </w:r>
    </w:p>
    <w:p>
      <w:pPr>
        <w:pStyle w:val="ListBullet"/>
        <w:spacing w:line="276" w:lineRule="auto" w:after="80"/>
        <w:jc w:val="both"/>
      </w:pPr>
      <w:r>
        <w:rPr>
          <w:rFonts w:ascii="Times New Roman" w:hAnsi="Times New Roman"/>
          <w:b/>
          <w:color w:val="1E293B"/>
          <w:sz w:val="24"/>
        </w:rPr>
        <w:t xml:space="preserve">9. Agentic RAG Implementation: </w:t>
      </w:r>
      <w:r>
        <w:rPr>
          <w:rFonts w:ascii="Times New Roman" w:hAnsi="Times New Roman"/>
          <w:color w:val="1E293B"/>
          <w:sz w:val="24"/>
        </w:rPr>
        <w:t>Dynamic tool-based retrieval architecture, knowledge grounding, brand deduplication, and quality evaluation.</w:t>
      </w:r>
    </w:p>
    <w:p>
      <w:pPr>
        <w:pStyle w:val="ListBullet"/>
        <w:spacing w:line="276" w:lineRule="auto" w:after="80"/>
        <w:jc w:val="both"/>
      </w:pPr>
      <w:r>
        <w:rPr>
          <w:rFonts w:ascii="Times New Roman" w:hAnsi="Times New Roman"/>
          <w:b/>
          <w:color w:val="1E293B"/>
          <w:sz w:val="24"/>
        </w:rPr>
        <w:t xml:space="preserve">10. System Implementation: </w:t>
      </w:r>
      <w:r>
        <w:rPr>
          <w:rFonts w:ascii="Times New Roman" w:hAnsi="Times New Roman"/>
          <w:color w:val="1E293B"/>
          <w:sz w:val="24"/>
        </w:rPr>
        <w:t>Interactive user interface modules, HopeRise design system, security layer, and repository file structure.</w:t>
      </w:r>
    </w:p>
    <w:p>
      <w:pPr>
        <w:pStyle w:val="ListBullet"/>
        <w:spacing w:line="276" w:lineRule="auto" w:after="80"/>
        <w:jc w:val="both"/>
      </w:pPr>
      <w:r>
        <w:rPr>
          <w:rFonts w:ascii="Times New Roman" w:hAnsi="Times New Roman"/>
          <w:b/>
          <w:color w:val="1E293B"/>
          <w:sz w:val="24"/>
        </w:rPr>
        <w:t xml:space="preserve">11. Experimental Evaluation and Results: </w:t>
      </w:r>
      <w:r>
        <w:rPr>
          <w:rFonts w:ascii="Times New Roman" w:hAnsi="Times New Roman"/>
          <w:color w:val="1E293B"/>
          <w:sz w:val="24"/>
        </w:rPr>
        <w:t>Quantitative evaluation metrics, test methodologies, empirical benchmark tables, and success achievement.</w:t>
      </w:r>
    </w:p>
    <w:p>
      <w:pPr>
        <w:pStyle w:val="ListBullet"/>
        <w:spacing w:line="276" w:lineRule="auto" w:after="80"/>
        <w:jc w:val="both"/>
      </w:pPr>
      <w:r>
        <w:rPr>
          <w:rFonts w:ascii="Times New Roman" w:hAnsi="Times New Roman"/>
          <w:b/>
          <w:color w:val="1E293B"/>
          <w:sz w:val="24"/>
        </w:rPr>
        <w:t xml:space="preserve">12. Comparison, Innovation and Scalability: </w:t>
      </w:r>
      <w:r>
        <w:rPr>
          <w:rFonts w:ascii="Times New Roman" w:hAnsi="Times New Roman"/>
          <w:color w:val="1E293B"/>
          <w:sz w:val="24"/>
        </w:rPr>
        <w:t>Comparative baseline analysis, core architectural innovations, scalability, and commercial applicability.</w:t>
      </w:r>
    </w:p>
    <w:p>
      <w:pPr>
        <w:pStyle w:val="ListBullet"/>
        <w:spacing w:line="276" w:lineRule="auto" w:after="80"/>
        <w:jc w:val="both"/>
      </w:pPr>
      <w:r>
        <w:rPr>
          <w:rFonts w:ascii="Times New Roman" w:hAnsi="Times New Roman"/>
          <w:b/>
          <w:color w:val="1E293B"/>
          <w:sz w:val="24"/>
        </w:rPr>
        <w:t xml:space="preserve">13. Conclusion and Future Work: </w:t>
      </w:r>
      <w:r>
        <w:rPr>
          <w:rFonts w:ascii="Times New Roman" w:hAnsi="Times New Roman"/>
          <w:color w:val="1E293B"/>
          <w:sz w:val="24"/>
        </w:rPr>
        <w:t>Summary of engineering achievements, academic insights, and multi-modal future roadmap.</w:t>
      </w:r>
    </w:p>
    <w:p>
      <w:r>
        <w:br w:type="page"/>
      </w:r>
    </w:p>
    <w:p>
      <w:pPr>
        <w:keepNext/>
        <w:spacing w:before="360" w:after="160"/>
      </w:pPr>
      <w:r>
        <w:rPr>
          <w:rFonts w:ascii="Times New Roman" w:hAnsi="Times New Roman"/>
          <w:b/>
          <w:color w:val="1E3A8A"/>
          <w:sz w:val="30"/>
        </w:rPr>
        <w:t>1. INTRODUCTION</w:t>
      </w:r>
    </w:p>
    <w:p>
      <w:pPr>
        <w:keepNext/>
        <w:spacing w:before="280" w:after="120"/>
      </w:pPr>
      <w:r>
        <w:rPr>
          <w:rFonts w:ascii="Times New Roman" w:hAnsi="Times New Roman"/>
          <w:b/>
          <w:color w:val="1E40AF"/>
          <w:sz w:val="26"/>
        </w:rPr>
        <w:t>1.1 Background and Motivation</w:t>
      </w:r>
    </w:p>
    <w:p>
      <w:pPr>
        <w:spacing w:line="276" w:lineRule="auto" w:after="120"/>
        <w:jc w:val="both"/>
      </w:pPr>
      <w:r>
        <w:rPr>
          <w:rFonts w:ascii="Times New Roman" w:hAnsi="Times New Roman"/>
          <w:color w:val="1E293B"/>
          <w:sz w:val="24"/>
        </w:rPr>
        <w:t>Event organization—encompassing personal celebrations such as weddings, milestone birthdays, and anniversaries, as well as institutional gatherings like corporate summits, technical symposiums, and product launches—represents a multi-billion dollar global industry. In India alone, the wedding and events ecosystem is valued at over $50 billion annually. Despite its immense economic magnitude, the end-to-end planning workflow remains profoundly fragmented, manual, and emotionally taxing for hosts and corporate coordinators alike.</w:t>
      </w:r>
    </w:p>
    <w:p>
      <w:pPr>
        <w:spacing w:line="276" w:lineRule="auto" w:after="120"/>
        <w:jc w:val="both"/>
      </w:pPr>
      <w:r>
        <w:rPr>
          <w:rFonts w:ascii="Times New Roman" w:hAnsi="Times New Roman"/>
          <w:color w:val="1E293B"/>
          <w:sz w:val="24"/>
        </w:rPr>
        <w:t>The standard lifecycle of planning an event demands the harmonization of at least seven highly heterogeneous service categories: Venue Selection, Catering &amp; Food Services, Theme &amp; Stage Decor, Candid &amp; Traditional Photography, Audio-Visual Entertainment &amp; Emcees, Bridal/Groom Styling, and Transportation &amp; Logistics. Each domain operates with non-standardized pricing structures, fluctuating availability schedules, geographically constrained service perimeters, and complex cultural rituals. A typical organizer spends between 80 to 140 hours manually browsing scattered web directories, exchanging unstructured WhatsApp inquiries, negotiating non-transparent quotes, and maintaining error-prone spreadsheets. The lack of an intelligent, unified system leads to severe cognitive overload, misallocated financial budgets, and timing misalignments.</w:t>
      </w:r>
    </w:p>
    <w:p>
      <w:pPr>
        <w:keepNext/>
        <w:spacing w:before="280" w:after="120"/>
      </w:pPr>
      <w:r>
        <w:rPr>
          <w:rFonts w:ascii="Times New Roman" w:hAnsi="Times New Roman"/>
          <w:b/>
          <w:color w:val="1E40AF"/>
          <w:sz w:val="26"/>
        </w:rPr>
        <w:t>1.2 Need for Agentic AI</w:t>
      </w:r>
    </w:p>
    <w:p>
      <w:pPr>
        <w:spacing w:line="276" w:lineRule="auto" w:after="120"/>
        <w:jc w:val="both"/>
      </w:pPr>
      <w:r>
        <w:rPr>
          <w:rFonts w:ascii="Times New Roman" w:hAnsi="Times New Roman"/>
          <w:color w:val="1E293B"/>
          <w:sz w:val="24"/>
        </w:rPr>
        <w:t>While standard generative artificial intelligence systems (such as conversational chatbots powered by monolithic large language models) have demonstrated impressive fluency in text generation, they exhibit fundamental architectural shortcomings when applied to complex operational planning tasks:</w:t>
      </w:r>
    </w:p>
    <w:p>
      <w:pPr>
        <w:pStyle w:val="ListBullet"/>
        <w:spacing w:line="276" w:lineRule="auto" w:after="80"/>
        <w:jc w:val="both"/>
      </w:pPr>
      <w:r>
        <w:rPr>
          <w:rFonts w:ascii="Times New Roman" w:hAnsi="Times New Roman"/>
          <w:b/>
          <w:color w:val="1E293B"/>
          <w:sz w:val="24"/>
        </w:rPr>
        <w:t xml:space="preserve">Lack of Deterministic Budget Grounding: </w:t>
      </w:r>
      <w:r>
        <w:rPr>
          <w:rFonts w:ascii="Times New Roman" w:hAnsi="Times New Roman"/>
          <w:color w:val="1E293B"/>
          <w:sz w:val="24"/>
        </w:rPr>
        <w:t>Standard LLMs produce probabilistic text rather than deterministic numerical calculations. In financial event planning, estimating per-plate catering thresholds or weighted category distributions with a standard prompt often results in budget overshoots, unbalanced sums, or outright computational errors.</w:t>
      </w:r>
    </w:p>
    <w:p>
      <w:pPr>
        <w:pStyle w:val="ListBullet"/>
        <w:spacing w:line="276" w:lineRule="auto" w:after="80"/>
        <w:jc w:val="both"/>
      </w:pPr>
      <w:r>
        <w:rPr>
          <w:rFonts w:ascii="Times New Roman" w:hAnsi="Times New Roman"/>
          <w:b/>
          <w:color w:val="1E293B"/>
          <w:sz w:val="24"/>
        </w:rPr>
        <w:t xml:space="preserve">Information Stagnation &amp; Hallucination: </w:t>
      </w:r>
      <w:r>
        <w:rPr>
          <w:rFonts w:ascii="Times New Roman" w:hAnsi="Times New Roman"/>
          <w:color w:val="1E293B"/>
          <w:sz w:val="24"/>
        </w:rPr>
        <w:t>A single LLM cannot maintain up-to-date knowledge of local supplier phone numbers, current pricing, or real-time catalog changes. Without tool execution, models routinely hallucinate non-existent companies or outdated contact details.</w:t>
      </w:r>
    </w:p>
    <w:p>
      <w:pPr>
        <w:pStyle w:val="ListBullet"/>
        <w:spacing w:line="276" w:lineRule="auto" w:after="80"/>
        <w:jc w:val="both"/>
      </w:pPr>
      <w:r>
        <w:rPr>
          <w:rFonts w:ascii="Times New Roman" w:hAnsi="Times New Roman"/>
          <w:b/>
          <w:color w:val="1E293B"/>
          <w:sz w:val="24"/>
        </w:rPr>
        <w:t xml:space="preserve">Absence of Stateful Orchestration: </w:t>
      </w:r>
      <w:r>
        <w:rPr>
          <w:rFonts w:ascii="Times New Roman" w:hAnsi="Times New Roman"/>
          <w:color w:val="1E293B"/>
          <w:sz w:val="24"/>
        </w:rPr>
        <w:t>Complex event execution is not a single-turn question-answering task. It involves sequential dependencies (e.g., budget determines venue tier; venue determines decor style) and parallel actions (e.g., querying 7 vendor categories simultaneously).</w:t>
      </w:r>
    </w:p>
    <w:p>
      <w:pPr>
        <w:pStyle w:val="ListBullet"/>
        <w:spacing w:line="276" w:lineRule="auto" w:after="80"/>
        <w:jc w:val="both"/>
      </w:pPr>
      <w:r>
        <w:rPr>
          <w:rFonts w:ascii="Times New Roman" w:hAnsi="Times New Roman"/>
          <w:b/>
          <w:color w:val="1E293B"/>
          <w:sz w:val="24"/>
        </w:rPr>
        <w:t xml:space="preserve">Inability to Autonomously Self-Heal: </w:t>
      </w:r>
      <w:r>
        <w:rPr>
          <w:rFonts w:ascii="Times New Roman" w:hAnsi="Times New Roman"/>
          <w:color w:val="1E293B"/>
          <w:sz w:val="24"/>
        </w:rPr>
        <w:t>Events are highly vulnerable to real-world volatility (e.g., a booked caterer abruptly cancels 2 days prior to the event). Traditional AI cannot autonomously monitor external state, detect execution anomalies, and execute recovery actions.</w:t>
      </w:r>
    </w:p>
    <w:p>
      <w:pPr>
        <w:spacing w:line="276" w:lineRule="auto" w:after="120"/>
        <w:jc w:val="both"/>
      </w:pPr>
      <w:r>
        <w:rPr>
          <w:rFonts w:ascii="Times New Roman" w:hAnsi="Times New Roman"/>
          <w:color w:val="1E293B"/>
          <w:sz w:val="24"/>
        </w:rPr>
        <w:t>Agentic AI resolves these structural deficiencies by transitioning from passive text generation to autonomous, goal-directed agency. By decomposing the macro-problem into modular, role-specialized AI agents equipped with external tools (live web search, mathematical calculators, persistent memory stores, and state graphs), an agentic architecture achieves high reliability, verifiable reasoning trails, and real-time responsiveness.</w:t>
      </w:r>
    </w:p>
    <w:p>
      <w:pPr>
        <w:keepNext/>
        <w:spacing w:before="280" w:after="120"/>
      </w:pPr>
      <w:r>
        <w:rPr>
          <w:rFonts w:ascii="Times New Roman" w:hAnsi="Times New Roman"/>
          <w:b/>
          <w:color w:val="1E40AF"/>
          <w:sz w:val="26"/>
        </w:rPr>
        <w:t>1.3 Project Objectives</w:t>
      </w:r>
    </w:p>
    <w:p>
      <w:pPr>
        <w:spacing w:line="276" w:lineRule="auto" w:after="120"/>
        <w:jc w:val="both"/>
      </w:pPr>
      <w:r>
        <w:rPr>
          <w:rFonts w:ascii="Times New Roman" w:hAnsi="Times New Roman"/>
          <w:color w:val="1E293B"/>
          <w:sz w:val="24"/>
        </w:rPr>
        <w:t>The FlowGenie project was engineered to pioneer an autonomous, production-ready, multi-agent AI event orchestration platform. The core technical and academic objectives of this project include:</w:t>
      </w:r>
    </w:p>
    <w:p>
      <w:pPr>
        <w:pStyle w:val="ListBullet"/>
        <w:spacing w:line="276" w:lineRule="auto" w:after="80"/>
        <w:jc w:val="both"/>
      </w:pPr>
      <w:r>
        <w:rPr>
          <w:rFonts w:ascii="Times New Roman" w:hAnsi="Times New Roman"/>
          <w:b/>
          <w:color w:val="1E293B"/>
          <w:sz w:val="24"/>
        </w:rPr>
        <w:t xml:space="preserve">Objective 1 (Intelligent Intent Parsing): </w:t>
      </w:r>
      <w:r>
        <w:rPr>
          <w:rFonts w:ascii="Times New Roman" w:hAnsi="Times New Roman"/>
          <w:color w:val="1E293B"/>
          <w:sz w:val="24"/>
        </w:rPr>
        <w:t>To engineer a natural-language understanding agent that extracts complex event constraints (guest count, budget ceiling, location, date, cuisine, and cultural traditions) with automated heuristic fallbacks for high availability.</w:t>
      </w:r>
    </w:p>
    <w:p>
      <w:pPr>
        <w:pStyle w:val="ListBullet"/>
        <w:spacing w:line="276" w:lineRule="auto" w:after="80"/>
        <w:jc w:val="both"/>
      </w:pPr>
      <w:r>
        <w:rPr>
          <w:rFonts w:ascii="Times New Roman" w:hAnsi="Times New Roman"/>
          <w:b/>
          <w:color w:val="1E293B"/>
          <w:sz w:val="24"/>
        </w:rPr>
        <w:t xml:space="preserve">Objective 2 (Mathematical Budget Slicing): </w:t>
      </w:r>
      <w:r>
        <w:rPr>
          <w:rFonts w:ascii="Times New Roman" w:hAnsi="Times New Roman"/>
          <w:color w:val="1E293B"/>
          <w:sz w:val="24"/>
        </w:rPr>
        <w:t>To establish a deterministic financial allocation engine that mathematically partitions the host's budget across 7 service categories, enforcing mandatory catering per-plate floor feasibility (Budget_cater &gt;= Guests * Min_Meal_Price) and reserving contingency buffers.</w:t>
      </w:r>
    </w:p>
    <w:p>
      <w:pPr>
        <w:pStyle w:val="ListBullet"/>
        <w:spacing w:line="276" w:lineRule="auto" w:after="80"/>
        <w:jc w:val="both"/>
      </w:pPr>
      <w:r>
        <w:rPr>
          <w:rFonts w:ascii="Times New Roman" w:hAnsi="Times New Roman"/>
          <w:b/>
          <w:color w:val="1E293B"/>
          <w:sz w:val="24"/>
        </w:rPr>
        <w:t xml:space="preserve">Objective 3 (Parallel Multi-Category Discovery): </w:t>
      </w:r>
      <w:r>
        <w:rPr>
          <w:rFonts w:ascii="Times New Roman" w:hAnsi="Times New Roman"/>
          <w:color w:val="1E293B"/>
          <w:sz w:val="24"/>
        </w:rPr>
        <w:t>To implement concurrent asynchronous vendor discovery using Tavily Live Web Search and curated Indian supplier catalogs, ensuring 100% distinct company deduplication and verified contact metadata.</w:t>
      </w:r>
    </w:p>
    <w:p>
      <w:pPr>
        <w:pStyle w:val="ListBullet"/>
        <w:spacing w:line="276" w:lineRule="auto" w:after="80"/>
        <w:jc w:val="both"/>
      </w:pPr>
      <w:r>
        <w:rPr>
          <w:rFonts w:ascii="Times New Roman" w:hAnsi="Times New Roman"/>
          <w:b/>
          <w:color w:val="1E293B"/>
          <w:sz w:val="24"/>
        </w:rPr>
        <w:t xml:space="preserve">Objective 4 (Multi-Criteria Optimization): </w:t>
      </w:r>
      <w:r>
        <w:rPr>
          <w:rFonts w:ascii="Times New Roman" w:hAnsi="Times New Roman"/>
          <w:color w:val="1E293B"/>
          <w:sz w:val="24"/>
        </w:rPr>
        <w:t>To formulate a Pareto Multi-Criteria Decision Analysis (MCDA) ranking algorithm that balances user ratings (40%), price proximity to budget (35%), and thematic event fit (25%).</w:t>
      </w:r>
    </w:p>
    <w:p>
      <w:pPr>
        <w:pStyle w:val="ListBullet"/>
        <w:spacing w:line="276" w:lineRule="auto" w:after="80"/>
        <w:jc w:val="both"/>
      </w:pPr>
      <w:r>
        <w:rPr>
          <w:rFonts w:ascii="Times New Roman" w:hAnsi="Times New Roman"/>
          <w:b/>
          <w:color w:val="1E293B"/>
          <w:sz w:val="24"/>
        </w:rPr>
        <w:t xml:space="preserve">Objective 5 (Culturally Synchronized Scheduling): </w:t>
      </w:r>
      <w:r>
        <w:rPr>
          <w:rFonts w:ascii="Times New Roman" w:hAnsi="Times New Roman"/>
          <w:color w:val="1E293B"/>
          <w:sz w:val="24"/>
        </w:rPr>
        <w:t>To dynamically generate a minute-by-minute, culturally synchronized Run-of-Show timeline that aligns family rituals with specific meal service timing slots (Breakfast, Lunch, Dinner).</w:t>
      </w:r>
    </w:p>
    <w:p>
      <w:pPr>
        <w:pStyle w:val="ListBullet"/>
        <w:spacing w:line="276" w:lineRule="auto" w:after="80"/>
        <w:jc w:val="both"/>
      </w:pPr>
      <w:r>
        <w:rPr>
          <w:rFonts w:ascii="Times New Roman" w:hAnsi="Times New Roman"/>
          <w:b/>
          <w:color w:val="1E293B"/>
          <w:sz w:val="24"/>
        </w:rPr>
        <w:t xml:space="preserve">Objective 6 (Human-in-the-Loop Governance): </w:t>
      </w:r>
      <w:r>
        <w:rPr>
          <w:rFonts w:ascii="Times New Roman" w:hAnsi="Times New Roman"/>
          <w:color w:val="1E293B"/>
          <w:sz w:val="24"/>
        </w:rPr>
        <w:t>To enforce a strict Human-in-the-Loop (HIL) state checkpoint in LangGraph, ensuring no contractual commitments or final bookings occur without explicit human verification.</w:t>
      </w:r>
    </w:p>
    <w:p>
      <w:pPr>
        <w:pStyle w:val="ListBullet"/>
        <w:spacing w:line="276" w:lineRule="auto" w:after="80"/>
        <w:jc w:val="both"/>
      </w:pPr>
      <w:r>
        <w:rPr>
          <w:rFonts w:ascii="Times New Roman" w:hAnsi="Times New Roman"/>
          <w:b/>
          <w:color w:val="1E293B"/>
          <w:sz w:val="24"/>
        </w:rPr>
        <w:t xml:space="preserve">Objective 7 (Autonomous Contingency Recovery): </w:t>
      </w:r>
      <w:r>
        <w:rPr>
          <w:rFonts w:ascii="Times New Roman" w:hAnsi="Times New Roman"/>
          <w:color w:val="1E293B"/>
          <w:sz w:val="24"/>
        </w:rPr>
        <w:t>To build a background Sentinel Watchdog Agent that continuously monitors supplier statuses and executes autonomous, sub-second 1-click replacement replanning upon vendor cancellations.</w:t>
      </w:r>
    </w:p>
    <w:p>
      <w:pPr>
        <w:keepNext/>
        <w:spacing w:before="360" w:after="160"/>
      </w:pPr>
      <w:r>
        <w:rPr>
          <w:rFonts w:ascii="Times New Roman" w:hAnsi="Times New Roman"/>
          <w:b/>
          <w:color w:val="1E3A8A"/>
          <w:sz w:val="30"/>
        </w:rPr>
        <w:t>2. PROBLEM STATEMENT AND BUSINESS CASE</w:t>
      </w:r>
    </w:p>
    <w:p>
      <w:pPr>
        <w:keepNext/>
        <w:spacing w:before="280" w:after="120"/>
      </w:pPr>
      <w:r>
        <w:rPr>
          <w:rFonts w:ascii="Times New Roman" w:hAnsi="Times New Roman"/>
          <w:b/>
          <w:color w:val="1E40AF"/>
          <w:sz w:val="26"/>
        </w:rPr>
        <w:t>2.1 Problem Definition</w:t>
      </w:r>
    </w:p>
    <w:p>
      <w:pPr>
        <w:spacing w:line="276" w:lineRule="auto" w:after="120"/>
        <w:jc w:val="both"/>
      </w:pPr>
      <w:r>
        <w:rPr>
          <w:rFonts w:ascii="Times New Roman" w:hAnsi="Times New Roman"/>
          <w:color w:val="1E293B"/>
          <w:sz w:val="24"/>
        </w:rPr>
        <w:t>The fundamental problem addressed by FlowGenie is the absence of an integrated, mathematically grounded, and self-healing intelligence layer for end-to-end event planning and contingency management. Currently, event hosts face four catastrophic failure modes:</w:t>
      </w:r>
    </w:p>
    <w:p>
      <w:pPr>
        <w:spacing w:line="276" w:lineRule="auto" w:after="120"/>
        <w:jc w:val="both"/>
      </w:pPr>
      <w:r>
        <w:rPr>
          <w:rFonts w:ascii="Times New Roman" w:hAnsi="Times New Roman"/>
          <w:color w:val="1E293B"/>
          <w:sz w:val="24"/>
        </w:rPr>
        <w:t>1. High Dimensional Constraint Solving: Planning an event requires simultaneously satisfying multiple inter-dependent variables: guest count, total budget ceiling, timing slot, cuisine type, geographical location, and date constraints. Humans struggle to optimize 7-dimensional trade-offs, leading to severe budget misallocations where 60% of funds are consumed by the venue, leaving inadequate capital for food or photography.</w:t>
      </w:r>
    </w:p>
    <w:p>
      <w:pPr>
        <w:spacing w:line="276" w:lineRule="auto" w:after="120"/>
        <w:jc w:val="both"/>
      </w:pPr>
      <w:r>
        <w:rPr>
          <w:rFonts w:ascii="Times New Roman" w:hAnsi="Times New Roman"/>
          <w:color w:val="1E293B"/>
          <w:sz w:val="24"/>
        </w:rPr>
        <w:t>2. Information Asymmetry and Disjointed Sourcing: Directory platforms function as advertising boards rather than decision engines. Users must manually filter through repetitive listings, clickbait titles, and unverified phone numbers without knowing whether the vendor fits their exact budget slice.</w:t>
      </w:r>
    </w:p>
    <w:p>
      <w:pPr>
        <w:spacing w:line="276" w:lineRule="auto" w:after="120"/>
        <w:jc w:val="both"/>
      </w:pPr>
      <w:r>
        <w:rPr>
          <w:rFonts w:ascii="Times New Roman" w:hAnsi="Times New Roman"/>
          <w:color w:val="1E293B"/>
          <w:sz w:val="24"/>
        </w:rPr>
        <w:t>3. Temporal Disconnect in Execution: Day-of-event timelines are rarely synchronized with vendor arrival times. For example, in South Indian weddings, the auspicious Muhurtham ritual (e.g., 09:00 AM) requires Breakfast service at 08:00 AM and Stage Decor completion by 06:30 AM. Existing software does not dynamically link cultural milestone timelines with vendor operational contracts.</w:t>
      </w:r>
    </w:p>
    <w:p>
      <w:pPr>
        <w:spacing w:line="276" w:lineRule="auto" w:after="120"/>
        <w:jc w:val="both"/>
      </w:pPr>
      <w:r>
        <w:rPr>
          <w:rFonts w:ascii="Times New Roman" w:hAnsi="Times New Roman"/>
          <w:color w:val="1E293B"/>
          <w:sz w:val="24"/>
        </w:rPr>
        <w:t>4. Vendor Cancellation Vulnerability: The event industry experiences a 12% to 18% last-minute cancellation or default rate due to equipment breakdown, overbooking, or transport delays. When a vendor defaults 24 hours prior to an event, the host enters a state of panic, typically overpaying by 200% to 300% for an emergency replacement.</w:t>
      </w:r>
    </w:p>
    <w:p>
      <w:pPr>
        <w:keepNext/>
        <w:spacing w:before="280" w:after="120"/>
      </w:pPr>
      <w:r>
        <w:rPr>
          <w:rFonts w:ascii="Times New Roman" w:hAnsi="Times New Roman"/>
          <w:b/>
          <w:color w:val="1E40AF"/>
          <w:sz w:val="26"/>
        </w:rPr>
        <w:t>2.2 Business and Real-World Context</w:t>
      </w:r>
    </w:p>
    <w:p>
      <w:pPr>
        <w:spacing w:line="276" w:lineRule="auto" w:after="120"/>
        <w:jc w:val="both"/>
      </w:pPr>
      <w:r>
        <w:rPr>
          <w:rFonts w:ascii="Times New Roman" w:hAnsi="Times New Roman"/>
          <w:color w:val="1E293B"/>
          <w:sz w:val="24"/>
        </w:rPr>
        <w:t>From an enterprise and market perspective, event management software has traditionally been divided into two inadequate categories: (a) Static task managers (e.g., Trello, Asana, Notion templates) which require 100% manual data entry and lack domain intelligence; and (b) High-end event management agencies whose human commissions range from 15% to 25% of the total event budget, placing them out of reach for middle-class families and small-to-medium enterprises (SMEs).</w:t>
      </w:r>
    </w:p>
    <w:p>
      <w:pPr>
        <w:spacing w:line="276" w:lineRule="auto" w:after="120"/>
        <w:jc w:val="both"/>
      </w:pPr>
      <w:r>
        <w:rPr>
          <w:rFonts w:ascii="Times New Roman" w:hAnsi="Times New Roman"/>
          <w:color w:val="1E293B"/>
          <w:sz w:val="24"/>
        </w:rPr>
        <w:t>FlowGenie democratizes professional-grade event planning by providing an AI-driven digital coordinator that operates at zero marginal cost per planning iteration. By automating requirement analysis, market discovery, Pareto ranking, and contingency planning, FlowGenie reduces planning time from 120 hours to under 30 seconds while eliminating financial overruns.</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3120"/>
        <w:gridCol w:w="3120"/>
        <w:gridCol w:w="3120"/>
      </w:tblGrid>
      <w:tr>
        <w:tc>
          <w:tcPr>
            <w:tcW w:type="dxa" w:w="2160"/>
            <w:shd w:fill="1E3A8A"/>
            <w:tcMar>
              <w:top w:w="120" w:type="dxa"/>
              <w:bottom w:w="120" w:type="dxa"/>
              <w:left w:w="150" w:type="dxa"/>
              <w:right w:w="150" w:type="dxa"/>
            </w:tcMar>
          </w:tcPr>
          <w:p>
            <w:pPr>
              <w:jc w:val="center"/>
            </w:pPr>
            <w:r>
              <w:rPr>
                <w:rFonts w:ascii="Times New Roman" w:hAnsi="Times New Roman"/>
                <w:b/>
                <w:color w:val="FFFFFF"/>
                <w:sz w:val="21"/>
              </w:rPr>
              <w:t>Planning Dimension</w:t>
            </w:r>
          </w:p>
        </w:tc>
        <w:tc>
          <w:tcPr>
            <w:tcW w:type="dxa" w:w="3600"/>
            <w:shd w:fill="1E3A8A"/>
            <w:tcMar>
              <w:top w:w="120" w:type="dxa"/>
              <w:bottom w:w="120" w:type="dxa"/>
              <w:left w:w="150" w:type="dxa"/>
              <w:right w:w="150" w:type="dxa"/>
            </w:tcMar>
          </w:tcPr>
          <w:p>
            <w:pPr>
              <w:jc w:val="center"/>
            </w:pPr>
            <w:r>
              <w:rPr>
                <w:rFonts w:ascii="Times New Roman" w:hAnsi="Times New Roman"/>
                <w:b/>
                <w:color w:val="FFFFFF"/>
                <w:sz w:val="21"/>
              </w:rPr>
              <w:t>Traditional Manual / Agency Approach</w:t>
            </w:r>
          </w:p>
        </w:tc>
        <w:tc>
          <w:tcPr>
            <w:tcW w:type="dxa" w:w="3600"/>
            <w:shd w:fill="1E3A8A"/>
            <w:tcMar>
              <w:top w:w="120" w:type="dxa"/>
              <w:bottom w:w="120" w:type="dxa"/>
              <w:left w:w="150" w:type="dxa"/>
              <w:right w:w="150" w:type="dxa"/>
            </w:tcMar>
          </w:tcPr>
          <w:p>
            <w:pPr>
              <w:jc w:val="center"/>
            </w:pPr>
            <w:r>
              <w:rPr>
                <w:rFonts w:ascii="Times New Roman" w:hAnsi="Times New Roman"/>
                <w:b/>
                <w:color w:val="FFFFFF"/>
                <w:sz w:val="21"/>
              </w:rPr>
              <w:t>FlowGenie Autonomous Agentic Approach</w:t>
            </w:r>
          </w:p>
        </w:tc>
      </w:tr>
      <w:tr>
        <w:tc>
          <w:tcPr>
            <w:tcW w:type="dxa" w:w="2160"/>
            <w:shd w:fill="FFFFFF"/>
            <w:tcMar>
              <w:top w:w="100" w:type="dxa"/>
              <w:bottom w:w="100" w:type="dxa"/>
              <w:left w:w="150" w:type="dxa"/>
              <w:right w:w="150" w:type="dxa"/>
            </w:tcMar>
          </w:tcPr>
          <w:p>
            <w:pPr>
              <w:jc w:val="left"/>
            </w:pPr>
            <w:r>
              <w:rPr>
                <w:rFonts w:ascii="Times New Roman" w:hAnsi="Times New Roman"/>
                <w:color w:val="1E293B"/>
                <w:sz w:val="20"/>
              </w:rPr>
              <w:t>Planning Duration</w:t>
            </w:r>
          </w:p>
        </w:tc>
        <w:tc>
          <w:tcPr>
            <w:tcW w:type="dxa" w:w="3600"/>
            <w:shd w:fill="FFFFFF"/>
            <w:tcMar>
              <w:top w:w="100" w:type="dxa"/>
              <w:bottom w:w="100" w:type="dxa"/>
              <w:left w:w="150" w:type="dxa"/>
              <w:right w:w="150" w:type="dxa"/>
            </w:tcMar>
          </w:tcPr>
          <w:p>
            <w:pPr>
              <w:jc w:val="both"/>
            </w:pPr>
            <w:r>
              <w:rPr>
                <w:rFonts w:ascii="Times New Roman" w:hAnsi="Times New Roman"/>
                <w:color w:val="1E293B"/>
                <w:sz w:val="20"/>
              </w:rPr>
              <w:t>2 to 4 weeks of manual research and phone calls</w:t>
            </w:r>
          </w:p>
        </w:tc>
        <w:tc>
          <w:tcPr>
            <w:tcW w:type="dxa" w:w="3600"/>
            <w:shd w:fill="FFFFFF"/>
            <w:tcMar>
              <w:top w:w="100" w:type="dxa"/>
              <w:bottom w:w="100" w:type="dxa"/>
              <w:left w:w="150" w:type="dxa"/>
              <w:right w:w="150" w:type="dxa"/>
            </w:tcMar>
          </w:tcPr>
          <w:p>
            <w:pPr>
              <w:jc w:val="both"/>
            </w:pPr>
            <w:r>
              <w:rPr>
                <w:rFonts w:ascii="Times New Roman" w:hAnsi="Times New Roman"/>
                <w:color w:val="1E293B"/>
                <w:sz w:val="20"/>
              </w:rPr>
              <w:t>Under 30 seconds for complete plan generation</w:t>
            </w:r>
          </w:p>
        </w:tc>
      </w:tr>
      <w:tr>
        <w:tc>
          <w:tcPr>
            <w:tcW w:type="dxa" w:w="2160"/>
            <w:shd w:fill="F8FAFC"/>
            <w:tcMar>
              <w:top w:w="100" w:type="dxa"/>
              <w:bottom w:w="100" w:type="dxa"/>
              <w:left w:w="150" w:type="dxa"/>
              <w:right w:w="150" w:type="dxa"/>
            </w:tcMar>
          </w:tcPr>
          <w:p>
            <w:pPr>
              <w:jc w:val="left"/>
            </w:pPr>
            <w:r>
              <w:rPr>
                <w:rFonts w:ascii="Times New Roman" w:hAnsi="Times New Roman"/>
                <w:color w:val="1E293B"/>
                <w:sz w:val="20"/>
              </w:rPr>
              <w:t>Budget Accuracy</w:t>
            </w:r>
          </w:p>
        </w:tc>
        <w:tc>
          <w:tcPr>
            <w:tcW w:type="dxa" w:w="3600"/>
            <w:shd w:fill="F8FAFC"/>
            <w:tcMar>
              <w:top w:w="100" w:type="dxa"/>
              <w:bottom w:w="100" w:type="dxa"/>
              <w:left w:w="150" w:type="dxa"/>
              <w:right w:w="150" w:type="dxa"/>
            </w:tcMar>
          </w:tcPr>
          <w:p>
            <w:pPr>
              <w:jc w:val="both"/>
            </w:pPr>
            <w:r>
              <w:rPr>
                <w:rFonts w:ascii="Times New Roman" w:hAnsi="Times New Roman"/>
                <w:color w:val="1E293B"/>
                <w:sz w:val="20"/>
              </w:rPr>
              <w:t>Frequent 20-35% budget overruns</w:t>
            </w:r>
          </w:p>
        </w:tc>
        <w:tc>
          <w:tcPr>
            <w:tcW w:type="dxa" w:w="3600"/>
            <w:shd w:fill="F8FAFC"/>
            <w:tcMar>
              <w:top w:w="100" w:type="dxa"/>
              <w:bottom w:w="100" w:type="dxa"/>
              <w:left w:w="150" w:type="dxa"/>
              <w:right w:w="150" w:type="dxa"/>
            </w:tcMar>
          </w:tcPr>
          <w:p>
            <w:pPr>
              <w:jc w:val="both"/>
            </w:pPr>
            <w:r>
              <w:rPr>
                <w:rFonts w:ascii="Times New Roman" w:hAnsi="Times New Roman"/>
                <w:color w:val="1E293B"/>
                <w:sz w:val="20"/>
              </w:rPr>
              <w:t>100% mathematical constraint compliance</w:t>
            </w:r>
          </w:p>
        </w:tc>
      </w:tr>
      <w:tr>
        <w:tc>
          <w:tcPr>
            <w:tcW w:type="dxa" w:w="2160"/>
            <w:shd w:fill="FFFFFF"/>
            <w:tcMar>
              <w:top w:w="100" w:type="dxa"/>
              <w:bottom w:w="100" w:type="dxa"/>
              <w:left w:w="150" w:type="dxa"/>
              <w:right w:w="150" w:type="dxa"/>
            </w:tcMar>
          </w:tcPr>
          <w:p>
            <w:pPr>
              <w:jc w:val="left"/>
            </w:pPr>
            <w:r>
              <w:rPr>
                <w:rFonts w:ascii="Times New Roman" w:hAnsi="Times New Roman"/>
                <w:color w:val="1E293B"/>
                <w:sz w:val="20"/>
              </w:rPr>
              <w:t>Vendor Sourcing</w:t>
            </w:r>
          </w:p>
        </w:tc>
        <w:tc>
          <w:tcPr>
            <w:tcW w:type="dxa" w:w="3600"/>
            <w:shd w:fill="FFFFFF"/>
            <w:tcMar>
              <w:top w:w="100" w:type="dxa"/>
              <w:bottom w:w="100" w:type="dxa"/>
              <w:left w:w="150" w:type="dxa"/>
              <w:right w:w="150" w:type="dxa"/>
            </w:tcMar>
          </w:tcPr>
          <w:p>
            <w:pPr>
              <w:jc w:val="both"/>
            </w:pPr>
            <w:r>
              <w:rPr>
                <w:rFonts w:ascii="Times New Roman" w:hAnsi="Times New Roman"/>
                <w:color w:val="1E293B"/>
                <w:sz w:val="20"/>
              </w:rPr>
              <w:t>Manual browsing across disconnected directories</w:t>
            </w:r>
          </w:p>
        </w:tc>
        <w:tc>
          <w:tcPr>
            <w:tcW w:type="dxa" w:w="3600"/>
            <w:shd w:fill="FFFFFF"/>
            <w:tcMar>
              <w:top w:w="100" w:type="dxa"/>
              <w:bottom w:w="100" w:type="dxa"/>
              <w:left w:w="150" w:type="dxa"/>
              <w:right w:w="150" w:type="dxa"/>
            </w:tcMar>
          </w:tcPr>
          <w:p>
            <w:pPr>
              <w:jc w:val="both"/>
            </w:pPr>
            <w:r>
              <w:rPr>
                <w:rFonts w:ascii="Times New Roman" w:hAnsi="Times New Roman"/>
                <w:color w:val="1E293B"/>
                <w:sz w:val="20"/>
              </w:rPr>
              <w:t>Parallel asynchronous live web search + curated catalogs</w:t>
            </w:r>
          </w:p>
        </w:tc>
      </w:tr>
      <w:tr>
        <w:tc>
          <w:tcPr>
            <w:tcW w:type="dxa" w:w="2160"/>
            <w:shd w:fill="F8FAFC"/>
            <w:tcMar>
              <w:top w:w="100" w:type="dxa"/>
              <w:bottom w:w="100" w:type="dxa"/>
              <w:left w:w="150" w:type="dxa"/>
              <w:right w:w="150" w:type="dxa"/>
            </w:tcMar>
          </w:tcPr>
          <w:p>
            <w:pPr>
              <w:jc w:val="left"/>
            </w:pPr>
            <w:r>
              <w:rPr>
                <w:rFonts w:ascii="Times New Roman" w:hAnsi="Times New Roman"/>
                <w:color w:val="1E293B"/>
                <w:sz w:val="20"/>
              </w:rPr>
              <w:t>Schedule Coordination</w:t>
            </w:r>
          </w:p>
        </w:tc>
        <w:tc>
          <w:tcPr>
            <w:tcW w:type="dxa" w:w="3600"/>
            <w:shd w:fill="F8FAFC"/>
            <w:tcMar>
              <w:top w:w="100" w:type="dxa"/>
              <w:bottom w:w="100" w:type="dxa"/>
              <w:left w:w="150" w:type="dxa"/>
              <w:right w:w="150" w:type="dxa"/>
            </w:tcMar>
          </w:tcPr>
          <w:p>
            <w:pPr>
              <w:jc w:val="both"/>
            </w:pPr>
            <w:r>
              <w:rPr>
                <w:rFonts w:ascii="Times New Roman" w:hAnsi="Times New Roman"/>
                <w:color w:val="1E293B"/>
                <w:sz w:val="20"/>
              </w:rPr>
              <w:t>Static word documents or mental notes</w:t>
            </w:r>
          </w:p>
        </w:tc>
        <w:tc>
          <w:tcPr>
            <w:tcW w:type="dxa" w:w="3600"/>
            <w:shd w:fill="F8FAFC"/>
            <w:tcMar>
              <w:top w:w="100" w:type="dxa"/>
              <w:bottom w:w="100" w:type="dxa"/>
              <w:left w:w="150" w:type="dxa"/>
              <w:right w:w="150" w:type="dxa"/>
            </w:tcMar>
          </w:tcPr>
          <w:p>
            <w:pPr>
              <w:jc w:val="both"/>
            </w:pPr>
            <w:r>
              <w:rPr>
                <w:rFonts w:ascii="Times New Roman" w:hAnsi="Times New Roman"/>
                <w:color w:val="1E293B"/>
                <w:sz w:val="20"/>
              </w:rPr>
              <w:t>Culturally synchronized minute-by-minute Run-of-Show</w:t>
            </w:r>
          </w:p>
        </w:tc>
      </w:tr>
      <w:tr>
        <w:tc>
          <w:tcPr>
            <w:tcW w:type="dxa" w:w="2160"/>
            <w:shd w:fill="FFFFFF"/>
            <w:tcMar>
              <w:top w:w="100" w:type="dxa"/>
              <w:bottom w:w="100" w:type="dxa"/>
              <w:left w:w="150" w:type="dxa"/>
              <w:right w:w="150" w:type="dxa"/>
            </w:tcMar>
          </w:tcPr>
          <w:p>
            <w:pPr>
              <w:jc w:val="left"/>
            </w:pPr>
            <w:r>
              <w:rPr>
                <w:rFonts w:ascii="Times New Roman" w:hAnsi="Times New Roman"/>
                <w:color w:val="1E293B"/>
                <w:sz w:val="20"/>
              </w:rPr>
              <w:t>Cancellation Handling</w:t>
            </w:r>
          </w:p>
        </w:tc>
        <w:tc>
          <w:tcPr>
            <w:tcW w:type="dxa" w:w="3600"/>
            <w:shd w:fill="FFFFFF"/>
            <w:tcMar>
              <w:top w:w="100" w:type="dxa"/>
              <w:bottom w:w="100" w:type="dxa"/>
              <w:left w:w="150" w:type="dxa"/>
              <w:right w:w="150" w:type="dxa"/>
            </w:tcMar>
          </w:tcPr>
          <w:p>
            <w:pPr>
              <w:jc w:val="both"/>
            </w:pPr>
            <w:r>
              <w:rPr>
                <w:rFonts w:ascii="Times New Roman" w:hAnsi="Times New Roman"/>
                <w:color w:val="1E293B"/>
                <w:sz w:val="20"/>
              </w:rPr>
              <w:t>Panic state, manual frantic calls, price gouging</w:t>
            </w:r>
          </w:p>
        </w:tc>
        <w:tc>
          <w:tcPr>
            <w:tcW w:type="dxa" w:w="3600"/>
            <w:shd w:fill="FFFFFF"/>
            <w:tcMar>
              <w:top w:w="100" w:type="dxa"/>
              <w:bottom w:w="100" w:type="dxa"/>
              <w:left w:w="150" w:type="dxa"/>
              <w:right w:w="150" w:type="dxa"/>
            </w:tcMar>
          </w:tcPr>
          <w:p>
            <w:pPr>
              <w:jc w:val="both"/>
            </w:pPr>
            <w:r>
              <w:rPr>
                <w:rFonts w:ascii="Times New Roman" w:hAnsi="Times New Roman"/>
                <w:color w:val="1E293B"/>
                <w:sz w:val="20"/>
              </w:rPr>
              <w:t>Autonomous sub-second Sentinel replanning &amp; 1-click replacement</w:t>
            </w:r>
          </w:p>
        </w:tc>
      </w:tr>
      <w:tr>
        <w:tc>
          <w:tcPr>
            <w:tcW w:type="dxa" w:w="2160"/>
            <w:shd w:fill="F8FAFC"/>
            <w:tcMar>
              <w:top w:w="100" w:type="dxa"/>
              <w:bottom w:w="100" w:type="dxa"/>
              <w:left w:w="150" w:type="dxa"/>
              <w:right w:w="150" w:type="dxa"/>
            </w:tcMar>
          </w:tcPr>
          <w:p>
            <w:pPr>
              <w:jc w:val="left"/>
            </w:pPr>
            <w:r>
              <w:rPr>
                <w:rFonts w:ascii="Times New Roman" w:hAnsi="Times New Roman"/>
                <w:color w:val="1E293B"/>
                <w:sz w:val="20"/>
              </w:rPr>
              <w:t>Direct RFP Dispatch</w:t>
            </w:r>
          </w:p>
        </w:tc>
        <w:tc>
          <w:tcPr>
            <w:tcW w:type="dxa" w:w="3600"/>
            <w:shd w:fill="F8FAFC"/>
            <w:tcMar>
              <w:top w:w="100" w:type="dxa"/>
              <w:bottom w:w="100" w:type="dxa"/>
              <w:left w:w="150" w:type="dxa"/>
              <w:right w:w="150" w:type="dxa"/>
            </w:tcMar>
          </w:tcPr>
          <w:p>
            <w:pPr>
              <w:jc w:val="both"/>
            </w:pPr>
            <w:r>
              <w:rPr>
                <w:rFonts w:ascii="Times New Roman" w:hAnsi="Times New Roman"/>
                <w:color w:val="1E293B"/>
                <w:sz w:val="20"/>
              </w:rPr>
              <w:t>Manual copy-pasting of requirements into WhatsApp</w:t>
            </w:r>
          </w:p>
        </w:tc>
        <w:tc>
          <w:tcPr>
            <w:tcW w:type="dxa" w:w="3600"/>
            <w:shd w:fill="F8FAFC"/>
            <w:tcMar>
              <w:top w:w="100" w:type="dxa"/>
              <w:bottom w:w="100" w:type="dxa"/>
              <w:left w:w="150" w:type="dxa"/>
              <w:right w:w="150" w:type="dxa"/>
            </w:tcMar>
          </w:tcPr>
          <w:p>
            <w:pPr>
              <w:jc w:val="both"/>
            </w:pPr>
            <w:r>
              <w:rPr>
                <w:rFonts w:ascii="Times New Roman" w:hAnsi="Times New Roman"/>
                <w:color w:val="1E293B"/>
                <w:sz w:val="20"/>
              </w:rPr>
              <w:t>Instant 1-click pre-filled WhatsApp (wa.me) &amp; email links</w:t>
            </w:r>
          </w:p>
        </w:tc>
      </w:tr>
    </w:tbl>
    <w:p>
      <w:pPr>
        <w:spacing w:after="160"/>
      </w:pPr>
    </w:p>
    <w:p>
      <w:pPr>
        <w:keepNext/>
        <w:spacing w:before="360" w:after="160"/>
      </w:pPr>
      <w:r>
        <w:rPr>
          <w:rFonts w:ascii="Times New Roman" w:hAnsi="Times New Roman"/>
          <w:b/>
          <w:color w:val="1E3A8A"/>
          <w:sz w:val="30"/>
        </w:rPr>
        <w:t>3. USER AND STAKEHOLDER ANALYSIS</w:t>
      </w:r>
    </w:p>
    <w:p>
      <w:pPr>
        <w:keepNext/>
        <w:spacing w:before="280" w:after="120"/>
      </w:pPr>
      <w:r>
        <w:rPr>
          <w:rFonts w:ascii="Times New Roman" w:hAnsi="Times New Roman"/>
          <w:b/>
          <w:color w:val="1E40AF"/>
          <w:sz w:val="26"/>
        </w:rPr>
        <w:t>3.1 Target Users</w:t>
      </w:r>
    </w:p>
    <w:p>
      <w:pPr>
        <w:spacing w:line="276" w:lineRule="auto" w:after="120"/>
        <w:jc w:val="both"/>
      </w:pPr>
      <w:r>
        <w:rPr>
          <w:rFonts w:ascii="Times New Roman" w:hAnsi="Times New Roman"/>
          <w:color w:val="1E293B"/>
          <w:sz w:val="24"/>
        </w:rPr>
        <w:t>The FlowGenie platform is architected to serve three distinct primary user archetypes:</w:t>
      </w:r>
    </w:p>
    <w:p>
      <w:pPr>
        <w:pStyle w:val="ListBullet"/>
        <w:spacing w:line="276" w:lineRule="auto" w:after="80"/>
        <w:jc w:val="both"/>
      </w:pPr>
      <w:r>
        <w:rPr>
          <w:rFonts w:ascii="Times New Roman" w:hAnsi="Times New Roman"/>
          <w:b/>
          <w:color w:val="1E293B"/>
          <w:sz w:val="24"/>
        </w:rPr>
        <w:t xml:space="preserve">1. Individual &amp; Family Event Hosts: </w:t>
      </w:r>
      <w:r>
        <w:rPr>
          <w:rFonts w:ascii="Times New Roman" w:hAnsi="Times New Roman"/>
          <w:color w:val="1E293B"/>
          <w:sz w:val="24"/>
        </w:rPr>
        <w:t>Individuals organizing personal milestones such as weddings, milestone birthdays, naming ceremonies, and housewarmings. They require deep cultural nuance (e.g., South Indian Muhurtham, North Indian Sangeet, Christian Vows), strict budget guardrails, and zero technical complexity.</w:t>
      </w:r>
    </w:p>
    <w:p>
      <w:pPr>
        <w:pStyle w:val="ListBullet"/>
        <w:spacing w:line="276" w:lineRule="auto" w:after="80"/>
        <w:jc w:val="both"/>
      </w:pPr>
      <w:r>
        <w:rPr>
          <w:rFonts w:ascii="Times New Roman" w:hAnsi="Times New Roman"/>
          <w:b/>
          <w:color w:val="1E293B"/>
          <w:sz w:val="24"/>
        </w:rPr>
        <w:t xml:space="preserve">2. Corporate Event Coordinators &amp; SMEs: </w:t>
      </w:r>
      <w:r>
        <w:rPr>
          <w:rFonts w:ascii="Times New Roman" w:hAnsi="Times New Roman"/>
          <w:color w:val="1E293B"/>
          <w:sz w:val="24"/>
        </w:rPr>
        <w:t>Human Resource managers and administrative leads tasked with arranging quarterly town halls, annual galas, leadership retreats, and technical product launches. They require formal RFP generation, invoice auditability, and rigorous scheduling.</w:t>
      </w:r>
    </w:p>
    <w:p>
      <w:pPr>
        <w:pStyle w:val="ListBullet"/>
        <w:spacing w:line="276" w:lineRule="auto" w:after="80"/>
        <w:jc w:val="both"/>
      </w:pPr>
      <w:r>
        <w:rPr>
          <w:rFonts w:ascii="Times New Roman" w:hAnsi="Times New Roman"/>
          <w:b/>
          <w:color w:val="1E293B"/>
          <w:sz w:val="24"/>
        </w:rPr>
        <w:t xml:space="preserve">3. Professional Wedding &amp; Event Planners: </w:t>
      </w:r>
      <w:r>
        <w:rPr>
          <w:rFonts w:ascii="Times New Roman" w:hAnsi="Times New Roman"/>
          <w:color w:val="1E293B"/>
          <w:sz w:val="24"/>
        </w:rPr>
        <w:t>Freelance event planners managing 10 to 20 concurrent client events who use FlowGenie as an AI co-pilot to instantly generate client proposals, optimize profit margins, and manage real-time supplier contingencies.</w:t>
      </w:r>
    </w:p>
    <w:p>
      <w:pPr>
        <w:keepNext/>
        <w:spacing w:before="280" w:after="120"/>
      </w:pPr>
      <w:r>
        <w:rPr>
          <w:rFonts w:ascii="Times New Roman" w:hAnsi="Times New Roman"/>
          <w:b/>
          <w:color w:val="1E40AF"/>
          <w:sz w:val="26"/>
        </w:rPr>
        <w:t>3.2 Stakeholder Identification</w:t>
      </w:r>
    </w:p>
    <w:p>
      <w:pPr>
        <w:spacing w:line="276" w:lineRule="auto" w:after="120"/>
        <w:jc w:val="both"/>
      </w:pPr>
      <w:r>
        <w:rPr>
          <w:rFonts w:ascii="Times New Roman" w:hAnsi="Times New Roman"/>
          <w:color w:val="1E293B"/>
          <w:sz w:val="24"/>
        </w:rPr>
        <w:t>A comprehensive stakeholder ecosystem surrounds any event planning transaction. FlowGenie maps these stakeholders to specific architectural capabilities:</w:t>
      </w:r>
    </w:p>
    <w:p>
      <w:pPr>
        <w:pStyle w:val="ListBullet"/>
        <w:spacing w:line="276" w:lineRule="auto" w:after="80"/>
        <w:jc w:val="both"/>
      </w:pPr>
      <w:r>
        <w:rPr>
          <w:rFonts w:ascii="Times New Roman" w:hAnsi="Times New Roman"/>
          <w:b/>
          <w:color w:val="1E293B"/>
          <w:sz w:val="24"/>
        </w:rPr>
        <w:t xml:space="preserve">Primary Stakeholders: </w:t>
      </w:r>
      <w:r>
        <w:rPr>
          <w:rFonts w:ascii="Times New Roman" w:hAnsi="Times New Roman"/>
          <w:color w:val="1E293B"/>
          <w:sz w:val="24"/>
        </w:rPr>
        <w:t>Event Organizers / Hosts: Seek peace of mind, budget safety, transparency, and rapid execution.</w:t>
      </w:r>
    </w:p>
    <w:p>
      <w:pPr>
        <w:pStyle w:val="ListBullet"/>
        <w:spacing w:line="276" w:lineRule="auto" w:after="80"/>
        <w:jc w:val="both"/>
      </w:pPr>
      <w:r>
        <w:rPr>
          <w:rFonts w:ascii="Times New Roman" w:hAnsi="Times New Roman"/>
          <w:b/>
          <w:color w:val="1E293B"/>
          <w:sz w:val="24"/>
        </w:rPr>
        <w:t xml:space="preserve">Secondary Stakeholders: </w:t>
      </w:r>
      <w:r>
        <w:rPr>
          <w:rFonts w:ascii="Times New Roman" w:hAnsi="Times New Roman"/>
          <w:color w:val="1E293B"/>
          <w:sz w:val="24"/>
        </w:rPr>
        <w:t>Service Vendors &amp; Suppliers: Caterers, decorators, photographers, and venue owners who receive well-structured, qualified RFPs with clear guest counts, locations, and timings.</w:t>
      </w:r>
    </w:p>
    <w:p>
      <w:pPr>
        <w:pStyle w:val="ListBullet"/>
        <w:spacing w:line="276" w:lineRule="auto" w:after="80"/>
        <w:jc w:val="both"/>
      </w:pPr>
      <w:r>
        <w:rPr>
          <w:rFonts w:ascii="Times New Roman" w:hAnsi="Times New Roman"/>
          <w:b/>
          <w:color w:val="1E293B"/>
          <w:sz w:val="24"/>
        </w:rPr>
        <w:t xml:space="preserve">Tertiary Stakeholders: </w:t>
      </w:r>
      <w:r>
        <w:rPr>
          <w:rFonts w:ascii="Times New Roman" w:hAnsi="Times New Roman"/>
          <w:color w:val="1E293B"/>
          <w:sz w:val="24"/>
        </w:rPr>
        <w:t>Invited Guests: Benefit from seamless timing, appropriate cuisine, well-coordinated seating, and punctual schedule execution.</w:t>
      </w:r>
    </w:p>
    <w:p>
      <w:pPr>
        <w:pStyle w:val="ListBullet"/>
        <w:spacing w:line="276" w:lineRule="auto" w:after="80"/>
        <w:jc w:val="both"/>
      </w:pPr>
      <w:r>
        <w:rPr>
          <w:rFonts w:ascii="Times New Roman" w:hAnsi="Times New Roman"/>
          <w:b/>
          <w:color w:val="1E293B"/>
          <w:sz w:val="24"/>
        </w:rPr>
        <w:t xml:space="preserve">System Governance: </w:t>
      </w:r>
      <w:r>
        <w:rPr>
          <w:rFonts w:ascii="Times New Roman" w:hAnsi="Times New Roman"/>
          <w:color w:val="1E293B"/>
          <w:sz w:val="24"/>
        </w:rPr>
        <w:t>Platform Administrators &amp; Developers: Maintain system uptime, monitor Groq/Tavily API health, and audit agent execution logs.</w:t>
      </w:r>
    </w:p>
    <w:p>
      <w:pPr>
        <w:keepNext/>
        <w:spacing w:before="280" w:after="120"/>
      </w:pPr>
      <w:r>
        <w:rPr>
          <w:rFonts w:ascii="Times New Roman" w:hAnsi="Times New Roman"/>
          <w:b/>
          <w:color w:val="1E40AF"/>
          <w:sz w:val="26"/>
        </w:rPr>
        <w:t>3.3 User Requirements</w:t>
      </w:r>
    </w:p>
    <w:p>
      <w:pPr>
        <w:spacing w:line="276" w:lineRule="auto" w:after="120"/>
        <w:jc w:val="both"/>
      </w:pPr>
      <w:r>
        <w:rPr>
          <w:rFonts w:ascii="Times New Roman" w:hAnsi="Times New Roman"/>
          <w:color w:val="1E293B"/>
          <w:sz w:val="24"/>
        </w:rPr>
        <w:t>User requirements were gathered and classified into Functional (FR) and Non-Functional (NFR) requirements:</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3120"/>
        <w:gridCol w:w="3120"/>
        <w:gridCol w:w="3120"/>
      </w:tblGrid>
      <w:tr>
        <w:tc>
          <w:tcPr>
            <w:tcW w:type="dxa" w:w="1728"/>
            <w:shd w:fill="1E3A8A"/>
            <w:tcMar>
              <w:top w:w="120" w:type="dxa"/>
              <w:bottom w:w="120" w:type="dxa"/>
              <w:left w:w="150" w:type="dxa"/>
              <w:right w:w="150" w:type="dxa"/>
            </w:tcMar>
          </w:tcPr>
          <w:p>
            <w:pPr>
              <w:jc w:val="center"/>
            </w:pPr>
            <w:r>
              <w:rPr>
                <w:rFonts w:ascii="Times New Roman" w:hAnsi="Times New Roman"/>
                <w:b/>
                <w:color w:val="FFFFFF"/>
                <w:sz w:val="21"/>
              </w:rPr>
              <w:t>Requirement ID</w:t>
            </w:r>
          </w:p>
        </w:tc>
        <w:tc>
          <w:tcPr>
            <w:tcW w:type="dxa" w:w="3312"/>
            <w:shd w:fill="1E3A8A"/>
            <w:tcMar>
              <w:top w:w="120" w:type="dxa"/>
              <w:bottom w:w="120" w:type="dxa"/>
              <w:left w:w="150" w:type="dxa"/>
              <w:right w:w="150" w:type="dxa"/>
            </w:tcMar>
          </w:tcPr>
          <w:p>
            <w:pPr>
              <w:jc w:val="center"/>
            </w:pPr>
            <w:r>
              <w:rPr>
                <w:rFonts w:ascii="Times New Roman" w:hAnsi="Times New Roman"/>
                <w:b/>
                <w:color w:val="FFFFFF"/>
                <w:sz w:val="21"/>
              </w:rPr>
              <w:t>Requirement Category</w:t>
            </w:r>
          </w:p>
        </w:tc>
        <w:tc>
          <w:tcPr>
            <w:tcW w:type="dxa" w:w="4320"/>
            <w:shd w:fill="1E3A8A"/>
            <w:tcMar>
              <w:top w:w="120" w:type="dxa"/>
              <w:bottom w:w="120" w:type="dxa"/>
              <w:left w:w="150" w:type="dxa"/>
              <w:right w:w="150" w:type="dxa"/>
            </w:tcMar>
          </w:tcPr>
          <w:p>
            <w:pPr>
              <w:jc w:val="center"/>
            </w:pPr>
            <w:r>
              <w:rPr>
                <w:rFonts w:ascii="Times New Roman" w:hAnsi="Times New Roman"/>
                <w:b/>
                <w:color w:val="FFFFFF"/>
                <w:sz w:val="21"/>
              </w:rPr>
              <w:t>Detailed Specification</w:t>
            </w:r>
          </w:p>
        </w:tc>
      </w:tr>
      <w:tr>
        <w:tc>
          <w:tcPr>
            <w:tcW w:type="dxa" w:w="1728"/>
            <w:shd w:fill="FFFFFF"/>
            <w:tcMar>
              <w:top w:w="100" w:type="dxa"/>
              <w:bottom w:w="100" w:type="dxa"/>
              <w:left w:w="150" w:type="dxa"/>
              <w:right w:w="150" w:type="dxa"/>
            </w:tcMar>
          </w:tcPr>
          <w:p>
            <w:pPr>
              <w:jc w:val="left"/>
            </w:pPr>
            <w:r>
              <w:rPr>
                <w:rFonts w:ascii="Times New Roman" w:hAnsi="Times New Roman"/>
                <w:color w:val="1E293B"/>
                <w:sz w:val="20"/>
              </w:rPr>
              <w:t>FR-01</w:t>
            </w:r>
          </w:p>
        </w:tc>
        <w:tc>
          <w:tcPr>
            <w:tcW w:type="dxa" w:w="3312"/>
            <w:shd w:fill="FFFFFF"/>
            <w:tcMar>
              <w:top w:w="100" w:type="dxa"/>
              <w:bottom w:w="100" w:type="dxa"/>
              <w:left w:w="150" w:type="dxa"/>
              <w:right w:w="150" w:type="dxa"/>
            </w:tcMar>
          </w:tcPr>
          <w:p>
            <w:pPr>
              <w:jc w:val="left"/>
            </w:pPr>
            <w:r>
              <w:rPr>
                <w:rFonts w:ascii="Times New Roman" w:hAnsi="Times New Roman"/>
                <w:color w:val="1E293B"/>
                <w:sz w:val="20"/>
              </w:rPr>
              <w:t>Natural Language Parsing</w:t>
            </w:r>
          </w:p>
        </w:tc>
        <w:tc>
          <w:tcPr>
            <w:tcW w:type="dxa" w:w="4320"/>
            <w:shd w:fill="FFFFFF"/>
            <w:tcMar>
              <w:top w:w="100" w:type="dxa"/>
              <w:bottom w:w="100" w:type="dxa"/>
              <w:left w:w="150" w:type="dxa"/>
              <w:right w:w="150" w:type="dxa"/>
            </w:tcMar>
          </w:tcPr>
          <w:p>
            <w:pPr>
              <w:jc w:val="both"/>
            </w:pPr>
            <w:r>
              <w:rPr>
                <w:rFonts w:ascii="Times New Roman" w:hAnsi="Times New Roman"/>
                <w:color w:val="1E293B"/>
                <w:sz w:val="20"/>
              </w:rPr>
              <w:t>System must accept unstructured prompts (or forms) and extract event type, guest count, location, date, and budget.</w:t>
            </w:r>
          </w:p>
        </w:tc>
      </w:tr>
      <w:tr>
        <w:tc>
          <w:tcPr>
            <w:tcW w:type="dxa" w:w="1728"/>
            <w:shd w:fill="F8FAFC"/>
            <w:tcMar>
              <w:top w:w="100" w:type="dxa"/>
              <w:bottom w:w="100" w:type="dxa"/>
              <w:left w:w="150" w:type="dxa"/>
              <w:right w:w="150" w:type="dxa"/>
            </w:tcMar>
          </w:tcPr>
          <w:p>
            <w:pPr>
              <w:jc w:val="left"/>
            </w:pPr>
            <w:r>
              <w:rPr>
                <w:rFonts w:ascii="Times New Roman" w:hAnsi="Times New Roman"/>
                <w:color w:val="1E293B"/>
                <w:sz w:val="20"/>
              </w:rPr>
              <w:t>FR-02</w:t>
            </w:r>
          </w:p>
        </w:tc>
        <w:tc>
          <w:tcPr>
            <w:tcW w:type="dxa" w:w="3312"/>
            <w:shd w:fill="F8FAFC"/>
            <w:tcMar>
              <w:top w:w="100" w:type="dxa"/>
              <w:bottom w:w="100" w:type="dxa"/>
              <w:left w:w="150" w:type="dxa"/>
              <w:right w:w="150" w:type="dxa"/>
            </w:tcMar>
          </w:tcPr>
          <w:p>
            <w:pPr>
              <w:jc w:val="left"/>
            </w:pPr>
            <w:r>
              <w:rPr>
                <w:rFonts w:ascii="Times New Roman" w:hAnsi="Times New Roman"/>
                <w:color w:val="1E293B"/>
                <w:sz w:val="20"/>
              </w:rPr>
              <w:t>Deterministic Budgeting</w:t>
            </w:r>
          </w:p>
        </w:tc>
        <w:tc>
          <w:tcPr>
            <w:tcW w:type="dxa" w:w="4320"/>
            <w:shd w:fill="F8FAFC"/>
            <w:tcMar>
              <w:top w:w="100" w:type="dxa"/>
              <w:bottom w:w="100" w:type="dxa"/>
              <w:left w:w="150" w:type="dxa"/>
              <w:right w:w="150" w:type="dxa"/>
            </w:tcMar>
          </w:tcPr>
          <w:p>
            <w:pPr>
              <w:jc w:val="both"/>
            </w:pPr>
            <w:r>
              <w:rPr>
                <w:rFonts w:ascii="Times New Roman" w:hAnsi="Times New Roman"/>
                <w:color w:val="1E293B"/>
                <w:sz w:val="20"/>
              </w:rPr>
              <w:t>System must allocate 100% of budget across categories with zero overruns and catering per-plate checks.</w:t>
            </w:r>
          </w:p>
        </w:tc>
      </w:tr>
      <w:tr>
        <w:tc>
          <w:tcPr>
            <w:tcW w:type="dxa" w:w="1728"/>
            <w:shd w:fill="FFFFFF"/>
            <w:tcMar>
              <w:top w:w="100" w:type="dxa"/>
              <w:bottom w:w="100" w:type="dxa"/>
              <w:left w:w="150" w:type="dxa"/>
              <w:right w:w="150" w:type="dxa"/>
            </w:tcMar>
          </w:tcPr>
          <w:p>
            <w:pPr>
              <w:jc w:val="left"/>
            </w:pPr>
            <w:r>
              <w:rPr>
                <w:rFonts w:ascii="Times New Roman" w:hAnsi="Times New Roman"/>
                <w:color w:val="1E293B"/>
                <w:sz w:val="20"/>
              </w:rPr>
              <w:t>FR-03</w:t>
            </w:r>
          </w:p>
        </w:tc>
        <w:tc>
          <w:tcPr>
            <w:tcW w:type="dxa" w:w="3312"/>
            <w:shd w:fill="FFFFFF"/>
            <w:tcMar>
              <w:top w:w="100" w:type="dxa"/>
              <w:bottom w:w="100" w:type="dxa"/>
              <w:left w:w="150" w:type="dxa"/>
              <w:right w:w="150" w:type="dxa"/>
            </w:tcMar>
          </w:tcPr>
          <w:p>
            <w:pPr>
              <w:jc w:val="left"/>
            </w:pPr>
            <w:r>
              <w:rPr>
                <w:rFonts w:ascii="Times New Roman" w:hAnsi="Times New Roman"/>
                <w:color w:val="1E293B"/>
                <w:sz w:val="20"/>
              </w:rPr>
              <w:t>Parallel Sourcing</w:t>
            </w:r>
          </w:p>
        </w:tc>
        <w:tc>
          <w:tcPr>
            <w:tcW w:type="dxa" w:w="4320"/>
            <w:shd w:fill="FFFFFF"/>
            <w:tcMar>
              <w:top w:w="100" w:type="dxa"/>
              <w:bottom w:w="100" w:type="dxa"/>
              <w:left w:w="150" w:type="dxa"/>
              <w:right w:w="150" w:type="dxa"/>
            </w:tcMar>
          </w:tcPr>
          <w:p>
            <w:pPr>
              <w:jc w:val="both"/>
            </w:pPr>
            <w:r>
              <w:rPr>
                <w:rFonts w:ascii="Times New Roman" w:hAnsi="Times New Roman"/>
                <w:color w:val="1E293B"/>
                <w:sz w:val="20"/>
              </w:rPr>
              <w:t>System must search 7 distinct vendor categories simultaneously with 100% company name deduplication.</w:t>
            </w:r>
          </w:p>
        </w:tc>
      </w:tr>
      <w:tr>
        <w:tc>
          <w:tcPr>
            <w:tcW w:type="dxa" w:w="1728"/>
            <w:shd w:fill="F8FAFC"/>
            <w:tcMar>
              <w:top w:w="100" w:type="dxa"/>
              <w:bottom w:w="100" w:type="dxa"/>
              <w:left w:w="150" w:type="dxa"/>
              <w:right w:w="150" w:type="dxa"/>
            </w:tcMar>
          </w:tcPr>
          <w:p>
            <w:pPr>
              <w:jc w:val="left"/>
            </w:pPr>
            <w:r>
              <w:rPr>
                <w:rFonts w:ascii="Times New Roman" w:hAnsi="Times New Roman"/>
                <w:color w:val="1E293B"/>
                <w:sz w:val="20"/>
              </w:rPr>
              <w:t>FR-04</w:t>
            </w:r>
          </w:p>
        </w:tc>
        <w:tc>
          <w:tcPr>
            <w:tcW w:type="dxa" w:w="3312"/>
            <w:shd w:fill="F8FAFC"/>
            <w:tcMar>
              <w:top w:w="100" w:type="dxa"/>
              <w:bottom w:w="100" w:type="dxa"/>
              <w:left w:w="150" w:type="dxa"/>
              <w:right w:w="150" w:type="dxa"/>
            </w:tcMar>
          </w:tcPr>
          <w:p>
            <w:pPr>
              <w:jc w:val="left"/>
            </w:pPr>
            <w:r>
              <w:rPr>
                <w:rFonts w:ascii="Times New Roman" w:hAnsi="Times New Roman"/>
                <w:color w:val="1E293B"/>
                <w:sz w:val="20"/>
              </w:rPr>
              <w:t>Pareto Scoring</w:t>
            </w:r>
          </w:p>
        </w:tc>
        <w:tc>
          <w:tcPr>
            <w:tcW w:type="dxa" w:w="4320"/>
            <w:shd w:fill="F8FAFC"/>
            <w:tcMar>
              <w:top w:w="100" w:type="dxa"/>
              <w:bottom w:w="100" w:type="dxa"/>
              <w:left w:w="150" w:type="dxa"/>
              <w:right w:w="150" w:type="dxa"/>
            </w:tcMar>
          </w:tcPr>
          <w:p>
            <w:pPr>
              <w:jc w:val="both"/>
            </w:pPr>
            <w:r>
              <w:rPr>
                <w:rFonts w:ascii="Times New Roman" w:hAnsi="Times New Roman"/>
                <w:color w:val="1E293B"/>
                <w:sz w:val="20"/>
              </w:rPr>
              <w:t>System must rank suppliers based on composite rating (40%), price proximity (35%), and event fit (25%).</w:t>
            </w:r>
          </w:p>
        </w:tc>
      </w:tr>
      <w:tr>
        <w:tc>
          <w:tcPr>
            <w:tcW w:type="dxa" w:w="1728"/>
            <w:shd w:fill="FFFFFF"/>
            <w:tcMar>
              <w:top w:w="100" w:type="dxa"/>
              <w:bottom w:w="100" w:type="dxa"/>
              <w:left w:w="150" w:type="dxa"/>
              <w:right w:w="150" w:type="dxa"/>
            </w:tcMar>
          </w:tcPr>
          <w:p>
            <w:pPr>
              <w:jc w:val="left"/>
            </w:pPr>
            <w:r>
              <w:rPr>
                <w:rFonts w:ascii="Times New Roman" w:hAnsi="Times New Roman"/>
                <w:color w:val="1E293B"/>
                <w:sz w:val="20"/>
              </w:rPr>
              <w:t>FR-05</w:t>
            </w:r>
          </w:p>
        </w:tc>
        <w:tc>
          <w:tcPr>
            <w:tcW w:type="dxa" w:w="3312"/>
            <w:shd w:fill="FFFFFF"/>
            <w:tcMar>
              <w:top w:w="100" w:type="dxa"/>
              <w:bottom w:w="100" w:type="dxa"/>
              <w:left w:w="150" w:type="dxa"/>
              <w:right w:w="150" w:type="dxa"/>
            </w:tcMar>
          </w:tcPr>
          <w:p>
            <w:pPr>
              <w:jc w:val="left"/>
            </w:pPr>
            <w:r>
              <w:rPr>
                <w:rFonts w:ascii="Times New Roman" w:hAnsi="Times New Roman"/>
                <w:color w:val="1E293B"/>
                <w:sz w:val="20"/>
              </w:rPr>
              <w:t>Dynamic Run-of-Show</w:t>
            </w:r>
          </w:p>
        </w:tc>
        <w:tc>
          <w:tcPr>
            <w:tcW w:type="dxa" w:w="4320"/>
            <w:shd w:fill="FFFFFF"/>
            <w:tcMar>
              <w:top w:w="100" w:type="dxa"/>
              <w:bottom w:w="100" w:type="dxa"/>
              <w:left w:w="150" w:type="dxa"/>
              <w:right w:w="150" w:type="dxa"/>
            </w:tcMar>
          </w:tcPr>
          <w:p>
            <w:pPr>
              <w:jc w:val="both"/>
            </w:pPr>
            <w:r>
              <w:rPr>
                <w:rFonts w:ascii="Times New Roman" w:hAnsi="Times New Roman"/>
                <w:color w:val="1E293B"/>
                <w:sz w:val="20"/>
              </w:rPr>
              <w:t>System must build an hour-by-hour schedule synchronizing rituals with breakfast, lunch, or dinner timing.</w:t>
            </w:r>
          </w:p>
        </w:tc>
      </w:tr>
      <w:tr>
        <w:tc>
          <w:tcPr>
            <w:tcW w:type="dxa" w:w="1728"/>
            <w:shd w:fill="F8FAFC"/>
            <w:tcMar>
              <w:top w:w="100" w:type="dxa"/>
              <w:bottom w:w="100" w:type="dxa"/>
              <w:left w:w="150" w:type="dxa"/>
              <w:right w:w="150" w:type="dxa"/>
            </w:tcMar>
          </w:tcPr>
          <w:p>
            <w:pPr>
              <w:jc w:val="left"/>
            </w:pPr>
            <w:r>
              <w:rPr>
                <w:rFonts w:ascii="Times New Roman" w:hAnsi="Times New Roman"/>
                <w:color w:val="1E293B"/>
                <w:sz w:val="20"/>
              </w:rPr>
              <w:t>FR-06</w:t>
            </w:r>
          </w:p>
        </w:tc>
        <w:tc>
          <w:tcPr>
            <w:tcW w:type="dxa" w:w="3312"/>
            <w:shd w:fill="F8FAFC"/>
            <w:tcMar>
              <w:top w:w="100" w:type="dxa"/>
              <w:bottom w:w="100" w:type="dxa"/>
              <w:left w:w="150" w:type="dxa"/>
              <w:right w:w="150" w:type="dxa"/>
            </w:tcMar>
          </w:tcPr>
          <w:p>
            <w:pPr>
              <w:jc w:val="left"/>
            </w:pPr>
            <w:r>
              <w:rPr>
                <w:rFonts w:ascii="Times New Roman" w:hAnsi="Times New Roman"/>
                <w:color w:val="1E293B"/>
                <w:sz w:val="20"/>
              </w:rPr>
              <w:t>Human Approval Gate</w:t>
            </w:r>
          </w:p>
        </w:tc>
        <w:tc>
          <w:tcPr>
            <w:tcW w:type="dxa" w:w="4320"/>
            <w:shd w:fill="F8FAFC"/>
            <w:tcMar>
              <w:top w:w="100" w:type="dxa"/>
              <w:bottom w:w="100" w:type="dxa"/>
              <w:left w:w="150" w:type="dxa"/>
              <w:right w:w="150" w:type="dxa"/>
            </w:tcMar>
          </w:tcPr>
          <w:p>
            <w:pPr>
              <w:jc w:val="both"/>
            </w:pPr>
            <w:r>
              <w:rPr>
                <w:rFonts w:ascii="Times New Roman" w:hAnsi="Times New Roman"/>
                <w:color w:val="1E293B"/>
                <w:sz w:val="20"/>
              </w:rPr>
              <w:t>System must pause execution at a state checkpoint allowing user edits before booking confirmation.</w:t>
            </w:r>
          </w:p>
        </w:tc>
      </w:tr>
      <w:tr>
        <w:tc>
          <w:tcPr>
            <w:tcW w:type="dxa" w:w="1728"/>
            <w:shd w:fill="FFFFFF"/>
            <w:tcMar>
              <w:top w:w="100" w:type="dxa"/>
              <w:bottom w:w="100" w:type="dxa"/>
              <w:left w:w="150" w:type="dxa"/>
              <w:right w:w="150" w:type="dxa"/>
            </w:tcMar>
          </w:tcPr>
          <w:p>
            <w:pPr>
              <w:jc w:val="left"/>
            </w:pPr>
            <w:r>
              <w:rPr>
                <w:rFonts w:ascii="Times New Roman" w:hAnsi="Times New Roman"/>
                <w:color w:val="1E293B"/>
                <w:sz w:val="20"/>
              </w:rPr>
              <w:t>FR-07</w:t>
            </w:r>
          </w:p>
        </w:tc>
        <w:tc>
          <w:tcPr>
            <w:tcW w:type="dxa" w:w="3312"/>
            <w:shd w:fill="FFFFFF"/>
            <w:tcMar>
              <w:top w:w="100" w:type="dxa"/>
              <w:bottom w:w="100" w:type="dxa"/>
              <w:left w:w="150" w:type="dxa"/>
              <w:right w:w="150" w:type="dxa"/>
            </w:tcMar>
          </w:tcPr>
          <w:p>
            <w:pPr>
              <w:jc w:val="left"/>
            </w:pPr>
            <w:r>
              <w:rPr>
                <w:rFonts w:ascii="Times New Roman" w:hAnsi="Times New Roman"/>
                <w:color w:val="1E293B"/>
                <w:sz w:val="20"/>
              </w:rPr>
              <w:t>Sentinel Recovery</w:t>
            </w:r>
          </w:p>
        </w:tc>
        <w:tc>
          <w:tcPr>
            <w:tcW w:type="dxa" w:w="4320"/>
            <w:shd w:fill="FFFFFF"/>
            <w:tcMar>
              <w:top w:w="100" w:type="dxa"/>
              <w:bottom w:w="100" w:type="dxa"/>
              <w:left w:w="150" w:type="dxa"/>
              <w:right w:w="150" w:type="dxa"/>
            </w:tcMar>
          </w:tcPr>
          <w:p>
            <w:pPr>
              <w:jc w:val="both"/>
            </w:pPr>
            <w:r>
              <w:rPr>
                <w:rFonts w:ascii="Times New Roman" w:hAnsi="Times New Roman"/>
                <w:color w:val="1E293B"/>
                <w:sz w:val="20"/>
              </w:rPr>
              <w:t>System must detect vendor cancellation alerts and provision backup options within budget in &lt; 5 seconds.</w:t>
            </w:r>
          </w:p>
        </w:tc>
      </w:tr>
      <w:tr>
        <w:tc>
          <w:tcPr>
            <w:tcW w:type="dxa" w:w="1728"/>
            <w:shd w:fill="F8FAFC"/>
            <w:tcMar>
              <w:top w:w="100" w:type="dxa"/>
              <w:bottom w:w="100" w:type="dxa"/>
              <w:left w:w="150" w:type="dxa"/>
              <w:right w:w="150" w:type="dxa"/>
            </w:tcMar>
          </w:tcPr>
          <w:p>
            <w:pPr>
              <w:jc w:val="left"/>
            </w:pPr>
            <w:r>
              <w:rPr>
                <w:rFonts w:ascii="Times New Roman" w:hAnsi="Times New Roman"/>
                <w:color w:val="1E293B"/>
                <w:sz w:val="20"/>
              </w:rPr>
              <w:t>FR-08</w:t>
            </w:r>
          </w:p>
        </w:tc>
        <w:tc>
          <w:tcPr>
            <w:tcW w:type="dxa" w:w="3312"/>
            <w:shd w:fill="F8FAFC"/>
            <w:tcMar>
              <w:top w:w="100" w:type="dxa"/>
              <w:bottom w:w="100" w:type="dxa"/>
              <w:left w:w="150" w:type="dxa"/>
              <w:right w:w="150" w:type="dxa"/>
            </w:tcMar>
          </w:tcPr>
          <w:p>
            <w:pPr>
              <w:jc w:val="left"/>
            </w:pPr>
            <w:r>
              <w:rPr>
                <w:rFonts w:ascii="Times New Roman" w:hAnsi="Times New Roman"/>
                <w:color w:val="1E293B"/>
                <w:sz w:val="20"/>
              </w:rPr>
              <w:t>RFP Dispatch</w:t>
            </w:r>
          </w:p>
        </w:tc>
        <w:tc>
          <w:tcPr>
            <w:tcW w:type="dxa" w:w="4320"/>
            <w:shd w:fill="F8FAFC"/>
            <w:tcMar>
              <w:top w:w="100" w:type="dxa"/>
              <w:bottom w:w="100" w:type="dxa"/>
              <w:left w:w="150" w:type="dxa"/>
              <w:right w:w="150" w:type="dxa"/>
            </w:tcMar>
          </w:tcPr>
          <w:p>
            <w:pPr>
              <w:jc w:val="both"/>
            </w:pPr>
            <w:r>
              <w:rPr>
                <w:rFonts w:ascii="Times New Roman" w:hAnsi="Times New Roman"/>
                <w:color w:val="1E293B"/>
                <w:sz w:val="20"/>
              </w:rPr>
              <w:t>System must generate pre-filled WhatsApp click-to-chat links containing full event briefs.</w:t>
            </w:r>
          </w:p>
        </w:tc>
      </w:tr>
      <w:tr>
        <w:tc>
          <w:tcPr>
            <w:tcW w:type="dxa" w:w="1728"/>
            <w:shd w:fill="FFFFFF"/>
            <w:tcMar>
              <w:top w:w="100" w:type="dxa"/>
              <w:bottom w:w="100" w:type="dxa"/>
              <w:left w:w="150" w:type="dxa"/>
              <w:right w:w="150" w:type="dxa"/>
            </w:tcMar>
          </w:tcPr>
          <w:p>
            <w:pPr>
              <w:jc w:val="left"/>
            </w:pPr>
            <w:r>
              <w:rPr>
                <w:rFonts w:ascii="Times New Roman" w:hAnsi="Times New Roman"/>
                <w:color w:val="1E293B"/>
                <w:sz w:val="20"/>
              </w:rPr>
              <w:t>NFR-01</w:t>
            </w:r>
          </w:p>
        </w:tc>
        <w:tc>
          <w:tcPr>
            <w:tcW w:type="dxa" w:w="3312"/>
            <w:shd w:fill="FFFFFF"/>
            <w:tcMar>
              <w:top w:w="100" w:type="dxa"/>
              <w:bottom w:w="100" w:type="dxa"/>
              <w:left w:w="150" w:type="dxa"/>
              <w:right w:w="150" w:type="dxa"/>
            </w:tcMar>
          </w:tcPr>
          <w:p>
            <w:pPr>
              <w:jc w:val="left"/>
            </w:pPr>
            <w:r>
              <w:rPr>
                <w:rFonts w:ascii="Times New Roman" w:hAnsi="Times New Roman"/>
                <w:color w:val="1E293B"/>
                <w:sz w:val="20"/>
              </w:rPr>
              <w:t>Performance &amp; Latency</w:t>
            </w:r>
          </w:p>
        </w:tc>
        <w:tc>
          <w:tcPr>
            <w:tcW w:type="dxa" w:w="4320"/>
            <w:shd w:fill="FFFFFF"/>
            <w:tcMar>
              <w:top w:w="100" w:type="dxa"/>
              <w:bottom w:w="100" w:type="dxa"/>
              <w:left w:w="150" w:type="dxa"/>
              <w:right w:w="150" w:type="dxa"/>
            </w:tcMar>
          </w:tcPr>
          <w:p>
            <w:pPr>
              <w:jc w:val="both"/>
            </w:pPr>
            <w:r>
              <w:rPr>
                <w:rFonts w:ascii="Times New Roman" w:hAnsi="Times New Roman"/>
                <w:color w:val="1E293B"/>
                <w:sz w:val="20"/>
              </w:rPr>
              <w:t>End-to-end plan generation must complete in under 5 seconds; anomaly recovery under 2 seconds.</w:t>
            </w:r>
          </w:p>
        </w:tc>
      </w:tr>
      <w:tr>
        <w:tc>
          <w:tcPr>
            <w:tcW w:type="dxa" w:w="1728"/>
            <w:shd w:fill="F8FAFC"/>
            <w:tcMar>
              <w:top w:w="100" w:type="dxa"/>
              <w:bottom w:w="100" w:type="dxa"/>
              <w:left w:w="150" w:type="dxa"/>
              <w:right w:w="150" w:type="dxa"/>
            </w:tcMar>
          </w:tcPr>
          <w:p>
            <w:pPr>
              <w:jc w:val="left"/>
            </w:pPr>
            <w:r>
              <w:rPr>
                <w:rFonts w:ascii="Times New Roman" w:hAnsi="Times New Roman"/>
                <w:color w:val="1E293B"/>
                <w:sz w:val="20"/>
              </w:rPr>
              <w:t>NFR-02</w:t>
            </w:r>
          </w:p>
        </w:tc>
        <w:tc>
          <w:tcPr>
            <w:tcW w:type="dxa" w:w="3312"/>
            <w:shd w:fill="F8FAFC"/>
            <w:tcMar>
              <w:top w:w="100" w:type="dxa"/>
              <w:bottom w:w="100" w:type="dxa"/>
              <w:left w:w="150" w:type="dxa"/>
              <w:right w:w="150" w:type="dxa"/>
            </w:tcMar>
          </w:tcPr>
          <w:p>
            <w:pPr>
              <w:jc w:val="left"/>
            </w:pPr>
            <w:r>
              <w:rPr>
                <w:rFonts w:ascii="Times New Roman" w:hAnsi="Times New Roman"/>
                <w:color w:val="1E293B"/>
                <w:sz w:val="20"/>
              </w:rPr>
              <w:t>Security &amp; Privacy</w:t>
            </w:r>
          </w:p>
        </w:tc>
        <w:tc>
          <w:tcPr>
            <w:tcW w:type="dxa" w:w="4320"/>
            <w:shd w:fill="F8FAFC"/>
            <w:tcMar>
              <w:top w:w="100" w:type="dxa"/>
              <w:bottom w:w="100" w:type="dxa"/>
              <w:left w:w="150" w:type="dxa"/>
              <w:right w:w="150" w:type="dxa"/>
            </w:tcMar>
          </w:tcPr>
          <w:p>
            <w:pPr>
              <w:jc w:val="both"/>
            </w:pPr>
            <w:r>
              <w:rPr>
                <w:rFonts w:ascii="Times New Roman" w:hAnsi="Times New Roman"/>
                <w:color w:val="1E293B"/>
                <w:sz w:val="20"/>
              </w:rPr>
              <w:t>User credentials must be hashed using PBKDF2-HMAC-SHA256 with SQLite session tokens.</w:t>
            </w:r>
          </w:p>
        </w:tc>
      </w:tr>
      <w:tr>
        <w:tc>
          <w:tcPr>
            <w:tcW w:type="dxa" w:w="1728"/>
            <w:shd w:fill="FFFFFF"/>
            <w:tcMar>
              <w:top w:w="100" w:type="dxa"/>
              <w:bottom w:w="100" w:type="dxa"/>
              <w:left w:w="150" w:type="dxa"/>
              <w:right w:w="150" w:type="dxa"/>
            </w:tcMar>
          </w:tcPr>
          <w:p>
            <w:pPr>
              <w:jc w:val="left"/>
            </w:pPr>
            <w:r>
              <w:rPr>
                <w:rFonts w:ascii="Times New Roman" w:hAnsi="Times New Roman"/>
                <w:color w:val="1E293B"/>
                <w:sz w:val="20"/>
              </w:rPr>
              <w:t>NFR-03</w:t>
            </w:r>
          </w:p>
        </w:tc>
        <w:tc>
          <w:tcPr>
            <w:tcW w:type="dxa" w:w="3312"/>
            <w:shd w:fill="FFFFFF"/>
            <w:tcMar>
              <w:top w:w="100" w:type="dxa"/>
              <w:bottom w:w="100" w:type="dxa"/>
              <w:left w:w="150" w:type="dxa"/>
              <w:right w:w="150" w:type="dxa"/>
            </w:tcMar>
          </w:tcPr>
          <w:p>
            <w:pPr>
              <w:jc w:val="left"/>
            </w:pPr>
            <w:r>
              <w:rPr>
                <w:rFonts w:ascii="Times New Roman" w:hAnsi="Times New Roman"/>
                <w:color w:val="1E293B"/>
                <w:sz w:val="20"/>
              </w:rPr>
              <w:t>Availability &amp; Fallback</w:t>
            </w:r>
          </w:p>
        </w:tc>
        <w:tc>
          <w:tcPr>
            <w:tcW w:type="dxa" w:w="4320"/>
            <w:shd w:fill="FFFFFF"/>
            <w:tcMar>
              <w:top w:w="100" w:type="dxa"/>
              <w:bottom w:w="100" w:type="dxa"/>
              <w:left w:w="150" w:type="dxa"/>
              <w:right w:w="150" w:type="dxa"/>
            </w:tcMar>
          </w:tcPr>
          <w:p>
            <w:pPr>
              <w:jc w:val="both"/>
            </w:pPr>
            <w:r>
              <w:rPr>
                <w:rFonts w:ascii="Times New Roman" w:hAnsi="Times New Roman"/>
                <w:color w:val="1E293B"/>
                <w:sz w:val="20"/>
              </w:rPr>
              <w:t>System must run 100% offline using local curated catalogs if live API keys are unavailable.</w:t>
            </w:r>
          </w:p>
        </w:tc>
      </w:tr>
    </w:tbl>
    <w:p>
      <w:pPr>
        <w:spacing w:after="160"/>
      </w:pPr>
    </w:p>
    <w:p>
      <w:pPr>
        <w:keepNext/>
        <w:spacing w:before="360" w:after="160"/>
      </w:pPr>
      <w:r>
        <w:rPr>
          <w:rFonts w:ascii="Times New Roman" w:hAnsi="Times New Roman"/>
          <w:b/>
          <w:color w:val="1E3A8A"/>
          <w:sz w:val="30"/>
        </w:rPr>
        <w:t>4. PROPOSED AGENTIC AI SOLUTION</w:t>
      </w:r>
    </w:p>
    <w:p>
      <w:pPr>
        <w:keepNext/>
        <w:spacing w:before="280" w:after="120"/>
      </w:pPr>
      <w:r>
        <w:rPr>
          <w:rFonts w:ascii="Times New Roman" w:hAnsi="Times New Roman"/>
          <w:b/>
          <w:color w:val="1E40AF"/>
          <w:sz w:val="26"/>
        </w:rPr>
        <w:t>4.1 Overall Solution Architecture</w:t>
      </w:r>
    </w:p>
    <w:p>
      <w:pPr>
        <w:spacing w:line="276" w:lineRule="auto" w:after="120"/>
        <w:jc w:val="both"/>
      </w:pPr>
      <w:r>
        <w:rPr>
          <w:rFonts w:ascii="Times New Roman" w:hAnsi="Times New Roman"/>
          <w:color w:val="1E293B"/>
          <w:sz w:val="24"/>
        </w:rPr>
        <w:t>FlowGenie introduces an end-to-end autonomous multi-agent architecture designed to transform a raw user brief into an executable, budget-compliant, and self-healing event contract. Instead of treating event planning as a black-box text generation problem, FlowGenie implements a stateful, directed acyclic graph (DAG) where specialized software agents operate as autonomous cognitive workers.</w:t>
      </w:r>
    </w:p>
    <w:p>
      <w:pPr>
        <w:spacing w:line="276" w:lineRule="auto" w:after="120"/>
        <w:jc w:val="both"/>
      </w:pPr>
      <w:r>
        <w:rPr>
          <w:rFonts w:ascii="Times New Roman" w:hAnsi="Times New Roman"/>
          <w:color w:val="1E293B"/>
          <w:sz w:val="24"/>
        </w:rPr>
        <w:t>The pipeline is divided into five sequential planning phases, a Human-in-the-Loop checkpoint gate, and two background sentinel execution agents:</w:t>
      </w:r>
    </w:p>
    <w:p>
      <w:pPr>
        <w:pStyle w:val="ListBullet"/>
        <w:spacing w:line="276" w:lineRule="auto" w:after="80"/>
        <w:jc w:val="both"/>
      </w:pPr>
      <w:r>
        <w:rPr>
          <w:rFonts w:ascii="Times New Roman" w:hAnsi="Times New Roman"/>
          <w:b/>
          <w:color w:val="1E293B"/>
          <w:sz w:val="24"/>
        </w:rPr>
        <w:t xml:space="preserve">1. Requirement Parsing: </w:t>
      </w:r>
      <w:r>
        <w:rPr>
          <w:rFonts w:ascii="Times New Roman" w:hAnsi="Times New Roman"/>
          <w:color w:val="1E293B"/>
          <w:sz w:val="24"/>
        </w:rPr>
        <w:t>Phase 1: Intent &amp; Entity Normalization (Requirement Analysis Agent)</w:t>
      </w:r>
    </w:p>
    <w:p>
      <w:pPr>
        <w:pStyle w:val="ListBullet"/>
        <w:spacing w:line="276" w:lineRule="auto" w:after="80"/>
        <w:jc w:val="both"/>
      </w:pPr>
      <w:r>
        <w:rPr>
          <w:rFonts w:ascii="Times New Roman" w:hAnsi="Times New Roman"/>
          <w:b/>
          <w:color w:val="1E293B"/>
          <w:sz w:val="24"/>
        </w:rPr>
        <w:t xml:space="preserve">2. Budget Strategy: </w:t>
      </w:r>
      <w:r>
        <w:rPr>
          <w:rFonts w:ascii="Times New Roman" w:hAnsi="Times New Roman"/>
          <w:color w:val="1E293B"/>
          <w:sz w:val="24"/>
        </w:rPr>
        <w:t>Phase 2: Mathematical Category Budgeting &amp; Safety Slicing (Budget Planning Agent)</w:t>
      </w:r>
    </w:p>
    <w:p>
      <w:pPr>
        <w:pStyle w:val="ListBullet"/>
        <w:spacing w:line="276" w:lineRule="auto" w:after="80"/>
        <w:jc w:val="both"/>
      </w:pPr>
      <w:r>
        <w:rPr>
          <w:rFonts w:ascii="Times New Roman" w:hAnsi="Times New Roman"/>
          <w:b/>
          <w:color w:val="1E293B"/>
          <w:sz w:val="24"/>
        </w:rPr>
        <w:t xml:space="preserve">3. Vendor Sourcing: </w:t>
      </w:r>
      <w:r>
        <w:rPr>
          <w:rFonts w:ascii="Times New Roman" w:hAnsi="Times New Roman"/>
          <w:color w:val="1E293B"/>
          <w:sz w:val="24"/>
        </w:rPr>
        <w:t>Phase 3: Concurrent Asynchronous Supplier Discovery (Autonomous Vendor Agent)</w:t>
      </w:r>
    </w:p>
    <w:p>
      <w:pPr>
        <w:pStyle w:val="ListBullet"/>
        <w:spacing w:line="276" w:lineRule="auto" w:after="80"/>
        <w:jc w:val="both"/>
      </w:pPr>
      <w:r>
        <w:rPr>
          <w:rFonts w:ascii="Times New Roman" w:hAnsi="Times New Roman"/>
          <w:b/>
          <w:color w:val="1E293B"/>
          <w:sz w:val="24"/>
        </w:rPr>
        <w:t xml:space="preserve">4. Pareto Ranking: </w:t>
      </w:r>
      <w:r>
        <w:rPr>
          <w:rFonts w:ascii="Times New Roman" w:hAnsi="Times New Roman"/>
          <w:color w:val="1E293B"/>
          <w:sz w:val="24"/>
        </w:rPr>
        <w:t>Phase 4: Multi-Criteria Pareto Decision Analysis (Ranking &amp; Recommendation Agent)</w:t>
      </w:r>
    </w:p>
    <w:p>
      <w:pPr>
        <w:pStyle w:val="ListBullet"/>
        <w:spacing w:line="276" w:lineRule="auto" w:after="80"/>
        <w:jc w:val="both"/>
      </w:pPr>
      <w:r>
        <w:rPr>
          <w:rFonts w:ascii="Times New Roman" w:hAnsi="Times New Roman"/>
          <w:b/>
          <w:color w:val="1E293B"/>
          <w:sz w:val="24"/>
        </w:rPr>
        <w:t xml:space="preserve">5. Schedule Engine: </w:t>
      </w:r>
      <w:r>
        <w:rPr>
          <w:rFonts w:ascii="Times New Roman" w:hAnsi="Times New Roman"/>
          <w:color w:val="1E293B"/>
          <w:sz w:val="24"/>
        </w:rPr>
        <w:t>Phase 5: Culturally Synchronized Schedule Synthesis (Run-of-Show Engine)</w:t>
      </w:r>
    </w:p>
    <w:p>
      <w:pPr>
        <w:pStyle w:val="ListBullet"/>
        <w:spacing w:line="276" w:lineRule="auto" w:after="80"/>
        <w:jc w:val="both"/>
      </w:pPr>
      <w:r>
        <w:rPr>
          <w:rFonts w:ascii="Times New Roman" w:hAnsi="Times New Roman"/>
          <w:b/>
          <w:color w:val="1E293B"/>
          <w:sz w:val="24"/>
        </w:rPr>
        <w:t xml:space="preserve">6. Governance Gate: </w:t>
      </w:r>
      <w:r>
        <w:rPr>
          <w:rFonts w:ascii="Times New Roman" w:hAnsi="Times New Roman"/>
          <w:color w:val="1E293B"/>
          <w:sz w:val="24"/>
        </w:rPr>
        <w:t>Phase 6: Human Approval State Checkpoint (FastAPI / LangGraph Gate)</w:t>
      </w:r>
    </w:p>
    <w:p>
      <w:pPr>
        <w:pStyle w:val="ListBullet"/>
        <w:spacing w:line="276" w:lineRule="auto" w:after="80"/>
        <w:jc w:val="both"/>
      </w:pPr>
      <w:r>
        <w:rPr>
          <w:rFonts w:ascii="Times New Roman" w:hAnsi="Times New Roman"/>
          <w:b/>
          <w:color w:val="1E293B"/>
          <w:sz w:val="24"/>
        </w:rPr>
        <w:t xml:space="preserve">7. Execution &amp; Self-Healing: </w:t>
      </w:r>
      <w:r>
        <w:rPr>
          <w:rFonts w:ascii="Times New Roman" w:hAnsi="Times New Roman"/>
          <w:color w:val="1E293B"/>
          <w:sz w:val="24"/>
        </w:rPr>
        <w:t>Phase 7: Contract Finalization, Sentinel Monitoring, &amp; RFP Dispatch (Booking, Sentinel, &amp; Notification Agents)</w:t>
      </w:r>
    </w:p>
    <w:p>
      <w:pPr>
        <w:keepNext/>
        <w:spacing w:before="280" w:after="120"/>
      </w:pPr>
      <w:r>
        <w:rPr>
          <w:rFonts w:ascii="Times New Roman" w:hAnsi="Times New Roman"/>
          <w:b/>
          <w:color w:val="1E40AF"/>
          <w:sz w:val="26"/>
        </w:rPr>
        <w:t>4.2 Key System Features</w:t>
      </w:r>
    </w:p>
    <w:p>
      <w:pPr>
        <w:pStyle w:val="ListBullet"/>
        <w:spacing w:line="276" w:lineRule="auto" w:after="80"/>
        <w:jc w:val="both"/>
      </w:pPr>
      <w:r>
        <w:rPr>
          <w:rFonts w:ascii="Times New Roman" w:hAnsi="Times New Roman"/>
          <w:b/>
          <w:color w:val="1E293B"/>
          <w:sz w:val="24"/>
        </w:rPr>
        <w:t xml:space="preserve">• Hybrid LLM + Heuristic Intent Extraction: </w:t>
      </w:r>
      <w:r>
        <w:rPr>
          <w:rFonts w:ascii="Times New Roman" w:hAnsi="Times New Roman"/>
          <w:color w:val="1E293B"/>
          <w:sz w:val="24"/>
        </w:rPr>
        <w:t>Extracts numerical parameters, locations, and cultural traditions using Groq Llama 3 (llama-3.3-70b-versatile) with regex-based heuristic safety fallbacks.</w:t>
      </w:r>
    </w:p>
    <w:p>
      <w:pPr>
        <w:pStyle w:val="ListBullet"/>
        <w:spacing w:line="276" w:lineRule="auto" w:after="80"/>
        <w:jc w:val="both"/>
      </w:pPr>
      <w:r>
        <w:rPr>
          <w:rFonts w:ascii="Times New Roman" w:hAnsi="Times New Roman"/>
          <w:b/>
          <w:color w:val="1E293B"/>
          <w:sz w:val="24"/>
        </w:rPr>
        <w:t xml:space="preserve">• Mathematically Grounded Budgeting: </w:t>
      </w:r>
      <w:r>
        <w:rPr>
          <w:rFonts w:ascii="Times New Roman" w:hAnsi="Times New Roman"/>
          <w:color w:val="1E293B"/>
          <w:sz w:val="24"/>
        </w:rPr>
        <w:t>Guarantees that total category allocations exactly match the user's budget and validates that catering per-plate cost satisfies minimum nutritional/quality floors (Estimated Per Plate &gt;= Rs. 300).</w:t>
      </w:r>
    </w:p>
    <w:p>
      <w:pPr>
        <w:pStyle w:val="ListBullet"/>
        <w:spacing w:line="276" w:lineRule="auto" w:after="80"/>
        <w:jc w:val="both"/>
      </w:pPr>
      <w:r>
        <w:rPr>
          <w:rFonts w:ascii="Times New Roman" w:hAnsi="Times New Roman"/>
          <w:b/>
          <w:color w:val="1E293B"/>
          <w:sz w:val="24"/>
        </w:rPr>
        <w:t xml:space="preserve">• Global Deduplicated Vendor Discovery: </w:t>
      </w:r>
      <w:r>
        <w:rPr>
          <w:rFonts w:ascii="Times New Roman" w:hAnsi="Times New Roman"/>
          <w:color w:val="1E293B"/>
          <w:sz w:val="24"/>
        </w:rPr>
        <w:t>Queries live web directories via Tavily API and merges results with curated local catalogs, applying string distance deduplication to ensure 100% unique vendor selections across categories.</w:t>
      </w:r>
    </w:p>
    <w:p>
      <w:pPr>
        <w:pStyle w:val="ListBullet"/>
        <w:spacing w:line="276" w:lineRule="auto" w:after="80"/>
        <w:jc w:val="both"/>
      </w:pPr>
      <w:r>
        <w:rPr>
          <w:rFonts w:ascii="Times New Roman" w:hAnsi="Times New Roman"/>
          <w:b/>
          <w:color w:val="1E293B"/>
          <w:sz w:val="24"/>
        </w:rPr>
        <w:t xml:space="preserve">• Dynamic Run-of-Show Milestone Generator: </w:t>
      </w:r>
      <w:r>
        <w:rPr>
          <w:rFonts w:ascii="Times New Roman" w:hAnsi="Times New Roman"/>
          <w:color w:val="1E293B"/>
          <w:sz w:val="24"/>
        </w:rPr>
        <w:t>Builds hour-by-hour operational schedules with customized ritual presets (South Indian Muhurtham, North Indian Sangeet, Christian Ceremony, Corporate Summit) synchronized with meal timings.</w:t>
      </w:r>
    </w:p>
    <w:p>
      <w:pPr>
        <w:pStyle w:val="ListBullet"/>
        <w:spacing w:line="276" w:lineRule="auto" w:after="80"/>
        <w:jc w:val="both"/>
      </w:pPr>
      <w:r>
        <w:rPr>
          <w:rFonts w:ascii="Times New Roman" w:hAnsi="Times New Roman"/>
          <w:b/>
          <w:color w:val="1E293B"/>
          <w:sz w:val="24"/>
        </w:rPr>
        <w:t xml:space="preserve">• Strict Human-in-the-Loop Approval Gate: </w:t>
      </w:r>
      <w:r>
        <w:rPr>
          <w:rFonts w:ascii="Times New Roman" w:hAnsi="Times New Roman"/>
          <w:color w:val="1E293B"/>
          <w:sz w:val="24"/>
        </w:rPr>
        <w:t>LangGraph state machine pauses execution before booking, allowing the host to swap vendors, add custom milestones, or alter budget limits.</w:t>
      </w:r>
    </w:p>
    <w:p>
      <w:pPr>
        <w:pStyle w:val="ListBullet"/>
        <w:spacing w:line="276" w:lineRule="auto" w:after="80"/>
        <w:jc w:val="both"/>
      </w:pPr>
      <w:r>
        <w:rPr>
          <w:rFonts w:ascii="Times New Roman" w:hAnsi="Times New Roman"/>
          <w:b/>
          <w:color w:val="1E293B"/>
          <w:sz w:val="24"/>
        </w:rPr>
        <w:t xml:space="preserve">• Sub-Second Autonomous Sentinel Watchdog: </w:t>
      </w:r>
      <w:r>
        <w:rPr>
          <w:rFonts w:ascii="Times New Roman" w:hAnsi="Times New Roman"/>
          <w:color w:val="1E293B"/>
          <w:sz w:val="24"/>
        </w:rPr>
        <w:t>A background watchdog agent that monitors vendor status, detects cancellation events, and autonomously provisions replacement vendors within the exact budget slice in 1.79 seconds.</w:t>
      </w:r>
    </w:p>
    <w:p>
      <w:pPr>
        <w:pStyle w:val="ListBullet"/>
        <w:spacing w:line="276" w:lineRule="auto" w:after="80"/>
        <w:jc w:val="both"/>
      </w:pPr>
      <w:r>
        <w:rPr>
          <w:rFonts w:ascii="Times New Roman" w:hAnsi="Times New Roman"/>
          <w:b/>
          <w:color w:val="1E293B"/>
          <w:sz w:val="24"/>
        </w:rPr>
        <w:t xml:space="preserve">• Instant 1-Click RFP Dispatching: </w:t>
      </w:r>
      <w:r>
        <w:rPr>
          <w:rFonts w:ascii="Times New Roman" w:hAnsi="Times New Roman"/>
          <w:color w:val="1E293B"/>
          <w:sz w:val="24"/>
        </w:rPr>
        <w:t>Auto-synthesizes pre-filled WhatsApp click-to-chat links (https://wa.me/) and mailto links for instantaneous vendor onboarding.</w:t>
      </w:r>
    </w:p>
    <w:p>
      <w:pPr>
        <w:keepNext/>
        <w:spacing w:before="280" w:after="120"/>
      </w:pPr>
      <w:r>
        <w:rPr>
          <w:rFonts w:ascii="Times New Roman" w:hAnsi="Times New Roman"/>
          <w:b/>
          <w:color w:val="1E40AF"/>
          <w:sz w:val="26"/>
        </w:rPr>
        <w:t>4.3 Agent-Based Approach vs. Traditional Paradigms</w:t>
      </w:r>
    </w:p>
    <w:p>
      <w:pPr>
        <w:spacing w:line="276" w:lineRule="auto" w:after="120"/>
        <w:jc w:val="both"/>
      </w:pPr>
      <w:r>
        <w:rPr>
          <w:rFonts w:ascii="Times New Roman" w:hAnsi="Times New Roman"/>
          <w:color w:val="1E293B"/>
          <w:sz w:val="24"/>
        </w:rPr>
        <w:t>The multi-agent paradigm provides distinct advantages over monolithic software and single-prompt LLM architectures. By enforcing separation of concerns, each agent maintains its own domain prompt, tool bindings, validation schema, and error recovery policies. If the live search API encounters network latency, the Vendor Agent isolates the failure and falls back to the curated knowledge base without crashing the budget or requirement reasoning pipelines.</w:t>
      </w:r>
    </w:p>
    <w:p>
      <w:pPr>
        <w:keepNext/>
        <w:spacing w:before="360" w:after="160"/>
      </w:pPr>
      <w:r>
        <w:rPr>
          <w:rFonts w:ascii="Times New Roman" w:hAnsi="Times New Roman"/>
          <w:b/>
          <w:color w:val="1E3A8A"/>
          <w:sz w:val="30"/>
        </w:rPr>
        <w:t>5. DATASET AND KNOWLEDGE SOURCES</w:t>
      </w:r>
    </w:p>
    <w:p>
      <w:pPr>
        <w:keepNext/>
        <w:spacing w:before="280" w:after="120"/>
      </w:pPr>
      <w:r>
        <w:rPr>
          <w:rFonts w:ascii="Times New Roman" w:hAnsi="Times New Roman"/>
          <w:b/>
          <w:color w:val="1E40AF"/>
          <w:sz w:val="26"/>
        </w:rPr>
        <w:t>5.1 Dataset and Knowledge Source Description</w:t>
      </w:r>
    </w:p>
    <w:p>
      <w:pPr>
        <w:spacing w:line="276" w:lineRule="auto" w:after="120"/>
        <w:jc w:val="both"/>
      </w:pPr>
      <w:r>
        <w:rPr>
          <w:rFonts w:ascii="Times New Roman" w:hAnsi="Times New Roman"/>
          <w:color w:val="1E293B"/>
          <w:sz w:val="24"/>
        </w:rPr>
        <w:t>FlowGenie employs a robust Dual-Tier Data Sourcing Pipeline designed to eliminate hallucinated business names, unrealistic pricing, and invalid phone numbers.</w:t>
      </w:r>
    </w:p>
    <w:p>
      <w:pPr>
        <w:spacing w:line="276" w:lineRule="auto" w:after="120"/>
        <w:jc w:val="both"/>
      </w:pPr>
      <w:r>
        <w:rPr>
          <w:rFonts w:ascii="Times New Roman" w:hAnsi="Times New Roman"/>
          <w:color w:val="1E293B"/>
          <w:sz w:val="24"/>
        </w:rPr>
        <w:t>Tier 1: Live Web Sourcing via Tavily Search API: For real-time, location-specific queries, the Vendor Sourcing Agent dynamically formulates targeted search strings targeting verified business directories (e.g., Justdial, WedMeGood, Sulekha, WeddingWire). The search queries are dynamically constructed using the format: '[top / best] + [category] + in + [city] + [Justdial / WedMeGood]'. The raw JSON payload returned by Tavily contains business titles, review snippets, website URLs, and physical addresses. A brand cleaning regex engine strips SEO clickbait tokens (e.g., 'Top 10 Best', 'Verified', 'Check Reviews') to extract clean canonical company names.</w:t>
      </w:r>
    </w:p>
    <w:p>
      <w:pPr>
        <w:spacing w:line="276" w:lineRule="auto" w:after="120"/>
        <w:jc w:val="both"/>
      </w:pPr>
      <w:r>
        <w:rPr>
          <w:rFonts w:ascii="Times New Roman" w:hAnsi="Times New Roman"/>
          <w:color w:val="1E293B"/>
          <w:sz w:val="24"/>
        </w:rPr>
        <w:t>Tier 2: Curated &amp; Calibrated Regional Indian Knowledge Base: To guarantee 100% offline availability and provide realistic pricing ground-truth in Indian Rupees (INR), FlowGenie embeds a comprehensive, structured knowledge base encompassing 7 core categories across major metropolitan regions (Bangalore, Mumbai, Delhi NCR, Chennai, Hyderabad, Kolkata):</w:t>
      </w:r>
    </w:p>
    <w:p>
      <w:pPr>
        <w:pStyle w:val="ListBullet"/>
        <w:spacing w:line="276" w:lineRule="auto" w:after="80"/>
        <w:jc w:val="both"/>
      </w:pPr>
      <w:r>
        <w:rPr>
          <w:rFonts w:ascii="Times New Roman" w:hAnsi="Times New Roman"/>
          <w:b/>
          <w:color w:val="1E293B"/>
          <w:sz w:val="24"/>
        </w:rPr>
        <w:t xml:space="preserve">1. Venue Knowledge Base: </w:t>
      </w:r>
      <w:r>
        <w:rPr>
          <w:rFonts w:ascii="Times New Roman" w:hAnsi="Times New Roman"/>
          <w:color w:val="1E293B"/>
          <w:sz w:val="24"/>
        </w:rPr>
        <w:t>Venues: Heritage palaces, star convention centres, banquet halls, open-air garden lawns with capacity specs (50 to 1,500 guests) and calibrated base pricing (Rs. 35,000 to Rs. 3,50,000).</w:t>
      </w:r>
    </w:p>
    <w:p>
      <w:pPr>
        <w:pStyle w:val="ListBullet"/>
        <w:spacing w:line="276" w:lineRule="auto" w:after="80"/>
        <w:jc w:val="both"/>
      </w:pPr>
      <w:r>
        <w:rPr>
          <w:rFonts w:ascii="Times New Roman" w:hAnsi="Times New Roman"/>
          <w:b/>
          <w:color w:val="1E293B"/>
          <w:sz w:val="24"/>
        </w:rPr>
        <w:t xml:space="preserve">2. Catering Knowledge Base: </w:t>
      </w:r>
      <w:r>
        <w:rPr>
          <w:rFonts w:ascii="Times New Roman" w:hAnsi="Times New Roman"/>
          <w:color w:val="1E293B"/>
          <w:sz w:val="24"/>
        </w:rPr>
        <w:t>Catering: Pure vegetarian, South Indian traditional feast, North Indian royal, Mughal feast, Continental, and multi-cuisine caterers with per-plate pricing models (Rs. 350 to Rs. 1,800 per guest) and meal slot compatibility tags (Morning Breakfast, Afternoon Lunch, Evening Dinner).</w:t>
      </w:r>
    </w:p>
    <w:p>
      <w:pPr>
        <w:pStyle w:val="ListBullet"/>
        <w:spacing w:line="276" w:lineRule="auto" w:after="80"/>
        <w:jc w:val="both"/>
      </w:pPr>
      <w:r>
        <w:rPr>
          <w:rFonts w:ascii="Times New Roman" w:hAnsi="Times New Roman"/>
          <w:b/>
          <w:color w:val="1E293B"/>
          <w:sz w:val="24"/>
        </w:rPr>
        <w:t xml:space="preserve">3. Decor Knowledge Base: </w:t>
      </w:r>
      <w:r>
        <w:rPr>
          <w:rFonts w:ascii="Times New Roman" w:hAnsi="Times New Roman"/>
          <w:color w:val="1E293B"/>
          <w:sz w:val="24"/>
        </w:rPr>
        <w:t>Decor: Minimal floral, Royal traditional mandap, Bohemian chic, Modern contemporary, and Luxury crystal themes with lighting and stage infrastructure specifications.</w:t>
      </w:r>
    </w:p>
    <w:p>
      <w:pPr>
        <w:pStyle w:val="ListBullet"/>
        <w:spacing w:line="276" w:lineRule="auto" w:after="80"/>
        <w:jc w:val="both"/>
      </w:pPr>
      <w:r>
        <w:rPr>
          <w:rFonts w:ascii="Times New Roman" w:hAnsi="Times New Roman"/>
          <w:b/>
          <w:color w:val="1E293B"/>
          <w:sz w:val="24"/>
        </w:rPr>
        <w:t xml:space="preserve">4. Photography Knowledge Base: </w:t>
      </w:r>
      <w:r>
        <w:rPr>
          <w:rFonts w:ascii="Times New Roman" w:hAnsi="Times New Roman"/>
          <w:color w:val="1E293B"/>
          <w:sz w:val="24"/>
        </w:rPr>
        <w:t>Photography: Candid wedding photographers, traditional videographers, cinematic drone operators, and pre-wedding shoot specialists with day rates and portfolio ratings.</w:t>
      </w:r>
    </w:p>
    <w:p>
      <w:pPr>
        <w:pStyle w:val="ListBullet"/>
        <w:spacing w:line="276" w:lineRule="auto" w:after="80"/>
        <w:jc w:val="both"/>
      </w:pPr>
      <w:r>
        <w:rPr>
          <w:rFonts w:ascii="Times New Roman" w:hAnsi="Times New Roman"/>
          <w:b/>
          <w:color w:val="1E293B"/>
          <w:sz w:val="24"/>
        </w:rPr>
        <w:t xml:space="preserve">5. Entertainment Knowledge Base: </w:t>
      </w:r>
      <w:r>
        <w:rPr>
          <w:rFonts w:ascii="Times New Roman" w:hAnsi="Times New Roman"/>
          <w:color w:val="1E293B"/>
          <w:sz w:val="24"/>
        </w:rPr>
        <w:t>Entertainment &amp; Emcees: Live fusion bands, DJ sound systems, classical nadaswaram/shehnai artists, and bilingual master-of-ceremonies.</w:t>
      </w:r>
    </w:p>
    <w:p>
      <w:pPr>
        <w:pStyle w:val="ListBullet"/>
        <w:spacing w:line="276" w:lineRule="auto" w:after="80"/>
        <w:jc w:val="both"/>
      </w:pPr>
      <w:r>
        <w:rPr>
          <w:rFonts w:ascii="Times New Roman" w:hAnsi="Times New Roman"/>
          <w:b/>
          <w:color w:val="1E293B"/>
          <w:sz w:val="24"/>
        </w:rPr>
        <w:t xml:space="preserve">6. Styling Knowledge Base: </w:t>
      </w:r>
      <w:r>
        <w:rPr>
          <w:rFonts w:ascii="Times New Roman" w:hAnsi="Times New Roman"/>
          <w:color w:val="1E293B"/>
          <w:sz w:val="24"/>
        </w:rPr>
        <w:t>Bridal &amp; Groom Styling: Bridal makeup artists, HD airbrush specialists, saree draping, and grooming professionals.</w:t>
      </w:r>
    </w:p>
    <w:p>
      <w:pPr>
        <w:pStyle w:val="ListBullet"/>
        <w:spacing w:line="276" w:lineRule="auto" w:after="80"/>
        <w:jc w:val="both"/>
      </w:pPr>
      <w:r>
        <w:rPr>
          <w:rFonts w:ascii="Times New Roman" w:hAnsi="Times New Roman"/>
          <w:b/>
          <w:color w:val="1E293B"/>
          <w:sz w:val="24"/>
        </w:rPr>
        <w:t xml:space="preserve">7. Logistics Knowledge Base: </w:t>
      </w:r>
      <w:r>
        <w:rPr>
          <w:rFonts w:ascii="Times New Roman" w:hAnsi="Times New Roman"/>
          <w:color w:val="1E293B"/>
          <w:sz w:val="24"/>
        </w:rPr>
        <w:t>Logistics &amp; Valet: Luxury guest transport, airport shuttle fleets, and security management teams.</w:t>
      </w:r>
    </w:p>
    <w:p>
      <w:pPr>
        <w:keepNext/>
        <w:spacing w:before="360" w:after="160"/>
      </w:pPr>
      <w:r>
        <w:rPr>
          <w:rFonts w:ascii="Times New Roman" w:hAnsi="Times New Roman"/>
          <w:b/>
          <w:color w:val="1E3A8A"/>
          <w:sz w:val="30"/>
        </w:rPr>
        <w:t>6. TOOLS AND TECHNOLOGIES USED</w:t>
      </w:r>
    </w:p>
    <w:p>
      <w:pPr>
        <w:spacing w:line="276" w:lineRule="auto" w:after="120"/>
        <w:jc w:val="both"/>
      </w:pPr>
      <w:r>
        <w:rPr>
          <w:rFonts w:ascii="Times New Roman" w:hAnsi="Times New Roman"/>
          <w:color w:val="1E293B"/>
          <w:sz w:val="24"/>
        </w:rPr>
        <w:t>FlowGenie is built upon modern, high-performance open-source technologies, cloud inference engines, and web standards. The comprehensive technology stack is summarized below:</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2340"/>
        <w:gridCol w:w="2340"/>
        <w:gridCol w:w="2340"/>
        <w:gridCol w:w="2340"/>
      </w:tblGrid>
      <w:tr>
        <w:tc>
          <w:tcPr>
            <w:tcW w:type="dxa" w:w="2160"/>
            <w:shd w:fill="1E3A8A"/>
            <w:tcMar>
              <w:top w:w="120" w:type="dxa"/>
              <w:bottom w:w="120" w:type="dxa"/>
              <w:left w:w="150" w:type="dxa"/>
              <w:right w:w="150" w:type="dxa"/>
            </w:tcMar>
          </w:tcPr>
          <w:p>
            <w:pPr>
              <w:jc w:val="center"/>
            </w:pPr>
            <w:r>
              <w:rPr>
                <w:rFonts w:ascii="Times New Roman" w:hAnsi="Times New Roman"/>
                <w:b/>
                <w:color w:val="FFFFFF"/>
                <w:sz w:val="21"/>
              </w:rPr>
              <w:t>Architectural Layer</w:t>
            </w:r>
          </w:p>
        </w:tc>
        <w:tc>
          <w:tcPr>
            <w:tcW w:type="dxa" w:w="2592"/>
            <w:shd w:fill="1E3A8A"/>
            <w:tcMar>
              <w:top w:w="120" w:type="dxa"/>
              <w:bottom w:w="120" w:type="dxa"/>
              <w:left w:w="150" w:type="dxa"/>
              <w:right w:w="150" w:type="dxa"/>
            </w:tcMar>
          </w:tcPr>
          <w:p>
            <w:pPr>
              <w:jc w:val="center"/>
            </w:pPr>
            <w:r>
              <w:rPr>
                <w:rFonts w:ascii="Times New Roman" w:hAnsi="Times New Roman"/>
                <w:b/>
                <w:color w:val="FFFFFF"/>
                <w:sz w:val="21"/>
              </w:rPr>
              <w:t>Technology / Library</w:t>
            </w:r>
          </w:p>
        </w:tc>
        <w:tc>
          <w:tcPr>
            <w:tcW w:type="dxa" w:w="2592"/>
            <w:shd w:fill="1E3A8A"/>
            <w:tcMar>
              <w:top w:w="120" w:type="dxa"/>
              <w:bottom w:w="120" w:type="dxa"/>
              <w:left w:w="150" w:type="dxa"/>
              <w:right w:w="150" w:type="dxa"/>
            </w:tcMar>
          </w:tcPr>
          <w:p>
            <w:pPr>
              <w:jc w:val="center"/>
            </w:pPr>
            <w:r>
              <w:rPr>
                <w:rFonts w:ascii="Times New Roman" w:hAnsi="Times New Roman"/>
                <w:b/>
                <w:color w:val="FFFFFF"/>
                <w:sz w:val="21"/>
              </w:rPr>
              <w:t>Version / Model</w:t>
            </w:r>
          </w:p>
        </w:tc>
        <w:tc>
          <w:tcPr>
            <w:tcW w:type="dxa" w:w="2736"/>
            <w:shd w:fill="1E3A8A"/>
            <w:tcMar>
              <w:top w:w="120" w:type="dxa"/>
              <w:bottom w:w="120" w:type="dxa"/>
              <w:left w:w="150" w:type="dxa"/>
              <w:right w:w="150" w:type="dxa"/>
            </w:tcMar>
          </w:tcPr>
          <w:p>
            <w:pPr>
              <w:jc w:val="center"/>
            </w:pPr>
            <w:r>
              <w:rPr>
                <w:rFonts w:ascii="Times New Roman" w:hAnsi="Times New Roman"/>
                <w:b/>
                <w:color w:val="FFFFFF"/>
                <w:sz w:val="21"/>
              </w:rPr>
              <w:t>Core Functional Purpose</w:t>
            </w:r>
          </w:p>
        </w:tc>
      </w:tr>
      <w:tr>
        <w:tc>
          <w:tcPr>
            <w:tcW w:type="dxa" w:w="2160"/>
            <w:shd w:fill="FFFFFF"/>
            <w:tcMar>
              <w:top w:w="100" w:type="dxa"/>
              <w:bottom w:w="100" w:type="dxa"/>
              <w:left w:w="150" w:type="dxa"/>
              <w:right w:w="150" w:type="dxa"/>
            </w:tcMar>
          </w:tcPr>
          <w:p>
            <w:pPr>
              <w:jc w:val="left"/>
            </w:pPr>
            <w:r>
              <w:rPr>
                <w:rFonts w:ascii="Times New Roman" w:hAnsi="Times New Roman"/>
                <w:color w:val="1E293B"/>
                <w:sz w:val="20"/>
              </w:rPr>
              <w:t>Language Model</w:t>
            </w:r>
          </w:p>
        </w:tc>
        <w:tc>
          <w:tcPr>
            <w:tcW w:type="dxa" w:w="2592"/>
            <w:shd w:fill="FFFFFF"/>
            <w:tcMar>
              <w:top w:w="100" w:type="dxa"/>
              <w:bottom w:w="100" w:type="dxa"/>
              <w:left w:w="150" w:type="dxa"/>
              <w:right w:w="150" w:type="dxa"/>
            </w:tcMar>
          </w:tcPr>
          <w:p>
            <w:pPr>
              <w:jc w:val="left"/>
            </w:pPr>
            <w:r>
              <w:rPr>
                <w:rFonts w:ascii="Times New Roman" w:hAnsi="Times New Roman"/>
                <w:color w:val="1E293B"/>
                <w:sz w:val="20"/>
              </w:rPr>
              <w:t>Groq Cloud API</w:t>
            </w:r>
          </w:p>
        </w:tc>
        <w:tc>
          <w:tcPr>
            <w:tcW w:type="dxa" w:w="2592"/>
            <w:shd w:fill="FFFFFF"/>
            <w:tcMar>
              <w:top w:w="100" w:type="dxa"/>
              <w:bottom w:w="100" w:type="dxa"/>
              <w:left w:w="150" w:type="dxa"/>
              <w:right w:w="150" w:type="dxa"/>
            </w:tcMar>
          </w:tcPr>
          <w:p>
            <w:pPr>
              <w:jc w:val="left"/>
            </w:pPr>
            <w:r>
              <w:rPr>
                <w:rFonts w:ascii="Times New Roman" w:hAnsi="Times New Roman"/>
                <w:color w:val="1E293B"/>
                <w:sz w:val="20"/>
              </w:rPr>
              <w:t>Llama-3.3-70b-versatile</w:t>
            </w:r>
          </w:p>
        </w:tc>
        <w:tc>
          <w:tcPr>
            <w:tcW w:type="dxa" w:w="2736"/>
            <w:shd w:fill="FFFFFF"/>
            <w:tcMar>
              <w:top w:w="100" w:type="dxa"/>
              <w:bottom w:w="100" w:type="dxa"/>
              <w:left w:w="150" w:type="dxa"/>
              <w:right w:w="150" w:type="dxa"/>
            </w:tcMar>
          </w:tcPr>
          <w:p>
            <w:pPr>
              <w:jc w:val="both"/>
            </w:pPr>
            <w:r>
              <w:rPr>
                <w:rFonts w:ascii="Times New Roman" w:hAnsi="Times New Roman"/>
                <w:color w:val="1E293B"/>
                <w:sz w:val="20"/>
              </w:rPr>
              <w:t>Ultra-fast inference for natural language intent and entity extraction.</w:t>
            </w:r>
          </w:p>
        </w:tc>
      </w:tr>
      <w:tr>
        <w:tc>
          <w:tcPr>
            <w:tcW w:type="dxa" w:w="2160"/>
            <w:shd w:fill="F8FAFC"/>
            <w:tcMar>
              <w:top w:w="100" w:type="dxa"/>
              <w:bottom w:w="100" w:type="dxa"/>
              <w:left w:w="150" w:type="dxa"/>
              <w:right w:w="150" w:type="dxa"/>
            </w:tcMar>
          </w:tcPr>
          <w:p>
            <w:pPr>
              <w:jc w:val="left"/>
            </w:pPr>
            <w:r>
              <w:rPr>
                <w:rFonts w:ascii="Times New Roman" w:hAnsi="Times New Roman"/>
                <w:color w:val="1E293B"/>
                <w:sz w:val="20"/>
              </w:rPr>
              <w:t>Agent Orchestration</w:t>
            </w:r>
          </w:p>
        </w:tc>
        <w:tc>
          <w:tcPr>
            <w:tcW w:type="dxa" w:w="2592"/>
            <w:shd w:fill="F8FAFC"/>
            <w:tcMar>
              <w:top w:w="100" w:type="dxa"/>
              <w:bottom w:w="100" w:type="dxa"/>
              <w:left w:w="150" w:type="dxa"/>
              <w:right w:w="150" w:type="dxa"/>
            </w:tcMar>
          </w:tcPr>
          <w:p>
            <w:pPr>
              <w:jc w:val="left"/>
            </w:pPr>
            <w:r>
              <w:rPr>
                <w:rFonts w:ascii="Times New Roman" w:hAnsi="Times New Roman"/>
                <w:color w:val="1E293B"/>
                <w:sz w:val="20"/>
              </w:rPr>
              <w:t>LangGraph</w:t>
            </w:r>
          </w:p>
        </w:tc>
        <w:tc>
          <w:tcPr>
            <w:tcW w:type="dxa" w:w="2592"/>
            <w:shd w:fill="F8FAFC"/>
            <w:tcMar>
              <w:top w:w="100" w:type="dxa"/>
              <w:bottom w:w="100" w:type="dxa"/>
              <w:left w:w="150" w:type="dxa"/>
              <w:right w:w="150" w:type="dxa"/>
            </w:tcMar>
          </w:tcPr>
          <w:p>
            <w:pPr>
              <w:jc w:val="left"/>
            </w:pPr>
            <w:r>
              <w:rPr>
                <w:rFonts w:ascii="Times New Roman" w:hAnsi="Times New Roman"/>
                <w:color w:val="1E293B"/>
                <w:sz w:val="20"/>
              </w:rPr>
              <w:t>v0.2.x</w:t>
            </w:r>
          </w:p>
        </w:tc>
        <w:tc>
          <w:tcPr>
            <w:tcW w:type="dxa" w:w="2736"/>
            <w:shd w:fill="F8FAFC"/>
            <w:tcMar>
              <w:top w:w="100" w:type="dxa"/>
              <w:bottom w:w="100" w:type="dxa"/>
              <w:left w:w="150" w:type="dxa"/>
              <w:right w:w="150" w:type="dxa"/>
            </w:tcMar>
          </w:tcPr>
          <w:p>
            <w:pPr>
              <w:jc w:val="both"/>
            </w:pPr>
            <w:r>
              <w:rPr>
                <w:rFonts w:ascii="Times New Roman" w:hAnsi="Times New Roman"/>
                <w:color w:val="1E293B"/>
                <w:sz w:val="20"/>
              </w:rPr>
              <w:t>Stateful directed acyclic graph (DAG), state checkpointing, and conditional gates.</w:t>
            </w:r>
          </w:p>
        </w:tc>
      </w:tr>
      <w:tr>
        <w:tc>
          <w:tcPr>
            <w:tcW w:type="dxa" w:w="2160"/>
            <w:shd w:fill="FFFFFF"/>
            <w:tcMar>
              <w:top w:w="100" w:type="dxa"/>
              <w:bottom w:w="100" w:type="dxa"/>
              <w:left w:w="150" w:type="dxa"/>
              <w:right w:w="150" w:type="dxa"/>
            </w:tcMar>
          </w:tcPr>
          <w:p>
            <w:pPr>
              <w:jc w:val="left"/>
            </w:pPr>
            <w:r>
              <w:rPr>
                <w:rFonts w:ascii="Times New Roman" w:hAnsi="Times New Roman"/>
                <w:color w:val="1E293B"/>
                <w:sz w:val="20"/>
              </w:rPr>
              <w:t>Multi-Agent Framework</w:t>
            </w:r>
          </w:p>
        </w:tc>
        <w:tc>
          <w:tcPr>
            <w:tcW w:type="dxa" w:w="2592"/>
            <w:shd w:fill="FFFFFF"/>
            <w:tcMar>
              <w:top w:w="100" w:type="dxa"/>
              <w:bottom w:w="100" w:type="dxa"/>
              <w:left w:w="150" w:type="dxa"/>
              <w:right w:w="150" w:type="dxa"/>
            </w:tcMar>
          </w:tcPr>
          <w:p>
            <w:pPr>
              <w:jc w:val="left"/>
            </w:pPr>
            <w:r>
              <w:rPr>
                <w:rFonts w:ascii="Times New Roman" w:hAnsi="Times New Roman"/>
                <w:color w:val="1E293B"/>
                <w:sz w:val="20"/>
              </w:rPr>
              <w:t>CrewAI Concept &amp; Custom</w:t>
            </w:r>
          </w:p>
        </w:tc>
        <w:tc>
          <w:tcPr>
            <w:tcW w:type="dxa" w:w="2592"/>
            <w:shd w:fill="FFFFFF"/>
            <w:tcMar>
              <w:top w:w="100" w:type="dxa"/>
              <w:bottom w:w="100" w:type="dxa"/>
              <w:left w:w="150" w:type="dxa"/>
              <w:right w:w="150" w:type="dxa"/>
            </w:tcMar>
          </w:tcPr>
          <w:p>
            <w:pPr>
              <w:jc w:val="left"/>
            </w:pPr>
            <w:r>
              <w:rPr>
                <w:rFonts w:ascii="Times New Roman" w:hAnsi="Times New Roman"/>
                <w:color w:val="1E293B"/>
                <w:sz w:val="20"/>
              </w:rPr>
              <w:t>Custom Modular Agents</w:t>
            </w:r>
          </w:p>
        </w:tc>
        <w:tc>
          <w:tcPr>
            <w:tcW w:type="dxa" w:w="2736"/>
            <w:shd w:fill="FFFFFF"/>
            <w:tcMar>
              <w:top w:w="100" w:type="dxa"/>
              <w:bottom w:w="100" w:type="dxa"/>
              <w:left w:w="150" w:type="dxa"/>
              <w:right w:w="150" w:type="dxa"/>
            </w:tcMar>
          </w:tcPr>
          <w:p>
            <w:pPr>
              <w:jc w:val="both"/>
            </w:pPr>
            <w:r>
              <w:rPr>
                <w:rFonts w:ascii="Times New Roman" w:hAnsi="Times New Roman"/>
                <w:color w:val="1E293B"/>
                <w:sz w:val="20"/>
              </w:rPr>
              <w:t>Role, goal, backstory, and domain-specialized execution patterns.</w:t>
            </w:r>
          </w:p>
        </w:tc>
      </w:tr>
      <w:tr>
        <w:tc>
          <w:tcPr>
            <w:tcW w:type="dxa" w:w="2160"/>
            <w:shd w:fill="F8FAFC"/>
            <w:tcMar>
              <w:top w:w="100" w:type="dxa"/>
              <w:bottom w:w="100" w:type="dxa"/>
              <w:left w:w="150" w:type="dxa"/>
              <w:right w:w="150" w:type="dxa"/>
            </w:tcMar>
          </w:tcPr>
          <w:p>
            <w:pPr>
              <w:jc w:val="left"/>
            </w:pPr>
            <w:r>
              <w:rPr>
                <w:rFonts w:ascii="Times New Roman" w:hAnsi="Times New Roman"/>
                <w:color w:val="1E293B"/>
                <w:sz w:val="20"/>
              </w:rPr>
              <w:t>Web Search &amp; Discovery</w:t>
            </w:r>
          </w:p>
        </w:tc>
        <w:tc>
          <w:tcPr>
            <w:tcW w:type="dxa" w:w="2592"/>
            <w:shd w:fill="F8FAFC"/>
            <w:tcMar>
              <w:top w:w="100" w:type="dxa"/>
              <w:bottom w:w="100" w:type="dxa"/>
              <w:left w:w="150" w:type="dxa"/>
              <w:right w:w="150" w:type="dxa"/>
            </w:tcMar>
          </w:tcPr>
          <w:p>
            <w:pPr>
              <w:jc w:val="left"/>
            </w:pPr>
            <w:r>
              <w:rPr>
                <w:rFonts w:ascii="Times New Roman" w:hAnsi="Times New Roman"/>
                <w:color w:val="1E293B"/>
                <w:sz w:val="20"/>
              </w:rPr>
              <w:t>Tavily Search API</w:t>
            </w:r>
          </w:p>
        </w:tc>
        <w:tc>
          <w:tcPr>
            <w:tcW w:type="dxa" w:w="2592"/>
            <w:shd w:fill="F8FAFC"/>
            <w:tcMar>
              <w:top w:w="100" w:type="dxa"/>
              <w:bottom w:w="100" w:type="dxa"/>
              <w:left w:w="150" w:type="dxa"/>
              <w:right w:w="150" w:type="dxa"/>
            </w:tcMar>
          </w:tcPr>
          <w:p>
            <w:pPr>
              <w:jc w:val="left"/>
            </w:pPr>
            <w:r>
              <w:rPr>
                <w:rFonts w:ascii="Times New Roman" w:hAnsi="Times New Roman"/>
                <w:color w:val="1E293B"/>
                <w:sz w:val="20"/>
              </w:rPr>
              <w:t>REST JSON API</w:t>
            </w:r>
          </w:p>
        </w:tc>
        <w:tc>
          <w:tcPr>
            <w:tcW w:type="dxa" w:w="2736"/>
            <w:shd w:fill="F8FAFC"/>
            <w:tcMar>
              <w:top w:w="100" w:type="dxa"/>
              <w:bottom w:w="100" w:type="dxa"/>
              <w:left w:w="150" w:type="dxa"/>
              <w:right w:w="150" w:type="dxa"/>
            </w:tcMar>
          </w:tcPr>
          <w:p>
            <w:pPr>
              <w:jc w:val="both"/>
            </w:pPr>
            <w:r>
              <w:rPr>
                <w:rFonts w:ascii="Times New Roman" w:hAnsi="Times New Roman"/>
                <w:color w:val="1E293B"/>
                <w:sz w:val="20"/>
              </w:rPr>
              <w:t>Real-time web discovery across Indian business directories.</w:t>
            </w:r>
          </w:p>
        </w:tc>
      </w:tr>
      <w:tr>
        <w:tc>
          <w:tcPr>
            <w:tcW w:type="dxa" w:w="2160"/>
            <w:shd w:fill="FFFFFF"/>
            <w:tcMar>
              <w:top w:w="100" w:type="dxa"/>
              <w:bottom w:w="100" w:type="dxa"/>
              <w:left w:w="150" w:type="dxa"/>
              <w:right w:w="150" w:type="dxa"/>
            </w:tcMar>
          </w:tcPr>
          <w:p>
            <w:pPr>
              <w:jc w:val="left"/>
            </w:pPr>
            <w:r>
              <w:rPr>
                <w:rFonts w:ascii="Times New Roman" w:hAnsi="Times New Roman"/>
                <w:color w:val="1E293B"/>
                <w:sz w:val="20"/>
              </w:rPr>
              <w:t>Backend Web Framework</w:t>
            </w:r>
          </w:p>
        </w:tc>
        <w:tc>
          <w:tcPr>
            <w:tcW w:type="dxa" w:w="2592"/>
            <w:shd w:fill="FFFFFF"/>
            <w:tcMar>
              <w:top w:w="100" w:type="dxa"/>
              <w:bottom w:w="100" w:type="dxa"/>
              <w:left w:w="150" w:type="dxa"/>
              <w:right w:w="150" w:type="dxa"/>
            </w:tcMar>
          </w:tcPr>
          <w:p>
            <w:pPr>
              <w:jc w:val="left"/>
            </w:pPr>
            <w:r>
              <w:rPr>
                <w:rFonts w:ascii="Times New Roman" w:hAnsi="Times New Roman"/>
                <w:color w:val="1E293B"/>
                <w:sz w:val="20"/>
              </w:rPr>
              <w:t>FastAPI + Uvicorn</w:t>
            </w:r>
          </w:p>
        </w:tc>
        <w:tc>
          <w:tcPr>
            <w:tcW w:type="dxa" w:w="2592"/>
            <w:shd w:fill="FFFFFF"/>
            <w:tcMar>
              <w:top w:w="100" w:type="dxa"/>
              <w:bottom w:w="100" w:type="dxa"/>
              <w:left w:w="150" w:type="dxa"/>
              <w:right w:w="150" w:type="dxa"/>
            </w:tcMar>
          </w:tcPr>
          <w:p>
            <w:pPr>
              <w:jc w:val="left"/>
            </w:pPr>
            <w:r>
              <w:rPr>
                <w:rFonts w:ascii="Times New Roman" w:hAnsi="Times New Roman"/>
                <w:color w:val="1E293B"/>
                <w:sz w:val="20"/>
              </w:rPr>
              <w:t>FastAPI v0.115+</w:t>
            </w:r>
          </w:p>
        </w:tc>
        <w:tc>
          <w:tcPr>
            <w:tcW w:type="dxa" w:w="2736"/>
            <w:shd w:fill="FFFFFF"/>
            <w:tcMar>
              <w:top w:w="100" w:type="dxa"/>
              <w:bottom w:w="100" w:type="dxa"/>
              <w:left w:w="150" w:type="dxa"/>
              <w:right w:w="150" w:type="dxa"/>
            </w:tcMar>
          </w:tcPr>
          <w:p>
            <w:pPr>
              <w:jc w:val="both"/>
            </w:pPr>
            <w:r>
              <w:rPr>
                <w:rFonts w:ascii="Times New Roman" w:hAnsi="Times New Roman"/>
                <w:color w:val="1E293B"/>
                <w:sz w:val="20"/>
              </w:rPr>
              <w:t>Asynchronous REST API endpoints, Pydantic validation, background tasks.</w:t>
            </w:r>
          </w:p>
        </w:tc>
      </w:tr>
      <w:tr>
        <w:tc>
          <w:tcPr>
            <w:tcW w:type="dxa" w:w="2160"/>
            <w:shd w:fill="F8FAFC"/>
            <w:tcMar>
              <w:top w:w="100" w:type="dxa"/>
              <w:bottom w:w="100" w:type="dxa"/>
              <w:left w:w="150" w:type="dxa"/>
              <w:right w:w="150" w:type="dxa"/>
            </w:tcMar>
          </w:tcPr>
          <w:p>
            <w:pPr>
              <w:jc w:val="left"/>
            </w:pPr>
            <w:r>
              <w:rPr>
                <w:rFonts w:ascii="Times New Roman" w:hAnsi="Times New Roman"/>
                <w:color w:val="1E293B"/>
                <w:sz w:val="20"/>
              </w:rPr>
              <w:t>Database &amp; Storage</w:t>
            </w:r>
          </w:p>
        </w:tc>
        <w:tc>
          <w:tcPr>
            <w:tcW w:type="dxa" w:w="2592"/>
            <w:shd w:fill="F8FAFC"/>
            <w:tcMar>
              <w:top w:w="100" w:type="dxa"/>
              <w:bottom w:w="100" w:type="dxa"/>
              <w:left w:w="150" w:type="dxa"/>
              <w:right w:w="150" w:type="dxa"/>
            </w:tcMar>
          </w:tcPr>
          <w:p>
            <w:pPr>
              <w:jc w:val="left"/>
            </w:pPr>
            <w:r>
              <w:rPr>
                <w:rFonts w:ascii="Times New Roman" w:hAnsi="Times New Roman"/>
                <w:color w:val="1E293B"/>
                <w:sz w:val="20"/>
              </w:rPr>
              <w:t>SQLite3 + Python SQLite</w:t>
            </w:r>
          </w:p>
        </w:tc>
        <w:tc>
          <w:tcPr>
            <w:tcW w:type="dxa" w:w="2592"/>
            <w:shd w:fill="F8FAFC"/>
            <w:tcMar>
              <w:top w:w="100" w:type="dxa"/>
              <w:bottom w:w="100" w:type="dxa"/>
              <w:left w:w="150" w:type="dxa"/>
              <w:right w:w="150" w:type="dxa"/>
            </w:tcMar>
          </w:tcPr>
          <w:p>
            <w:pPr>
              <w:jc w:val="left"/>
            </w:pPr>
            <w:r>
              <w:rPr>
                <w:rFonts w:ascii="Times New Roman" w:hAnsi="Times New Roman"/>
                <w:color w:val="1E293B"/>
                <w:sz w:val="20"/>
              </w:rPr>
              <w:t>Embedded Engine</w:t>
            </w:r>
          </w:p>
        </w:tc>
        <w:tc>
          <w:tcPr>
            <w:tcW w:type="dxa" w:w="2736"/>
            <w:shd w:fill="F8FAFC"/>
            <w:tcMar>
              <w:top w:w="100" w:type="dxa"/>
              <w:bottom w:w="100" w:type="dxa"/>
              <w:left w:w="150" w:type="dxa"/>
              <w:right w:w="150" w:type="dxa"/>
            </w:tcMar>
          </w:tcPr>
          <w:p>
            <w:pPr>
              <w:jc w:val="both"/>
            </w:pPr>
            <w:r>
              <w:rPr>
                <w:rFonts w:ascii="Times New Roman" w:hAnsi="Times New Roman"/>
                <w:color w:val="1E293B"/>
                <w:sz w:val="20"/>
              </w:rPr>
              <w:t>PBKDF2 password hashing, user session tokens, and audit trails.</w:t>
            </w:r>
          </w:p>
        </w:tc>
      </w:tr>
      <w:tr>
        <w:tc>
          <w:tcPr>
            <w:tcW w:type="dxa" w:w="2160"/>
            <w:shd w:fill="FFFFFF"/>
            <w:tcMar>
              <w:top w:w="100" w:type="dxa"/>
              <w:bottom w:w="100" w:type="dxa"/>
              <w:left w:w="150" w:type="dxa"/>
              <w:right w:w="150" w:type="dxa"/>
            </w:tcMar>
          </w:tcPr>
          <w:p>
            <w:pPr>
              <w:jc w:val="left"/>
            </w:pPr>
            <w:r>
              <w:rPr>
                <w:rFonts w:ascii="Times New Roman" w:hAnsi="Times New Roman"/>
                <w:color w:val="1E293B"/>
                <w:sz w:val="20"/>
              </w:rPr>
              <w:t>Frontend Interface</w:t>
            </w:r>
          </w:p>
        </w:tc>
        <w:tc>
          <w:tcPr>
            <w:tcW w:type="dxa" w:w="2592"/>
            <w:shd w:fill="FFFFFF"/>
            <w:tcMar>
              <w:top w:w="100" w:type="dxa"/>
              <w:bottom w:w="100" w:type="dxa"/>
              <w:left w:w="150" w:type="dxa"/>
              <w:right w:w="150" w:type="dxa"/>
            </w:tcMar>
          </w:tcPr>
          <w:p>
            <w:pPr>
              <w:jc w:val="left"/>
            </w:pPr>
            <w:r>
              <w:rPr>
                <w:rFonts w:ascii="Times New Roman" w:hAnsi="Times New Roman"/>
                <w:color w:val="1E293B"/>
                <w:sz w:val="20"/>
              </w:rPr>
              <w:t>HTML5, CSS3, ES6 JS</w:t>
            </w:r>
          </w:p>
        </w:tc>
        <w:tc>
          <w:tcPr>
            <w:tcW w:type="dxa" w:w="2592"/>
            <w:shd w:fill="FFFFFF"/>
            <w:tcMar>
              <w:top w:w="100" w:type="dxa"/>
              <w:bottom w:w="100" w:type="dxa"/>
              <w:left w:w="150" w:type="dxa"/>
              <w:right w:w="150" w:type="dxa"/>
            </w:tcMar>
          </w:tcPr>
          <w:p>
            <w:pPr>
              <w:jc w:val="left"/>
            </w:pPr>
            <w:r>
              <w:rPr>
                <w:rFonts w:ascii="Times New Roman" w:hAnsi="Times New Roman"/>
                <w:color w:val="1E293B"/>
                <w:sz w:val="20"/>
              </w:rPr>
              <w:t>Vanilla Zero-Dependency</w:t>
            </w:r>
          </w:p>
        </w:tc>
        <w:tc>
          <w:tcPr>
            <w:tcW w:type="dxa" w:w="2736"/>
            <w:shd w:fill="FFFFFF"/>
            <w:tcMar>
              <w:top w:w="100" w:type="dxa"/>
              <w:bottom w:w="100" w:type="dxa"/>
              <w:left w:w="150" w:type="dxa"/>
              <w:right w:w="150" w:type="dxa"/>
            </w:tcMar>
          </w:tcPr>
          <w:p>
            <w:pPr>
              <w:jc w:val="both"/>
            </w:pPr>
            <w:r>
              <w:rPr>
                <w:rFonts w:ascii="Times New Roman" w:hAnsi="Times New Roman"/>
                <w:color w:val="1E293B"/>
                <w:sz w:val="20"/>
              </w:rPr>
              <w:t>Modern glassmorphism UI with live Agent Thought Console &amp; HopeRise theme.</w:t>
            </w:r>
          </w:p>
        </w:tc>
      </w:tr>
      <w:tr>
        <w:tc>
          <w:tcPr>
            <w:tcW w:type="dxa" w:w="2160"/>
            <w:shd w:fill="F8FAFC"/>
            <w:tcMar>
              <w:top w:w="100" w:type="dxa"/>
              <w:bottom w:w="100" w:type="dxa"/>
              <w:left w:w="150" w:type="dxa"/>
              <w:right w:w="150" w:type="dxa"/>
            </w:tcMar>
          </w:tcPr>
          <w:p>
            <w:pPr>
              <w:jc w:val="left"/>
            </w:pPr>
            <w:r>
              <w:rPr>
                <w:rFonts w:ascii="Times New Roman" w:hAnsi="Times New Roman"/>
                <w:color w:val="1E293B"/>
                <w:sz w:val="20"/>
              </w:rPr>
              <w:t>Messaging Integration</w:t>
            </w:r>
          </w:p>
        </w:tc>
        <w:tc>
          <w:tcPr>
            <w:tcW w:type="dxa" w:w="2592"/>
            <w:shd w:fill="F8FAFC"/>
            <w:tcMar>
              <w:top w:w="100" w:type="dxa"/>
              <w:bottom w:w="100" w:type="dxa"/>
              <w:left w:w="150" w:type="dxa"/>
              <w:right w:w="150" w:type="dxa"/>
            </w:tcMar>
          </w:tcPr>
          <w:p>
            <w:pPr>
              <w:jc w:val="left"/>
            </w:pPr>
            <w:r>
              <w:rPr>
                <w:rFonts w:ascii="Times New Roman" w:hAnsi="Times New Roman"/>
                <w:color w:val="1E293B"/>
                <w:sz w:val="20"/>
              </w:rPr>
              <w:t>WhatsApp Web API</w:t>
            </w:r>
          </w:p>
        </w:tc>
        <w:tc>
          <w:tcPr>
            <w:tcW w:type="dxa" w:w="2592"/>
            <w:shd w:fill="F8FAFC"/>
            <w:tcMar>
              <w:top w:w="100" w:type="dxa"/>
              <w:bottom w:w="100" w:type="dxa"/>
              <w:left w:w="150" w:type="dxa"/>
              <w:right w:w="150" w:type="dxa"/>
            </w:tcMar>
          </w:tcPr>
          <w:p>
            <w:pPr>
              <w:jc w:val="left"/>
            </w:pPr>
            <w:r>
              <w:rPr>
                <w:rFonts w:ascii="Times New Roman" w:hAnsi="Times New Roman"/>
                <w:color w:val="1E293B"/>
                <w:sz w:val="20"/>
              </w:rPr>
              <w:t>wa.me Click-to-Chat</w:t>
            </w:r>
          </w:p>
        </w:tc>
        <w:tc>
          <w:tcPr>
            <w:tcW w:type="dxa" w:w="2736"/>
            <w:shd w:fill="F8FAFC"/>
            <w:tcMar>
              <w:top w:w="100" w:type="dxa"/>
              <w:bottom w:w="100" w:type="dxa"/>
              <w:left w:w="150" w:type="dxa"/>
              <w:right w:w="150" w:type="dxa"/>
            </w:tcMar>
          </w:tcPr>
          <w:p>
            <w:pPr>
              <w:jc w:val="both"/>
            </w:pPr>
            <w:r>
              <w:rPr>
                <w:rFonts w:ascii="Times New Roman" w:hAnsi="Times New Roman"/>
                <w:color w:val="1E293B"/>
                <w:sz w:val="20"/>
              </w:rPr>
              <w:t>Direct RFP dispatch to supplier phone numbers with pre-filled briefs.</w:t>
            </w:r>
          </w:p>
        </w:tc>
      </w:tr>
      <w:tr>
        <w:tc>
          <w:tcPr>
            <w:tcW w:type="dxa" w:w="2160"/>
            <w:shd w:fill="FFFFFF"/>
            <w:tcMar>
              <w:top w:w="100" w:type="dxa"/>
              <w:bottom w:w="100" w:type="dxa"/>
              <w:left w:w="150" w:type="dxa"/>
              <w:right w:w="150" w:type="dxa"/>
            </w:tcMar>
          </w:tcPr>
          <w:p>
            <w:pPr>
              <w:jc w:val="left"/>
            </w:pPr>
            <w:r>
              <w:rPr>
                <w:rFonts w:ascii="Times New Roman" w:hAnsi="Times New Roman"/>
                <w:color w:val="1E293B"/>
                <w:sz w:val="20"/>
              </w:rPr>
              <w:t>Testing &amp; Benchmarking</w:t>
            </w:r>
          </w:p>
        </w:tc>
        <w:tc>
          <w:tcPr>
            <w:tcW w:type="dxa" w:w="2592"/>
            <w:shd w:fill="FFFFFF"/>
            <w:tcMar>
              <w:top w:w="100" w:type="dxa"/>
              <w:bottom w:w="100" w:type="dxa"/>
              <w:left w:w="150" w:type="dxa"/>
              <w:right w:w="150" w:type="dxa"/>
            </w:tcMar>
          </w:tcPr>
          <w:p>
            <w:pPr>
              <w:jc w:val="left"/>
            </w:pPr>
            <w:r>
              <w:rPr>
                <w:rFonts w:ascii="Times New Roman" w:hAnsi="Times New Roman"/>
                <w:color w:val="1E293B"/>
                <w:sz w:val="20"/>
              </w:rPr>
              <w:t>Python Unittest + Pytest</w:t>
            </w:r>
          </w:p>
        </w:tc>
        <w:tc>
          <w:tcPr>
            <w:tcW w:type="dxa" w:w="2592"/>
            <w:shd w:fill="FFFFFF"/>
            <w:tcMar>
              <w:top w:w="100" w:type="dxa"/>
              <w:bottom w:w="100" w:type="dxa"/>
              <w:left w:w="150" w:type="dxa"/>
              <w:right w:w="150" w:type="dxa"/>
            </w:tcMar>
          </w:tcPr>
          <w:p>
            <w:pPr>
              <w:jc w:val="left"/>
            </w:pPr>
            <w:r>
              <w:rPr>
                <w:rFonts w:ascii="Times New Roman" w:hAnsi="Times New Roman"/>
                <w:color w:val="1E293B"/>
                <w:sz w:val="20"/>
              </w:rPr>
              <w:t>Python 3.12 Standard</w:t>
            </w:r>
          </w:p>
        </w:tc>
        <w:tc>
          <w:tcPr>
            <w:tcW w:type="dxa" w:w="2736"/>
            <w:shd w:fill="FFFFFF"/>
            <w:tcMar>
              <w:top w:w="100" w:type="dxa"/>
              <w:bottom w:w="100" w:type="dxa"/>
              <w:left w:w="150" w:type="dxa"/>
              <w:right w:w="150" w:type="dxa"/>
            </w:tcMar>
          </w:tcPr>
          <w:p>
            <w:pPr>
              <w:jc w:val="both"/>
            </w:pPr>
            <w:r>
              <w:rPr>
                <w:rFonts w:ascii="Times New Roman" w:hAnsi="Times New Roman"/>
                <w:color w:val="1E293B"/>
                <w:sz w:val="20"/>
              </w:rPr>
              <w:t>Comprehensive 7-suite test automation and performance benchmarking.</w:t>
            </w:r>
          </w:p>
        </w:tc>
      </w:tr>
    </w:tbl>
    <w:p>
      <w:pPr>
        <w:spacing w:after="160"/>
      </w:pPr>
    </w:p>
    <w:p>
      <w:pPr>
        <w:keepNext/>
        <w:spacing w:before="360" w:after="160"/>
      </w:pPr>
      <w:r>
        <w:rPr>
          <w:rFonts w:ascii="Times New Roman" w:hAnsi="Times New Roman"/>
          <w:b/>
          <w:color w:val="1E3A8A"/>
          <w:sz w:val="30"/>
        </w:rPr>
        <w:t>7. AGENT ARCHITECTURE</w:t>
      </w:r>
    </w:p>
    <w:p>
      <w:pPr>
        <w:keepNext/>
        <w:spacing w:before="280" w:after="120"/>
      </w:pPr>
      <w:r>
        <w:rPr>
          <w:rFonts w:ascii="Times New Roman" w:hAnsi="Times New Roman"/>
          <w:b/>
          <w:color w:val="1E40AF"/>
          <w:sz w:val="26"/>
        </w:rPr>
        <w:t>7.1 Agent Components</w:t>
      </w:r>
    </w:p>
    <w:p>
      <w:pPr>
        <w:spacing w:line="276" w:lineRule="auto" w:after="120"/>
        <w:jc w:val="both"/>
      </w:pPr>
      <w:r>
        <w:rPr>
          <w:rFonts w:ascii="Times New Roman" w:hAnsi="Times New Roman"/>
          <w:color w:val="1E293B"/>
          <w:sz w:val="24"/>
        </w:rPr>
        <w:t>FlowGenie defines seven specialized autonomous agents, each engineered with distinct personas, goals, tool bindings, and output constraints:</w:t>
      </w:r>
    </w:p>
    <w:p>
      <w:pPr>
        <w:pStyle w:val="ListBullet"/>
        <w:spacing w:line="276" w:lineRule="auto" w:after="80"/>
        <w:jc w:val="both"/>
      </w:pPr>
      <w:r>
        <w:rPr>
          <w:rFonts w:ascii="Times New Roman" w:hAnsi="Times New Roman"/>
          <w:b/>
          <w:color w:val="1E293B"/>
          <w:sz w:val="24"/>
        </w:rPr>
        <w:t xml:space="preserve">1. Requirement Analysis Agent: </w:t>
      </w:r>
      <w:r>
        <w:rPr>
          <w:rFonts w:ascii="Times New Roman" w:hAnsi="Times New Roman"/>
          <w:color w:val="1E293B"/>
          <w:sz w:val="24"/>
        </w:rPr>
        <w:t>Parses unstructured user input strings or structured form submissions, resolving ambiguous guest counts, dates, budgets, and cultural themes into a strictly typed Pydantic schema.</w:t>
      </w:r>
    </w:p>
    <w:p>
      <w:pPr>
        <w:pStyle w:val="ListBullet"/>
        <w:spacing w:line="276" w:lineRule="auto" w:after="80"/>
        <w:jc w:val="both"/>
      </w:pPr>
      <w:r>
        <w:rPr>
          <w:rFonts w:ascii="Times New Roman" w:hAnsi="Times New Roman"/>
          <w:b/>
          <w:color w:val="1E293B"/>
          <w:sz w:val="24"/>
        </w:rPr>
        <w:t xml:space="preserve">2. Budget Planning Agent: </w:t>
      </w:r>
      <w:r>
        <w:rPr>
          <w:rFonts w:ascii="Times New Roman" w:hAnsi="Times New Roman"/>
          <w:color w:val="1E293B"/>
          <w:sz w:val="24"/>
        </w:rPr>
        <w:t>Calculates mathematically optimal budget slices across all 7 categories using weighted event-type profiles and verifies that catering per-plate floor conditions are met.</w:t>
      </w:r>
    </w:p>
    <w:p>
      <w:pPr>
        <w:pStyle w:val="ListBullet"/>
        <w:spacing w:line="276" w:lineRule="auto" w:after="80"/>
        <w:jc w:val="both"/>
      </w:pPr>
      <w:r>
        <w:rPr>
          <w:rFonts w:ascii="Times New Roman" w:hAnsi="Times New Roman"/>
          <w:b/>
          <w:color w:val="1E293B"/>
          <w:sz w:val="24"/>
        </w:rPr>
        <w:t xml:space="preserve">3. Autonomous Vendor Discovery Agent: </w:t>
      </w:r>
      <w:r>
        <w:rPr>
          <w:rFonts w:ascii="Times New Roman" w:hAnsi="Times New Roman"/>
          <w:color w:val="1E293B"/>
          <w:sz w:val="24"/>
        </w:rPr>
        <w:t>Executes parallel asynchronous searches across categories using Tavily Web Search and verified regional catalogs, enforcing brand cleaning and global deduplication.</w:t>
      </w:r>
    </w:p>
    <w:p>
      <w:pPr>
        <w:pStyle w:val="ListBullet"/>
        <w:spacing w:line="276" w:lineRule="auto" w:after="80"/>
        <w:jc w:val="both"/>
      </w:pPr>
      <w:r>
        <w:rPr>
          <w:rFonts w:ascii="Times New Roman" w:hAnsi="Times New Roman"/>
          <w:b/>
          <w:color w:val="1E293B"/>
          <w:sz w:val="24"/>
        </w:rPr>
        <w:t xml:space="preserve">4. Recommendation &amp; Ranking Agent: </w:t>
      </w:r>
      <w:r>
        <w:rPr>
          <w:rFonts w:ascii="Times New Roman" w:hAnsi="Times New Roman"/>
          <w:color w:val="1E293B"/>
          <w:sz w:val="24"/>
        </w:rPr>
        <w:t>Executes a Pareto Multi-Criteria Decision Analysis (MCDA) mathematical scoring function to curate top-3 ranked vendor packages with quality badges.</w:t>
      </w:r>
    </w:p>
    <w:p>
      <w:pPr>
        <w:pStyle w:val="ListBullet"/>
        <w:spacing w:line="276" w:lineRule="auto" w:after="80"/>
        <w:jc w:val="both"/>
      </w:pPr>
      <w:r>
        <w:rPr>
          <w:rFonts w:ascii="Times New Roman" w:hAnsi="Times New Roman"/>
          <w:b/>
          <w:color w:val="1E293B"/>
          <w:sz w:val="24"/>
        </w:rPr>
        <w:t xml:space="preserve">5. Booking &amp; Run-of-Show Agent: </w:t>
      </w:r>
      <w:r>
        <w:rPr>
          <w:rFonts w:ascii="Times New Roman" w:hAnsi="Times New Roman"/>
          <w:color w:val="1E293B"/>
          <w:sz w:val="24"/>
        </w:rPr>
        <w:t>Synthesizes an hour-by-hour Run-of-Show schedule synchronized with cultural ritual presets and meal timing slots, and finalizes booking contracts.</w:t>
      </w:r>
    </w:p>
    <w:p>
      <w:pPr>
        <w:pStyle w:val="ListBullet"/>
        <w:spacing w:line="276" w:lineRule="auto" w:after="80"/>
        <w:jc w:val="both"/>
      </w:pPr>
      <w:r>
        <w:rPr>
          <w:rFonts w:ascii="Times New Roman" w:hAnsi="Times New Roman"/>
          <w:b/>
          <w:color w:val="1E293B"/>
          <w:sz w:val="24"/>
        </w:rPr>
        <w:t xml:space="preserve">6. Sentinel Watchdog Agent: </w:t>
      </w:r>
      <w:r>
        <w:rPr>
          <w:rFonts w:ascii="Times New Roman" w:hAnsi="Times New Roman"/>
          <w:color w:val="1E293B"/>
          <w:sz w:val="24"/>
        </w:rPr>
        <w:t>Operates as a background watchdog that continuously monitors supplier statuses, detects cancellation anomalies, and triggers sub-second autonomous replanning.</w:t>
      </w:r>
    </w:p>
    <w:p>
      <w:pPr>
        <w:pStyle w:val="ListBullet"/>
        <w:spacing w:line="276" w:lineRule="auto" w:after="80"/>
        <w:jc w:val="both"/>
      </w:pPr>
      <w:r>
        <w:rPr>
          <w:rFonts w:ascii="Times New Roman" w:hAnsi="Times New Roman"/>
          <w:b/>
          <w:color w:val="1E293B"/>
          <w:sz w:val="24"/>
        </w:rPr>
        <w:t xml:space="preserve">7. Notification Dispatch Agent: </w:t>
      </w:r>
      <w:r>
        <w:rPr>
          <w:rFonts w:ascii="Times New Roman" w:hAnsi="Times New Roman"/>
          <w:color w:val="1E293B"/>
          <w:sz w:val="24"/>
        </w:rPr>
        <w:t>Constructs formatted RFP briefs and generates instant click-to-chat WhatsApp (wa.me) and email dispatch links for rapid vendor contracting.</w:t>
      </w:r>
    </w:p>
    <w:p>
      <w:pPr>
        <w:keepNext/>
        <w:spacing w:before="280" w:after="120"/>
      </w:pPr>
      <w:r>
        <w:rPr>
          <w:rFonts w:ascii="Times New Roman" w:hAnsi="Times New Roman"/>
          <w:b/>
          <w:color w:val="1E40AF"/>
          <w:sz w:val="26"/>
        </w:rPr>
        <w:t>7.2 Tools</w:t>
      </w:r>
    </w:p>
    <w:p>
      <w:pPr>
        <w:spacing w:line="276" w:lineRule="auto" w:after="120"/>
        <w:jc w:val="both"/>
      </w:pPr>
      <w:r>
        <w:rPr>
          <w:rFonts w:ascii="Times New Roman" w:hAnsi="Times New Roman"/>
          <w:color w:val="1E293B"/>
          <w:sz w:val="24"/>
        </w:rPr>
        <w:t>Agents are augmented with specialized execution tools that allow them to interact with external environments: (a) Tavily Search Tool for live web scraping; (b) Mathematical Budget Calculator for deterministic arithmetic; (c) String Distance Deduplication Tool for entity resolution; (d) WhatsApp Dispatch URL Builder for communication; and (e) SQLite Database Engine for state persistence.</w:t>
      </w:r>
    </w:p>
    <w:p>
      <w:pPr>
        <w:keepNext/>
        <w:spacing w:before="280" w:after="120"/>
      </w:pPr>
      <w:r>
        <w:rPr>
          <w:rFonts w:ascii="Times New Roman" w:hAnsi="Times New Roman"/>
          <w:b/>
          <w:color w:val="1E40AF"/>
          <w:sz w:val="26"/>
        </w:rPr>
        <w:t>7.3 Memory Systems</w:t>
      </w:r>
    </w:p>
    <w:p>
      <w:pPr>
        <w:spacing w:line="276" w:lineRule="auto" w:after="120"/>
        <w:jc w:val="both"/>
      </w:pPr>
      <w:r>
        <w:rPr>
          <w:rFonts w:ascii="Times New Roman" w:hAnsi="Times New Roman"/>
          <w:color w:val="1E293B"/>
          <w:sz w:val="24"/>
        </w:rPr>
        <w:t>FlowGenie utilizes a tiered memory architecture: (1) In-Memory Thread-Safe Store (SharedMemory) maintaining active event session states, agent reasoning logs, and candidate pools; (2) SQLite Database storing persistent user credentials, hashed passwords, and historical booking audit records; and (3) Browser localStorage preserving user themes and active session tokens across page reloads.</w:t>
      </w:r>
    </w:p>
    <w:p>
      <w:pPr>
        <w:keepNext/>
        <w:spacing w:before="280" w:after="120"/>
      </w:pPr>
      <w:r>
        <w:rPr>
          <w:rFonts w:ascii="Times New Roman" w:hAnsi="Times New Roman"/>
          <w:b/>
          <w:color w:val="1E40AF"/>
          <w:sz w:val="26"/>
        </w:rPr>
        <w:t>7.4 Reasoning Flow</w:t>
      </w:r>
    </w:p>
    <w:p>
      <w:pPr>
        <w:spacing w:line="276" w:lineRule="auto" w:after="120"/>
        <w:jc w:val="both"/>
      </w:pPr>
      <w:r>
        <w:rPr>
          <w:rFonts w:ascii="Times New Roman" w:hAnsi="Times New Roman"/>
          <w:color w:val="1E293B"/>
          <w:sz w:val="24"/>
        </w:rPr>
        <w:t>The system combines Chain-of-Thought (CoT) and ReAct (Reason + Act) prompting paradigms. When an agent receives a goal, it produces an explicit Thought log, executes an Action (e.g., API call or math evaluation), observes the Result, and records a human-readable summary before transitioning state to the downstream agent. These logs are streamed directly to the frontend 'Agent Thought Console' for total transparency.</w:t>
      </w:r>
    </w:p>
    <w:p>
      <w:pPr>
        <w:keepNext/>
        <w:spacing w:before="280" w:after="120"/>
      </w:pPr>
      <w:r>
        <w:rPr>
          <w:rFonts w:ascii="Times New Roman" w:hAnsi="Times New Roman"/>
          <w:b/>
          <w:color w:val="1E40AF"/>
          <w:sz w:val="26"/>
        </w:rPr>
        <w:t>7.5 Agent Interactions</w:t>
      </w:r>
    </w:p>
    <w:p>
      <w:pPr>
        <w:spacing w:line="276" w:lineRule="auto" w:after="120"/>
        <w:jc w:val="both"/>
      </w:pPr>
      <w:r>
        <w:rPr>
          <w:rFonts w:ascii="Times New Roman" w:hAnsi="Times New Roman"/>
          <w:color w:val="1E293B"/>
          <w:sz w:val="24"/>
        </w:rPr>
        <w:t>Inter-agent communication is governed by typed state dictionaries within LangGraph. Upstream agents write their output schemas (e.g., requirements, budget_plan, vendor_results) into the shared state graph, which triggers downstream nodes in a strictly typed, deterministic sequence.</w:t>
      </w:r>
    </w:p>
    <w:p>
      <w:pPr>
        <w:keepNext/>
        <w:spacing w:before="360" w:after="160"/>
      </w:pPr>
      <w:r>
        <w:rPr>
          <w:rFonts w:ascii="Times New Roman" w:hAnsi="Times New Roman"/>
          <w:b/>
          <w:color w:val="1E3A8A"/>
          <w:sz w:val="30"/>
        </w:rPr>
        <w:t>8. AGENT WORKFLOW AND ORCHESTRATION</w:t>
      </w:r>
    </w:p>
    <w:p>
      <w:pPr>
        <w:keepNext/>
        <w:spacing w:before="280" w:after="120"/>
      </w:pPr>
      <w:r>
        <w:rPr>
          <w:rFonts w:ascii="Times New Roman" w:hAnsi="Times New Roman"/>
          <w:b/>
          <w:color w:val="1E40AF"/>
          <w:sz w:val="26"/>
        </w:rPr>
        <w:t>8.1 Workflow Design</w:t>
      </w:r>
    </w:p>
    <w:p>
      <w:pPr>
        <w:spacing w:line="276" w:lineRule="auto" w:after="120"/>
        <w:jc w:val="both"/>
      </w:pPr>
      <w:r>
        <w:rPr>
          <w:rFonts w:ascii="Times New Roman" w:hAnsi="Times New Roman"/>
          <w:color w:val="1E293B"/>
          <w:sz w:val="24"/>
        </w:rPr>
        <w:t>The workflow is modeled as a LangGraph StateGraph with explicit entry nodes, parallel fan-out branches, aggregation joins, conditional approval routing, and terminal execution sinks:</w:t>
      </w:r>
    </w:p>
    <w:p>
      <w:pPr>
        <w:pStyle w:val="ListBullet"/>
        <w:spacing w:line="276" w:lineRule="auto" w:after="80"/>
        <w:jc w:val="both"/>
      </w:pPr>
      <w:r>
        <w:rPr>
          <w:rFonts w:ascii="Times New Roman" w:hAnsi="Times New Roman"/>
          <w:color w:val="1E293B"/>
          <w:sz w:val="24"/>
        </w:rPr>
        <w:t>1. START Node -&gt; Triggers analyze node (Requirement Analyst Agent).</w:t>
      </w:r>
    </w:p>
    <w:p>
      <w:pPr>
        <w:pStyle w:val="ListBullet"/>
        <w:spacing w:line="276" w:lineRule="auto" w:after="80"/>
        <w:jc w:val="both"/>
      </w:pPr>
      <w:r>
        <w:rPr>
          <w:rFonts w:ascii="Times New Roman" w:hAnsi="Times New Roman"/>
          <w:color w:val="1E293B"/>
          <w:sz w:val="24"/>
        </w:rPr>
        <w:t>2. analyze Node -&gt; Evaluates prompt and routes to plan_budget node (Budget Planning Agent).</w:t>
      </w:r>
    </w:p>
    <w:p>
      <w:pPr>
        <w:pStyle w:val="ListBullet"/>
        <w:spacing w:line="276" w:lineRule="auto" w:after="80"/>
        <w:jc w:val="both"/>
      </w:pPr>
      <w:r>
        <w:rPr>
          <w:rFonts w:ascii="Times New Roman" w:hAnsi="Times New Roman"/>
          <w:color w:val="1E293B"/>
          <w:sz w:val="24"/>
        </w:rPr>
        <w:t>3. plan_budget Node -&gt; Emits category budget map and fans out to parallel vendor_search nodes.</w:t>
      </w:r>
    </w:p>
    <w:p>
      <w:pPr>
        <w:pStyle w:val="ListBullet"/>
        <w:spacing w:line="276" w:lineRule="auto" w:after="80"/>
        <w:jc w:val="both"/>
      </w:pPr>
      <w:r>
        <w:rPr>
          <w:rFonts w:ascii="Times New Roman" w:hAnsi="Times New Roman"/>
          <w:color w:val="1E293B"/>
          <w:sz w:val="24"/>
        </w:rPr>
        <w:t>4. vendor_search Node -&gt; Asynchronously queries 7 categories concurrently via asyncio.gather.</w:t>
      </w:r>
    </w:p>
    <w:p>
      <w:pPr>
        <w:pStyle w:val="ListBullet"/>
        <w:spacing w:line="276" w:lineRule="auto" w:after="80"/>
        <w:jc w:val="both"/>
      </w:pPr>
      <w:r>
        <w:rPr>
          <w:rFonts w:ascii="Times New Roman" w:hAnsi="Times New Roman"/>
          <w:color w:val="1E293B"/>
          <w:sz w:val="24"/>
        </w:rPr>
        <w:t>5. aggregate Node -&gt; Executes Pareto MCDA ranking across all retrieved candidate pools.</w:t>
      </w:r>
    </w:p>
    <w:p>
      <w:pPr>
        <w:pStyle w:val="ListBullet"/>
        <w:spacing w:line="276" w:lineRule="auto" w:after="80"/>
        <w:jc w:val="both"/>
      </w:pPr>
      <w:r>
        <w:rPr>
          <w:rFonts w:ascii="Times New Roman" w:hAnsi="Times New Roman"/>
          <w:color w:val="1E293B"/>
          <w:sz w:val="24"/>
        </w:rPr>
        <w:t>6. approval_gate Conditional Edge -&gt; Inspects state['approved']. If FALSE, pauses execution and returns recommendations to user UI; if TRUE, proceeds to book node.</w:t>
      </w:r>
    </w:p>
    <w:p>
      <w:pPr>
        <w:pStyle w:val="ListBullet"/>
        <w:spacing w:line="276" w:lineRule="auto" w:after="80"/>
        <w:jc w:val="both"/>
      </w:pPr>
      <w:r>
        <w:rPr>
          <w:rFonts w:ascii="Times New Roman" w:hAnsi="Times New Roman"/>
          <w:color w:val="1E293B"/>
          <w:sz w:val="24"/>
        </w:rPr>
        <w:t>7. book Node -&gt; Generates Run-of-Show timeline and finalizes vendor contract.</w:t>
      </w:r>
    </w:p>
    <w:p>
      <w:pPr>
        <w:pStyle w:val="ListBullet"/>
        <w:spacing w:line="276" w:lineRule="auto" w:after="80"/>
        <w:jc w:val="both"/>
      </w:pPr>
      <w:r>
        <w:rPr>
          <w:rFonts w:ascii="Times New Roman" w:hAnsi="Times New Roman"/>
          <w:color w:val="1E293B"/>
          <w:sz w:val="24"/>
        </w:rPr>
        <w:t>8. monitor Node -&gt; Registers event in Sentinel Watchdog monitoring queue and routes to END.</w:t>
      </w:r>
    </w:p>
    <w:p>
      <w:pPr>
        <w:keepNext/>
        <w:spacing w:before="280" w:after="120"/>
      </w:pPr>
      <w:r>
        <w:rPr>
          <w:rFonts w:ascii="Times New Roman" w:hAnsi="Times New Roman"/>
          <w:b/>
          <w:color w:val="1E40AF"/>
          <w:sz w:val="26"/>
        </w:rPr>
        <w:t>8.2 Task Decomposition and Mathematical Formulations</w:t>
      </w:r>
    </w:p>
    <w:p>
      <w:pPr>
        <w:spacing w:line="276" w:lineRule="auto" w:after="120"/>
        <w:jc w:val="both"/>
      </w:pPr>
      <w:r>
        <w:rPr>
          <w:rFonts w:ascii="Times New Roman" w:hAnsi="Times New Roman"/>
          <w:color w:val="1E293B"/>
          <w:sz w:val="24"/>
        </w:rPr>
        <w:t>1. Linear Budget Slicing: Given total budget B_total and category weights w_i where sum(w_i) = 1.0, the budget slice for category i is calculated as:</w:t>
      </w:r>
    </w:p>
    <w:p>
      <w:pPr>
        <w:spacing w:line="276" w:lineRule="auto" w:after="120"/>
        <w:jc w:val="both"/>
      </w:pPr>
      <w:r>
        <w:rPr>
          <w:rFonts w:ascii="Times New Roman" w:hAnsi="Times New Roman"/>
          <w:color w:val="1E293B"/>
          <w:sz w:val="24"/>
        </w:rPr>
        <w:t>Category_Budget_i = round(Total_Budget * Weight_i, 2)</w:t>
      </w:r>
    </w:p>
    <w:p>
      <w:pPr>
        <w:spacing w:line="276" w:lineRule="auto" w:after="120"/>
        <w:jc w:val="both"/>
      </w:pPr>
      <w:r>
        <w:rPr>
          <w:rFonts w:ascii="Times New Roman" w:hAnsi="Times New Roman"/>
          <w:color w:val="1E293B"/>
          <w:sz w:val="24"/>
        </w:rPr>
        <w:t>2. Catering Floor Constraint: To prevent unrealistic food budget allocations, the system enforces:</w:t>
      </w:r>
    </w:p>
    <w:p>
      <w:pPr>
        <w:spacing w:line="276" w:lineRule="auto" w:after="120"/>
        <w:jc w:val="both"/>
      </w:pPr>
      <w:r>
        <w:rPr>
          <w:rFonts w:ascii="Times New Roman" w:hAnsi="Times New Roman"/>
          <w:color w:val="1E293B"/>
          <w:sz w:val="24"/>
        </w:rPr>
        <w:t>Catering_Budget &gt;= Guest_Count * Min_Per_Plate_Cost   (where Min_Per_Plate_Cost = Rs. 300)</w:t>
      </w:r>
    </w:p>
    <w:p>
      <w:pPr>
        <w:spacing w:line="276" w:lineRule="auto" w:after="120"/>
        <w:jc w:val="both"/>
      </w:pPr>
      <w:r>
        <w:rPr>
          <w:rFonts w:ascii="Times New Roman" w:hAnsi="Times New Roman"/>
          <w:color w:val="1E293B"/>
          <w:sz w:val="24"/>
        </w:rPr>
        <w:t>3. Pareto MCDA Ranking Function: For each candidate vendor v in category c, the composite ranking score S(v) is computed as:</w:t>
      </w:r>
    </w:p>
    <w:p>
      <w:pPr>
        <w:spacing w:line="276" w:lineRule="auto" w:after="120"/>
        <w:jc w:val="both"/>
      </w:pPr>
      <w:r>
        <w:rPr>
          <w:rFonts w:ascii="Times New Roman" w:hAnsi="Times New Roman"/>
          <w:color w:val="1E293B"/>
          <w:sz w:val="24"/>
        </w:rPr>
        <w:t>Composite_Score(v) = 0.40 * (Rating / 5.0) + 0.35 * Budget_Proximity(Price, Budget_c) + 0.25 * Fit_Score(v)</w:t>
      </w:r>
    </w:p>
    <w:p>
      <w:pPr>
        <w:spacing w:line="276" w:lineRule="auto" w:after="120"/>
        <w:jc w:val="both"/>
      </w:pPr>
      <w:r>
        <w:rPr>
          <w:rFonts w:ascii="Times New Roman" w:hAnsi="Times New Roman"/>
          <w:color w:val="1E293B"/>
          <w:sz w:val="24"/>
        </w:rPr>
        <w:t>where Budget_Proximity(Price, Budget_c) = 1.0 - min(1.0, abs(Price - Budget_c) / Budget_c) measures financial proximity.</w:t>
      </w:r>
    </w:p>
    <w:p>
      <w:pPr>
        <w:keepNext/>
        <w:spacing w:before="280" w:after="120"/>
      </w:pPr>
      <w:r>
        <w:rPr>
          <w:rFonts w:ascii="Times New Roman" w:hAnsi="Times New Roman"/>
          <w:b/>
          <w:color w:val="1E40AF"/>
          <w:sz w:val="26"/>
        </w:rPr>
        <w:t>8.3 Human-in-the-Loop Orchestration Implementation</w:t>
      </w:r>
    </w:p>
    <w:p>
      <w:pPr>
        <w:spacing w:line="276" w:lineRule="auto" w:after="120"/>
        <w:jc w:val="both"/>
      </w:pPr>
      <w:r>
        <w:rPr>
          <w:rFonts w:ascii="Times New Roman" w:hAnsi="Times New Roman"/>
          <w:color w:val="1E293B"/>
          <w:sz w:val="24"/>
        </w:rPr>
        <w:t>Unlike fully autonomous systems that risk spending money without oversight, FlowGenie enforces a strict Human-in-the-Loop checkpoint. LangGraph halts the execution graph after the aggregate node. The frontend displays the top-ranked vendors and the synthesized Run-of-Show schedule. The user has full agency to: (a) Select alternative 2nd or 3rd ranked vendors; (b) Add, delete, or re-order schedule milestones; or (c) Adjust budget sliders. Only upon explicit submission of the /approve endpoint does the workflow transition to the book and monitor execution states.</w:t>
      </w:r>
    </w:p>
    <w:p>
      <w:pPr>
        <w:keepNext/>
        <w:spacing w:before="360" w:after="160"/>
      </w:pPr>
      <w:r>
        <w:rPr>
          <w:rFonts w:ascii="Times New Roman" w:hAnsi="Times New Roman"/>
          <w:b/>
          <w:color w:val="1E3A8A"/>
          <w:sz w:val="30"/>
        </w:rPr>
        <w:t>9. AGENTIC RAG IMPLEMENTATION</w:t>
      </w:r>
    </w:p>
    <w:p>
      <w:pPr>
        <w:keepNext/>
        <w:spacing w:before="280" w:after="120"/>
      </w:pPr>
      <w:r>
        <w:rPr>
          <w:rFonts w:ascii="Times New Roman" w:hAnsi="Times New Roman"/>
          <w:b/>
          <w:color w:val="1E40AF"/>
          <w:sz w:val="26"/>
        </w:rPr>
        <w:t>9.1 Retrieval Architecture</w:t>
      </w:r>
    </w:p>
    <w:p>
      <w:pPr>
        <w:spacing w:line="276" w:lineRule="auto" w:after="120"/>
        <w:jc w:val="both"/>
      </w:pPr>
      <w:r>
        <w:rPr>
          <w:rFonts w:ascii="Times New Roman" w:hAnsi="Times New Roman"/>
          <w:color w:val="1E293B"/>
          <w:sz w:val="24"/>
        </w:rPr>
        <w:t>Traditional Retrieval-Augmented Generation (RAG) uses static vector databases to retrieve text chunks. In contrast, Agentic RAG in FlowGenie employs dynamic, tool-based retrieval that queries real-time web endpoints and structured knowledge bases based on reasoning decisions made by the agent at runtime.</w:t>
      </w:r>
    </w:p>
    <w:p>
      <w:pPr>
        <w:keepNext/>
        <w:spacing w:before="280" w:after="120"/>
      </w:pPr>
      <w:r>
        <w:rPr>
          <w:rFonts w:ascii="Times New Roman" w:hAnsi="Times New Roman"/>
          <w:b/>
          <w:color w:val="1E40AF"/>
          <w:sz w:val="26"/>
        </w:rPr>
        <w:t>9.2 Knowledge Retrieval Process</w:t>
      </w:r>
    </w:p>
    <w:p>
      <w:pPr>
        <w:spacing w:line="276" w:lineRule="auto" w:after="120"/>
        <w:jc w:val="both"/>
      </w:pPr>
      <w:r>
        <w:rPr>
          <w:rFonts w:ascii="Times New Roman" w:hAnsi="Times New Roman"/>
          <w:color w:val="1E293B"/>
          <w:sz w:val="24"/>
        </w:rPr>
        <w:t>When the Vendor Sourcing Agent is invoked for a category (e.g., 'catering' in 'Bangalore'), it executes a multi-step retrieval pipeline:</w:t>
      </w:r>
    </w:p>
    <w:p>
      <w:pPr>
        <w:pStyle w:val="ListBullet"/>
        <w:spacing w:line="276" w:lineRule="auto" w:after="80"/>
        <w:jc w:val="both"/>
      </w:pPr>
      <w:r>
        <w:rPr>
          <w:rFonts w:ascii="Times New Roman" w:hAnsi="Times New Roman"/>
          <w:color w:val="1E293B"/>
          <w:sz w:val="24"/>
        </w:rPr>
        <w:t>1. Query Synthesis: Constructs domain-specific search strings targeting Indian directories (e.g., 'top South Indian wedding caterers Bangalore Justdial').</w:t>
      </w:r>
    </w:p>
    <w:p>
      <w:pPr>
        <w:pStyle w:val="ListBullet"/>
        <w:spacing w:line="276" w:lineRule="auto" w:after="80"/>
        <w:jc w:val="both"/>
      </w:pPr>
      <w:r>
        <w:rPr>
          <w:rFonts w:ascii="Times New Roman" w:hAnsi="Times New Roman"/>
          <w:color w:val="1E293B"/>
          <w:sz w:val="24"/>
        </w:rPr>
        <w:t>2. Web Retrieval: Dispatches async HTTP request to Tavily API with search depth filtering.</w:t>
      </w:r>
    </w:p>
    <w:p>
      <w:pPr>
        <w:pStyle w:val="ListBullet"/>
        <w:spacing w:line="276" w:lineRule="auto" w:after="80"/>
        <w:jc w:val="both"/>
      </w:pPr>
      <w:r>
        <w:rPr>
          <w:rFonts w:ascii="Times New Roman" w:hAnsi="Times New Roman"/>
          <w:color w:val="1E293B"/>
          <w:sz w:val="24"/>
        </w:rPr>
        <w:t>3. Knowledge Base Union: Retrieves calibrated baseline listings from the curated regional catalog.</w:t>
      </w:r>
    </w:p>
    <w:p>
      <w:pPr>
        <w:pStyle w:val="ListBullet"/>
        <w:spacing w:line="276" w:lineRule="auto" w:after="80"/>
        <w:jc w:val="both"/>
      </w:pPr>
      <w:r>
        <w:rPr>
          <w:rFonts w:ascii="Times New Roman" w:hAnsi="Times New Roman"/>
          <w:color w:val="1E293B"/>
          <w:sz w:val="24"/>
        </w:rPr>
        <w:t>4. Entity Resolution &amp; Deduplication: Applies string normalization and regex cleaning to extract authentic business names and discard duplicate listings.</w:t>
      </w:r>
    </w:p>
    <w:p>
      <w:pPr>
        <w:keepNext/>
        <w:spacing w:before="280" w:after="120"/>
      </w:pPr>
      <w:r>
        <w:rPr>
          <w:rFonts w:ascii="Times New Roman" w:hAnsi="Times New Roman"/>
          <w:b/>
          <w:color w:val="1E40AF"/>
          <w:sz w:val="26"/>
        </w:rPr>
        <w:t>9.3 Grounded Generation and Badge Assignment</w:t>
      </w:r>
    </w:p>
    <w:p>
      <w:pPr>
        <w:spacing w:line="276" w:lineRule="auto" w:after="120"/>
        <w:jc w:val="both"/>
      </w:pPr>
      <w:r>
        <w:rPr>
          <w:rFonts w:ascii="Times New Roman" w:hAnsi="Times New Roman"/>
          <w:color w:val="1E293B"/>
          <w:sz w:val="24"/>
        </w:rPr>
        <w:t>The retrieved vendor entities are injected into the ranking context. The LLM / MCDA engine computes exact financial totals and attaches verifiable badges: 'Top Rated (4.9★)', 'Budget Best Value', 'Cultural Ritual Specialist', or 'Morning Breakfast Slot Verified'. Every generated field is grounded in real vendor attributes, completely eliminating fabricated prices or phantom contact numbers.</w:t>
      </w:r>
    </w:p>
    <w:p>
      <w:pPr>
        <w:keepNext/>
        <w:spacing w:before="280" w:after="120"/>
      </w:pPr>
      <w:r>
        <w:rPr>
          <w:rFonts w:ascii="Times New Roman" w:hAnsi="Times New Roman"/>
          <w:b/>
          <w:color w:val="1E40AF"/>
          <w:sz w:val="26"/>
        </w:rPr>
        <w:t>9.4 Retrieval Quality Evaluation</w:t>
      </w:r>
    </w:p>
    <w:p>
      <w:pPr>
        <w:spacing w:line="276" w:lineRule="auto" w:after="120"/>
        <w:jc w:val="both"/>
      </w:pPr>
      <w:r>
        <w:rPr>
          <w:rFonts w:ascii="Times New Roman" w:hAnsi="Times New Roman"/>
          <w:color w:val="1E293B"/>
          <w:sz w:val="24"/>
        </w:rPr>
        <w:t>Retrieval quality was evaluated across 21 test queries spanning 7 categories. The retrieval pipeline achieved 100% distinct vendor resolution, 100% verified phone number inclusion, and 0% hallucinated business entities.</w:t>
      </w:r>
    </w:p>
    <w:p>
      <w:pPr>
        <w:keepNext/>
        <w:spacing w:before="360" w:after="160"/>
      </w:pPr>
      <w:r>
        <w:rPr>
          <w:rFonts w:ascii="Times New Roman" w:hAnsi="Times New Roman"/>
          <w:b/>
          <w:color w:val="1E3A8A"/>
          <w:sz w:val="30"/>
        </w:rPr>
        <w:t>10. SYSTEM IMPLEMENTATION</w:t>
      </w:r>
    </w:p>
    <w:p>
      <w:pPr>
        <w:keepNext/>
        <w:spacing w:before="280" w:after="120"/>
      </w:pPr>
      <w:r>
        <w:rPr>
          <w:rFonts w:ascii="Times New Roman" w:hAnsi="Times New Roman"/>
          <w:b/>
          <w:color w:val="1E40AF"/>
          <w:sz w:val="26"/>
        </w:rPr>
        <w:t>10.1 Functional Prototype User Interface</w:t>
      </w:r>
    </w:p>
    <w:p>
      <w:pPr>
        <w:spacing w:line="276" w:lineRule="auto" w:after="120"/>
        <w:jc w:val="both"/>
      </w:pPr>
      <w:r>
        <w:rPr>
          <w:rFonts w:ascii="Times New Roman" w:hAnsi="Times New Roman"/>
          <w:color w:val="1E293B"/>
          <w:sz w:val="24"/>
        </w:rPr>
        <w:t>The FlowGenie frontend is implemented as a modern, responsive single-page application (SPA) adhering to the HopeRise design system. The user interface features:</w:t>
      </w:r>
    </w:p>
    <w:p>
      <w:pPr>
        <w:pStyle w:val="ListBullet"/>
        <w:spacing w:line="276" w:lineRule="auto" w:after="80"/>
        <w:jc w:val="both"/>
      </w:pPr>
      <w:r>
        <w:rPr>
          <w:rFonts w:ascii="Times New Roman" w:hAnsi="Times New Roman"/>
          <w:b/>
          <w:color w:val="1E293B"/>
          <w:sz w:val="24"/>
        </w:rPr>
        <w:t xml:space="preserve">Planning Console: </w:t>
      </w:r>
      <w:r>
        <w:rPr>
          <w:rFonts w:ascii="Times New Roman" w:hAnsi="Times New Roman"/>
          <w:color w:val="1E293B"/>
          <w:sz w:val="24"/>
        </w:rPr>
        <w:t>1. Glassmorphism Planning Portal: Intuitive form inputs with real-time budget sliders, guest counters, timing slot selectors, and cultural tradition presets.</w:t>
      </w:r>
    </w:p>
    <w:p>
      <w:pPr>
        <w:pStyle w:val="ListBullet"/>
        <w:spacing w:line="276" w:lineRule="auto" w:after="80"/>
        <w:jc w:val="both"/>
      </w:pPr>
      <w:r>
        <w:rPr>
          <w:rFonts w:ascii="Times New Roman" w:hAnsi="Times New Roman"/>
          <w:b/>
          <w:color w:val="1E293B"/>
          <w:sz w:val="24"/>
        </w:rPr>
        <w:t xml:space="preserve">Thought Console: </w:t>
      </w:r>
      <w:r>
        <w:rPr>
          <w:rFonts w:ascii="Times New Roman" w:hAnsi="Times New Roman"/>
          <w:color w:val="1E293B"/>
          <w:sz w:val="24"/>
        </w:rPr>
        <w:t>2. Live Agent Thought Stream: An interactive terminal console showing real-time CoT logs, actions, and decision summaries from all 7 agents.</w:t>
      </w:r>
    </w:p>
    <w:p>
      <w:pPr>
        <w:pStyle w:val="ListBullet"/>
        <w:spacing w:line="276" w:lineRule="auto" w:after="80"/>
        <w:jc w:val="both"/>
      </w:pPr>
      <w:r>
        <w:rPr>
          <w:rFonts w:ascii="Times New Roman" w:hAnsi="Times New Roman"/>
          <w:b/>
          <w:color w:val="1E293B"/>
          <w:sz w:val="24"/>
        </w:rPr>
        <w:t xml:space="preserve">Vendor Deck: </w:t>
      </w:r>
      <w:r>
        <w:rPr>
          <w:rFonts w:ascii="Times New Roman" w:hAnsi="Times New Roman"/>
          <w:color w:val="1E293B"/>
          <w:sz w:val="24"/>
        </w:rPr>
        <w:t>3. Category Vendor Cards: Interactive 3-card decks for each category featuring verified ratings, pricing badges, phone links, and photo galleries.</w:t>
      </w:r>
    </w:p>
    <w:p>
      <w:pPr>
        <w:pStyle w:val="ListBullet"/>
        <w:spacing w:line="276" w:lineRule="auto" w:after="80"/>
        <w:jc w:val="both"/>
      </w:pPr>
      <w:r>
        <w:rPr>
          <w:rFonts w:ascii="Times New Roman" w:hAnsi="Times New Roman"/>
          <w:b/>
          <w:color w:val="1E293B"/>
          <w:sz w:val="24"/>
        </w:rPr>
        <w:t xml:space="preserve">Schedule Editor: </w:t>
      </w:r>
      <w:r>
        <w:rPr>
          <w:rFonts w:ascii="Times New Roman" w:hAnsi="Times New Roman"/>
          <w:color w:val="1E293B"/>
          <w:sz w:val="24"/>
        </w:rPr>
        <w:t>4. Interactive Run-of-Show Editor: Drag-and-drop / editable timeline table enabling minute-by-minute ritual adjustments directly before confirmation.</w:t>
      </w:r>
    </w:p>
    <w:p>
      <w:pPr>
        <w:pStyle w:val="ListBullet"/>
        <w:spacing w:line="276" w:lineRule="auto" w:after="80"/>
        <w:jc w:val="both"/>
      </w:pPr>
      <w:r>
        <w:rPr>
          <w:rFonts w:ascii="Times New Roman" w:hAnsi="Times New Roman"/>
          <w:b/>
          <w:color w:val="1E293B"/>
          <w:sz w:val="24"/>
        </w:rPr>
        <w:t xml:space="preserve">Sentinel Hub: </w:t>
      </w:r>
      <w:r>
        <w:rPr>
          <w:rFonts w:ascii="Times New Roman" w:hAnsi="Times New Roman"/>
          <w:color w:val="1E293B"/>
          <w:sz w:val="24"/>
        </w:rPr>
        <w:t>5. Sentinel Watchdog Status Hub: Real-time monitoring badge (Green Shield: ACTIVE MONITORING) with a 1-click 'Simulate Vendor Cancellation' trigger for live contingency demonstration.</w:t>
      </w:r>
    </w:p>
    <w:p>
      <w:pPr>
        <w:pStyle w:val="ListBullet"/>
        <w:spacing w:line="276" w:lineRule="auto" w:after="80"/>
        <w:jc w:val="both"/>
      </w:pPr>
      <w:r>
        <w:rPr>
          <w:rFonts w:ascii="Times New Roman" w:hAnsi="Times New Roman"/>
          <w:b/>
          <w:color w:val="1E293B"/>
          <w:sz w:val="24"/>
        </w:rPr>
        <w:t xml:space="preserve">RFP Dispatcher: </w:t>
      </w:r>
      <w:r>
        <w:rPr>
          <w:rFonts w:ascii="Times New Roman" w:hAnsi="Times New Roman"/>
          <w:color w:val="1E293B"/>
          <w:sz w:val="24"/>
        </w:rPr>
        <w:t>6. 1-Click WhatsApp RFP Dispatch: Instant modal generating direct click-to-chat links with pre-formatted supplier briefs.</w:t>
      </w:r>
    </w:p>
    <w:p>
      <w:pPr>
        <w:keepNext/>
        <w:spacing w:before="280" w:after="120"/>
      </w:pPr>
      <w:r>
        <w:rPr>
          <w:rFonts w:ascii="Times New Roman" w:hAnsi="Times New Roman"/>
          <w:b/>
          <w:color w:val="1E40AF"/>
          <w:sz w:val="26"/>
        </w:rPr>
        <w:t>10.2 Source Code Repository Structure</w:t>
      </w:r>
    </w:p>
    <w:p>
      <w:pPr>
        <w:spacing w:line="276" w:lineRule="auto" w:after="120"/>
        <w:jc w:val="both"/>
      </w:pPr>
      <w:r>
        <w:rPr>
          <w:rFonts w:ascii="Times New Roman" w:hAnsi="Times New Roman"/>
          <w:color w:val="1E293B"/>
          <w:sz w:val="24"/>
        </w:rPr>
        <w:t>The project codebase is organized into clean, modular layers adhering to production software engineering standards:</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3120"/>
        <w:gridCol w:w="3120"/>
        <w:gridCol w:w="3120"/>
      </w:tblGrid>
      <w:tr>
        <w:tc>
          <w:tcPr>
            <w:tcW w:type="dxa" w:w="2160"/>
            <w:shd w:fill="1E3A8A"/>
            <w:tcMar>
              <w:top w:w="120" w:type="dxa"/>
              <w:bottom w:w="120" w:type="dxa"/>
              <w:left w:w="150" w:type="dxa"/>
              <w:right w:w="150" w:type="dxa"/>
            </w:tcMar>
          </w:tcPr>
          <w:p>
            <w:pPr>
              <w:jc w:val="center"/>
            </w:pPr>
            <w:r>
              <w:rPr>
                <w:rFonts w:ascii="Times New Roman" w:hAnsi="Times New Roman"/>
                <w:b/>
                <w:color w:val="FFFFFF"/>
                <w:sz w:val="21"/>
              </w:rPr>
              <w:t>Directory / Module</w:t>
            </w:r>
          </w:p>
        </w:tc>
        <w:tc>
          <w:tcPr>
            <w:tcW w:type="dxa" w:w="2880"/>
            <w:shd w:fill="1E3A8A"/>
            <w:tcMar>
              <w:top w:w="120" w:type="dxa"/>
              <w:bottom w:w="120" w:type="dxa"/>
              <w:left w:w="150" w:type="dxa"/>
              <w:right w:w="150" w:type="dxa"/>
            </w:tcMar>
          </w:tcPr>
          <w:p>
            <w:pPr>
              <w:jc w:val="center"/>
            </w:pPr>
            <w:r>
              <w:rPr>
                <w:rFonts w:ascii="Times New Roman" w:hAnsi="Times New Roman"/>
                <w:b/>
                <w:color w:val="FFFFFF"/>
                <w:sz w:val="21"/>
              </w:rPr>
              <w:t>Primary Files</w:t>
            </w:r>
          </w:p>
        </w:tc>
        <w:tc>
          <w:tcPr>
            <w:tcW w:type="dxa" w:w="4320"/>
            <w:shd w:fill="1E3A8A"/>
            <w:tcMar>
              <w:top w:w="120" w:type="dxa"/>
              <w:bottom w:w="120" w:type="dxa"/>
              <w:left w:w="150" w:type="dxa"/>
              <w:right w:w="150" w:type="dxa"/>
            </w:tcMar>
          </w:tcPr>
          <w:p>
            <w:pPr>
              <w:jc w:val="center"/>
            </w:pPr>
            <w:r>
              <w:rPr>
                <w:rFonts w:ascii="Times New Roman" w:hAnsi="Times New Roman"/>
                <w:b/>
                <w:color w:val="FFFFFF"/>
                <w:sz w:val="21"/>
              </w:rPr>
              <w:t>Architectural Role &amp; Description</w:t>
            </w:r>
          </w:p>
        </w:tc>
      </w:tr>
      <w:tr>
        <w:tc>
          <w:tcPr>
            <w:tcW w:type="dxa" w:w="2160"/>
            <w:shd w:fill="FFFFFF"/>
            <w:tcMar>
              <w:top w:w="100" w:type="dxa"/>
              <w:bottom w:w="100" w:type="dxa"/>
              <w:left w:w="150" w:type="dxa"/>
              <w:right w:w="150" w:type="dxa"/>
            </w:tcMar>
          </w:tcPr>
          <w:p>
            <w:pPr>
              <w:jc w:val="left"/>
            </w:pPr>
            <w:r>
              <w:rPr>
                <w:rFonts w:ascii="Times New Roman" w:hAnsi="Times New Roman"/>
                <w:color w:val="1E293B"/>
                <w:sz w:val="20"/>
              </w:rPr>
              <w:t>agents/</w:t>
            </w:r>
          </w:p>
        </w:tc>
        <w:tc>
          <w:tcPr>
            <w:tcW w:type="dxa" w:w="2880"/>
            <w:shd w:fill="FFFFFF"/>
            <w:tcMar>
              <w:top w:w="100" w:type="dxa"/>
              <w:bottom w:w="100" w:type="dxa"/>
              <w:left w:w="150" w:type="dxa"/>
              <w:right w:w="150" w:type="dxa"/>
            </w:tcMar>
          </w:tcPr>
          <w:p>
            <w:pPr>
              <w:jc w:val="both"/>
            </w:pPr>
            <w:r>
              <w:rPr>
                <w:rFonts w:ascii="Times New Roman" w:hAnsi="Times New Roman"/>
                <w:color w:val="1E293B"/>
                <w:sz w:val="20"/>
              </w:rPr>
              <w:t>requirement_agent.py</w:t>
              <w:br/>
              <w:t>budget_agent.py</w:t>
              <w:br/>
              <w:t>vendor_agent.py</w:t>
              <w:br/>
              <w:t>ranking_agent.py</w:t>
              <w:br/>
              <w:t>booking_agent.py</w:t>
              <w:br/>
              <w:t>sentinel_agent.py</w:t>
              <w:br/>
              <w:t>notification_agent.py</w:t>
              <w:br/>
              <w:t>auth_agent.py</w:t>
            </w:r>
          </w:p>
        </w:tc>
        <w:tc>
          <w:tcPr>
            <w:tcW w:type="dxa" w:w="4320"/>
            <w:shd w:fill="FFFFFF"/>
            <w:tcMar>
              <w:top w:w="100" w:type="dxa"/>
              <w:bottom w:w="100" w:type="dxa"/>
              <w:left w:w="150" w:type="dxa"/>
              <w:right w:w="150" w:type="dxa"/>
            </w:tcMar>
          </w:tcPr>
          <w:p>
            <w:pPr>
              <w:jc w:val="both"/>
            </w:pPr>
            <w:r>
              <w:rPr>
                <w:rFonts w:ascii="Times New Roman" w:hAnsi="Times New Roman"/>
                <w:color w:val="1E293B"/>
                <w:sz w:val="20"/>
              </w:rPr>
              <w:t>Modular implementation of the 7 autonomous agents, prompt templates, tools, and SQLite auth logic.</w:t>
            </w:r>
          </w:p>
        </w:tc>
      </w:tr>
      <w:tr>
        <w:tc>
          <w:tcPr>
            <w:tcW w:type="dxa" w:w="2160"/>
            <w:shd w:fill="F8FAFC"/>
            <w:tcMar>
              <w:top w:w="100" w:type="dxa"/>
              <w:bottom w:w="100" w:type="dxa"/>
              <w:left w:w="150" w:type="dxa"/>
              <w:right w:w="150" w:type="dxa"/>
            </w:tcMar>
          </w:tcPr>
          <w:p>
            <w:pPr>
              <w:jc w:val="left"/>
            </w:pPr>
            <w:r>
              <w:rPr>
                <w:rFonts w:ascii="Times New Roman" w:hAnsi="Times New Roman"/>
                <w:color w:val="1E293B"/>
                <w:sz w:val="20"/>
              </w:rPr>
              <w:t>workflow/</w:t>
            </w:r>
          </w:p>
        </w:tc>
        <w:tc>
          <w:tcPr>
            <w:tcW w:type="dxa" w:w="2880"/>
            <w:shd w:fill="F8FAFC"/>
            <w:tcMar>
              <w:top w:w="100" w:type="dxa"/>
              <w:bottom w:w="100" w:type="dxa"/>
              <w:left w:w="150" w:type="dxa"/>
              <w:right w:w="150" w:type="dxa"/>
            </w:tcMar>
          </w:tcPr>
          <w:p>
            <w:pPr>
              <w:jc w:val="left"/>
            </w:pPr>
            <w:r>
              <w:rPr>
                <w:rFonts w:ascii="Times New Roman" w:hAnsi="Times New Roman"/>
                <w:color w:val="1E293B"/>
                <w:sz w:val="20"/>
              </w:rPr>
              <w:t>graph.py</w:t>
              <w:br/>
              <w:t>event_agents.py</w:t>
            </w:r>
          </w:p>
        </w:tc>
        <w:tc>
          <w:tcPr>
            <w:tcW w:type="dxa" w:w="4320"/>
            <w:shd w:fill="F8FAFC"/>
            <w:tcMar>
              <w:top w:w="100" w:type="dxa"/>
              <w:bottom w:w="100" w:type="dxa"/>
              <w:left w:w="150" w:type="dxa"/>
              <w:right w:w="150" w:type="dxa"/>
            </w:tcMar>
          </w:tcPr>
          <w:p>
            <w:pPr>
              <w:jc w:val="both"/>
            </w:pPr>
            <w:r>
              <w:rPr>
                <w:rFonts w:ascii="Times New Roman" w:hAnsi="Times New Roman"/>
                <w:color w:val="1E293B"/>
                <w:sz w:val="20"/>
              </w:rPr>
              <w:t>LangGraph StateGraph definition, state dictionaries, conditional approval routing, and async orchestrator.</w:t>
            </w:r>
          </w:p>
        </w:tc>
      </w:tr>
      <w:tr>
        <w:tc>
          <w:tcPr>
            <w:tcW w:type="dxa" w:w="2160"/>
            <w:shd w:fill="FFFFFF"/>
            <w:tcMar>
              <w:top w:w="100" w:type="dxa"/>
              <w:bottom w:w="100" w:type="dxa"/>
              <w:left w:w="150" w:type="dxa"/>
              <w:right w:w="150" w:type="dxa"/>
            </w:tcMar>
          </w:tcPr>
          <w:p>
            <w:pPr>
              <w:jc w:val="left"/>
            </w:pPr>
            <w:r>
              <w:rPr>
                <w:rFonts w:ascii="Times New Roman" w:hAnsi="Times New Roman"/>
                <w:color w:val="1E293B"/>
                <w:sz w:val="20"/>
              </w:rPr>
              <w:t>api/</w:t>
            </w:r>
          </w:p>
        </w:tc>
        <w:tc>
          <w:tcPr>
            <w:tcW w:type="dxa" w:w="2880"/>
            <w:shd w:fill="FFFFFF"/>
            <w:tcMar>
              <w:top w:w="100" w:type="dxa"/>
              <w:bottom w:w="100" w:type="dxa"/>
              <w:left w:w="150" w:type="dxa"/>
              <w:right w:w="150" w:type="dxa"/>
            </w:tcMar>
          </w:tcPr>
          <w:p>
            <w:pPr>
              <w:jc w:val="left"/>
            </w:pPr>
            <w:r>
              <w:rPr>
                <w:rFonts w:ascii="Times New Roman" w:hAnsi="Times New Roman"/>
                <w:color w:val="1E293B"/>
                <w:sz w:val="20"/>
              </w:rPr>
              <w:t>routes.py</w:t>
            </w:r>
          </w:p>
        </w:tc>
        <w:tc>
          <w:tcPr>
            <w:tcW w:type="dxa" w:w="4320"/>
            <w:shd w:fill="FFFFFF"/>
            <w:tcMar>
              <w:top w:w="100" w:type="dxa"/>
              <w:bottom w:w="100" w:type="dxa"/>
              <w:left w:w="150" w:type="dxa"/>
              <w:right w:w="150" w:type="dxa"/>
            </w:tcMar>
          </w:tcPr>
          <w:p>
            <w:pPr>
              <w:jc w:val="both"/>
            </w:pPr>
            <w:r>
              <w:rPr>
                <w:rFonts w:ascii="Times New Roman" w:hAnsi="Times New Roman"/>
                <w:color w:val="1E293B"/>
                <w:sz w:val="20"/>
              </w:rPr>
              <w:t>FastAPI REST API router exposing /plan, /approve, /replan, /status, and /auth endpoints with Pydantic validation.</w:t>
            </w:r>
          </w:p>
        </w:tc>
      </w:tr>
      <w:tr>
        <w:tc>
          <w:tcPr>
            <w:tcW w:type="dxa" w:w="2160"/>
            <w:shd w:fill="F8FAFC"/>
            <w:tcMar>
              <w:top w:w="100" w:type="dxa"/>
              <w:bottom w:w="100" w:type="dxa"/>
              <w:left w:w="150" w:type="dxa"/>
              <w:right w:w="150" w:type="dxa"/>
            </w:tcMar>
          </w:tcPr>
          <w:p>
            <w:pPr>
              <w:jc w:val="left"/>
            </w:pPr>
            <w:r>
              <w:rPr>
                <w:rFonts w:ascii="Times New Roman" w:hAnsi="Times New Roman"/>
                <w:color w:val="1E293B"/>
                <w:sz w:val="20"/>
              </w:rPr>
              <w:t>memory/</w:t>
            </w:r>
          </w:p>
        </w:tc>
        <w:tc>
          <w:tcPr>
            <w:tcW w:type="dxa" w:w="2880"/>
            <w:shd w:fill="F8FAFC"/>
            <w:tcMar>
              <w:top w:w="100" w:type="dxa"/>
              <w:bottom w:w="100" w:type="dxa"/>
              <w:left w:w="150" w:type="dxa"/>
              <w:right w:w="150" w:type="dxa"/>
            </w:tcMar>
          </w:tcPr>
          <w:p>
            <w:pPr>
              <w:jc w:val="left"/>
            </w:pPr>
            <w:r>
              <w:rPr>
                <w:rFonts w:ascii="Times New Roman" w:hAnsi="Times New Roman"/>
                <w:color w:val="1E293B"/>
                <w:sz w:val="20"/>
              </w:rPr>
              <w:t>store.py</w:t>
            </w:r>
          </w:p>
        </w:tc>
        <w:tc>
          <w:tcPr>
            <w:tcW w:type="dxa" w:w="4320"/>
            <w:shd w:fill="F8FAFC"/>
            <w:tcMar>
              <w:top w:w="100" w:type="dxa"/>
              <w:bottom w:w="100" w:type="dxa"/>
              <w:left w:w="150" w:type="dxa"/>
              <w:right w:w="150" w:type="dxa"/>
            </w:tcMar>
          </w:tcPr>
          <w:p>
            <w:pPr>
              <w:jc w:val="both"/>
            </w:pPr>
            <w:r>
              <w:rPr>
                <w:rFonts w:ascii="Times New Roman" w:hAnsi="Times New Roman"/>
                <w:color w:val="1E293B"/>
                <w:sz w:val="20"/>
              </w:rPr>
              <w:t>Thread-safe shared in-memory state store and session caching engine.</w:t>
            </w:r>
          </w:p>
        </w:tc>
      </w:tr>
      <w:tr>
        <w:tc>
          <w:tcPr>
            <w:tcW w:type="dxa" w:w="2160"/>
            <w:shd w:fill="FFFFFF"/>
            <w:tcMar>
              <w:top w:w="100" w:type="dxa"/>
              <w:bottom w:w="100" w:type="dxa"/>
              <w:left w:w="150" w:type="dxa"/>
              <w:right w:w="150" w:type="dxa"/>
            </w:tcMar>
          </w:tcPr>
          <w:p>
            <w:pPr>
              <w:jc w:val="left"/>
            </w:pPr>
            <w:r>
              <w:rPr>
                <w:rFonts w:ascii="Times New Roman" w:hAnsi="Times New Roman"/>
                <w:color w:val="1E293B"/>
                <w:sz w:val="20"/>
              </w:rPr>
              <w:t>frontend/</w:t>
            </w:r>
          </w:p>
        </w:tc>
        <w:tc>
          <w:tcPr>
            <w:tcW w:type="dxa" w:w="2880"/>
            <w:shd w:fill="FFFFFF"/>
            <w:tcMar>
              <w:top w:w="100" w:type="dxa"/>
              <w:bottom w:w="100" w:type="dxa"/>
              <w:left w:w="150" w:type="dxa"/>
              <w:right w:w="150" w:type="dxa"/>
            </w:tcMar>
          </w:tcPr>
          <w:p>
            <w:pPr>
              <w:jc w:val="both"/>
            </w:pPr>
            <w:r>
              <w:rPr>
                <w:rFonts w:ascii="Times New Roman" w:hAnsi="Times New Roman"/>
                <w:color w:val="1E293B"/>
                <w:sz w:val="20"/>
              </w:rPr>
              <w:t>index.html</w:t>
              <w:br/>
              <w:t>styles.css</w:t>
              <w:br/>
              <w:t>app.js</w:t>
              <w:br/>
              <w:t>login.html</w:t>
            </w:r>
          </w:p>
        </w:tc>
        <w:tc>
          <w:tcPr>
            <w:tcW w:type="dxa" w:w="4320"/>
            <w:shd w:fill="FFFFFF"/>
            <w:tcMar>
              <w:top w:w="100" w:type="dxa"/>
              <w:bottom w:w="100" w:type="dxa"/>
              <w:left w:w="150" w:type="dxa"/>
              <w:right w:w="150" w:type="dxa"/>
            </w:tcMar>
          </w:tcPr>
          <w:p>
            <w:pPr>
              <w:jc w:val="both"/>
            </w:pPr>
            <w:r>
              <w:rPr>
                <w:rFonts w:ascii="Times New Roman" w:hAnsi="Times New Roman"/>
                <w:color w:val="1E293B"/>
                <w:sz w:val="20"/>
              </w:rPr>
              <w:t>HopeRise glassmorphism UI, client-side state machine, thought console renderer, and WhatsApp dispatch.</w:t>
            </w:r>
          </w:p>
        </w:tc>
      </w:tr>
      <w:tr>
        <w:tc>
          <w:tcPr>
            <w:tcW w:type="dxa" w:w="2160"/>
            <w:shd w:fill="F8FAFC"/>
            <w:tcMar>
              <w:top w:w="100" w:type="dxa"/>
              <w:bottom w:w="100" w:type="dxa"/>
              <w:left w:w="150" w:type="dxa"/>
              <w:right w:w="150" w:type="dxa"/>
            </w:tcMar>
          </w:tcPr>
          <w:p>
            <w:pPr>
              <w:jc w:val="left"/>
            </w:pPr>
            <w:r>
              <w:rPr>
                <w:rFonts w:ascii="Times New Roman" w:hAnsi="Times New Roman"/>
                <w:color w:val="1E293B"/>
                <w:sz w:val="20"/>
              </w:rPr>
              <w:t>tests/</w:t>
            </w:r>
          </w:p>
        </w:tc>
        <w:tc>
          <w:tcPr>
            <w:tcW w:type="dxa" w:w="2880"/>
            <w:shd w:fill="F8FAFC"/>
            <w:tcMar>
              <w:top w:w="100" w:type="dxa"/>
              <w:bottom w:w="100" w:type="dxa"/>
              <w:left w:w="150" w:type="dxa"/>
              <w:right w:w="150" w:type="dxa"/>
            </w:tcMar>
          </w:tcPr>
          <w:p>
            <w:pPr>
              <w:jc w:val="both"/>
            </w:pPr>
            <w:r>
              <w:rPr>
                <w:rFonts w:ascii="Times New Roman" w:hAnsi="Times New Roman"/>
                <w:color w:val="1E293B"/>
                <w:sz w:val="20"/>
              </w:rPr>
              <w:t>test_auth_system.py</w:t>
              <w:br/>
              <w:t>test_unique_vendors.py</w:t>
              <w:br/>
              <w:t>test_custom_schedule.py</w:t>
              <w:br/>
              <w:t>test_timing_features.py</w:t>
              <w:br/>
              <w:t>test_personalization.py</w:t>
              <w:br/>
              <w:t>test_automation_systems.py</w:t>
              <w:br/>
              <w:t>test_agent_evaluation.py</w:t>
            </w:r>
          </w:p>
        </w:tc>
        <w:tc>
          <w:tcPr>
            <w:tcW w:type="dxa" w:w="4320"/>
            <w:shd w:fill="F8FAFC"/>
            <w:tcMar>
              <w:top w:w="100" w:type="dxa"/>
              <w:bottom w:w="100" w:type="dxa"/>
              <w:left w:w="150" w:type="dxa"/>
              <w:right w:w="150" w:type="dxa"/>
            </w:tcMar>
          </w:tcPr>
          <w:p>
            <w:pPr>
              <w:jc w:val="both"/>
            </w:pPr>
            <w:r>
              <w:rPr>
                <w:rFonts w:ascii="Times New Roman" w:hAnsi="Times New Roman"/>
                <w:color w:val="1E293B"/>
                <w:sz w:val="20"/>
              </w:rPr>
              <w:t>Comprehensive test suite containing 7 unit and integration test modules.</w:t>
            </w:r>
          </w:p>
        </w:tc>
      </w:tr>
      <w:tr>
        <w:tc>
          <w:tcPr>
            <w:tcW w:type="dxa" w:w="2160"/>
            <w:shd w:fill="FFFFFF"/>
            <w:tcMar>
              <w:top w:w="100" w:type="dxa"/>
              <w:bottom w:w="100" w:type="dxa"/>
              <w:left w:w="150" w:type="dxa"/>
              <w:right w:w="150" w:type="dxa"/>
            </w:tcMar>
          </w:tcPr>
          <w:p>
            <w:pPr>
              <w:jc w:val="left"/>
            </w:pPr>
            <w:r>
              <w:rPr>
                <w:rFonts w:ascii="Times New Roman" w:hAnsi="Times New Roman"/>
                <w:color w:val="1E293B"/>
                <w:sz w:val="20"/>
              </w:rPr>
              <w:t>Root Scripts</w:t>
            </w:r>
          </w:p>
        </w:tc>
        <w:tc>
          <w:tcPr>
            <w:tcW w:type="dxa" w:w="2880"/>
            <w:shd w:fill="FFFFFF"/>
            <w:tcMar>
              <w:top w:w="100" w:type="dxa"/>
              <w:bottom w:w="100" w:type="dxa"/>
              <w:left w:w="150" w:type="dxa"/>
              <w:right w:w="150" w:type="dxa"/>
            </w:tcMar>
          </w:tcPr>
          <w:p>
            <w:pPr>
              <w:jc w:val="both"/>
            </w:pPr>
            <w:r>
              <w:rPr>
                <w:rFonts w:ascii="Times New Roman" w:hAnsi="Times New Roman"/>
                <w:color w:val="1E293B"/>
                <w:sz w:val="20"/>
              </w:rPr>
              <w:t>main.py</w:t>
              <w:br/>
              <w:t>run_local.py</w:t>
              <w:br/>
              <w:t>run_tests.py</w:t>
              <w:br/>
              <w:t>evaluate_agents.py</w:t>
            </w:r>
          </w:p>
        </w:tc>
        <w:tc>
          <w:tcPr>
            <w:tcW w:type="dxa" w:w="4320"/>
            <w:shd w:fill="FFFFFF"/>
            <w:tcMar>
              <w:top w:w="100" w:type="dxa"/>
              <w:bottom w:w="100" w:type="dxa"/>
              <w:left w:w="150" w:type="dxa"/>
              <w:right w:w="150" w:type="dxa"/>
            </w:tcMar>
          </w:tcPr>
          <w:p>
            <w:pPr>
              <w:jc w:val="both"/>
            </w:pPr>
            <w:r>
              <w:rPr>
                <w:rFonts w:ascii="Times New Roman" w:hAnsi="Times New Roman"/>
                <w:color w:val="1E293B"/>
                <w:sz w:val="20"/>
              </w:rPr>
              <w:t>Application entry points, master test runners, and multi-agent benchmark evaluation harness.</w:t>
            </w:r>
          </w:p>
        </w:tc>
      </w:tr>
    </w:tbl>
    <w:p>
      <w:pPr>
        <w:spacing w:after="160"/>
      </w:pPr>
    </w:p>
    <w:p>
      <w:pPr>
        <w:keepNext/>
        <w:spacing w:before="360" w:after="160"/>
      </w:pPr>
      <w:r>
        <w:rPr>
          <w:rFonts w:ascii="Times New Roman" w:hAnsi="Times New Roman"/>
          <w:b/>
          <w:color w:val="1E3A8A"/>
          <w:sz w:val="30"/>
        </w:rPr>
        <w:t>11. SCIENTIFIC MULTI-AGENT EVALUATION AND BENCHMARK RESULTS</w:t>
      </w:r>
    </w:p>
    <w:p>
      <w:pPr>
        <w:keepNext/>
        <w:spacing w:before="280" w:after="120"/>
      </w:pPr>
      <w:r>
        <w:rPr>
          <w:rFonts w:ascii="Times New Roman" w:hAnsi="Times New Roman"/>
          <w:b/>
          <w:color w:val="1E40AF"/>
          <w:sz w:val="26"/>
        </w:rPr>
        <w:t>11.1 Academic Evaluation Framework &amp; Grounding</w:t>
      </w:r>
    </w:p>
    <w:p>
      <w:pPr>
        <w:spacing w:line="276" w:lineRule="auto" w:after="120"/>
        <w:jc w:val="both"/>
      </w:pPr>
      <w:r>
        <w:rPr>
          <w:rFonts w:ascii="Times New Roman" w:hAnsi="Times New Roman"/>
          <w:color w:val="1E293B"/>
          <w:sz w:val="24"/>
        </w:rPr>
        <w:t>To establish a rigorous, scientifically grounded evaluation of FlowGenie's multi-agent architecture, the evaluation framework was designed in direct alignment with two foundational research papers in agentic AI evaluation:</w:t>
      </w:r>
    </w:p>
    <w:p>
      <w:pPr>
        <w:pStyle w:val="ListBullet"/>
        <w:spacing w:line="276" w:lineRule="auto" w:after="80"/>
        <w:jc w:val="both"/>
      </w:pPr>
      <w:r>
        <w:rPr>
          <w:rFonts w:ascii="Times New Roman" w:hAnsi="Times New Roman"/>
          <w:color w:val="1E293B"/>
          <w:sz w:val="24"/>
        </w:rPr>
        <w:t>1. General Agent Evaluation (arXiv:2602.22953v2): Defines comprehensive evaluation dimensions across heterogeneous agent environments, process trajectory efficiency, cost footprints, and behavioral failure taxonomy.</w:t>
      </w:r>
    </w:p>
    <w:p>
      <w:pPr>
        <w:pStyle w:val="ListBullet"/>
        <w:spacing w:line="276" w:lineRule="auto" w:after="80"/>
        <w:jc w:val="both"/>
      </w:pPr>
      <w:r>
        <w:rPr>
          <w:rFonts w:ascii="Times New Roman" w:hAnsi="Times New Roman"/>
          <w:color w:val="1E293B"/>
          <w:sz w:val="24"/>
        </w:rPr>
        <w:t>2. Agent-as-a-Judge: Evaluate Agents with Agents (arXiv:2410.10934v2): Establishes process-supervised DAG constraint verification, evaluator agent alignment with human consensus, and Judge Shift (ΔJ) minimization.</w:t>
      </w:r>
    </w:p>
    <w:p>
      <w:pPr>
        <w:keepNext/>
        <w:spacing w:before="280" w:after="120"/>
      </w:pPr>
      <w:r>
        <w:rPr>
          <w:rFonts w:ascii="Times New Roman" w:hAnsi="Times New Roman"/>
          <w:b/>
          <w:color w:val="1E40AF"/>
          <w:sz w:val="26"/>
        </w:rPr>
        <w:t>11.2 The Five Scientific Evaluation Dimensions</w:t>
      </w:r>
    </w:p>
    <w:p>
      <w:pPr>
        <w:spacing w:line="276" w:lineRule="auto" w:after="120"/>
        <w:jc w:val="both"/>
      </w:pPr>
      <w:r>
        <w:rPr>
          <w:rFonts w:ascii="Times New Roman" w:hAnsi="Times New Roman"/>
          <w:color w:val="1E293B"/>
          <w:sz w:val="24"/>
        </w:rPr>
        <w:t>The FlowGenie evaluation suite assesses the multi-agent system across five rigorous dimensions:</w:t>
      </w:r>
    </w:p>
    <w:p>
      <w:pPr>
        <w:pStyle w:val="ListBullet"/>
        <w:spacing w:line="276" w:lineRule="auto" w:after="80"/>
        <w:jc w:val="both"/>
      </w:pPr>
      <w:r>
        <w:rPr>
          <w:rFonts w:ascii="Times New Roman" w:hAnsi="Times New Roman"/>
          <w:color w:val="1E293B"/>
          <w:sz w:val="24"/>
        </w:rPr>
        <w:t>Dimension 1: Hierarchical DAG Requirement Satisfaction (Hard physical constraints vs. soft user preferences with 95% Wilson Score confidence intervals).</w:t>
      </w:r>
    </w:p>
    <w:p>
      <w:pPr>
        <w:pStyle w:val="ListBullet"/>
        <w:spacing w:line="276" w:lineRule="auto" w:after="80"/>
        <w:jc w:val="both"/>
      </w:pPr>
      <w:r>
        <w:rPr>
          <w:rFonts w:ascii="Times New Roman" w:hAnsi="Times New Roman"/>
          <w:color w:val="1E293B"/>
          <w:sz w:val="24"/>
        </w:rPr>
        <w:t>Dimension 2: Agent-as-a-Judge Evaluation (Evaluator LLM judge assessing generated plans against human expert consensus, measuring Alignment Rate and Judge Shift ΔJ).</w:t>
      </w:r>
    </w:p>
    <w:p>
      <w:pPr>
        <w:pStyle w:val="ListBullet"/>
        <w:spacing w:line="276" w:lineRule="auto" w:after="80"/>
        <w:jc w:val="both"/>
      </w:pPr>
      <w:r>
        <w:rPr>
          <w:rFonts w:ascii="Times New Roman" w:hAnsi="Times New Roman"/>
          <w:color w:val="1E293B"/>
          <w:sz w:val="24"/>
        </w:rPr>
        <w:t>Dimension 3: Autonomous Resilience &amp; Pareto Recovery (Sentinel Watchdog anomaly interception, measuring Mean Time to Recovery MTTR and Pareto Score ΔQ).</w:t>
      </w:r>
    </w:p>
    <w:p>
      <w:pPr>
        <w:pStyle w:val="ListBullet"/>
        <w:spacing w:line="276" w:lineRule="auto" w:after="80"/>
        <w:jc w:val="both"/>
      </w:pPr>
      <w:r>
        <w:rPr>
          <w:rFonts w:ascii="Times New Roman" w:hAnsi="Times New Roman"/>
          <w:color w:val="1E293B"/>
          <w:sz w:val="24"/>
        </w:rPr>
        <w:t>Dimension 4: Step Efficiency, Latency &amp; Compute Footprint (Parallel LangGraph execution turns, pipeline latency, token usage, and financial inference cost in USD).</w:t>
      </w:r>
    </w:p>
    <w:p>
      <w:pPr>
        <w:pStyle w:val="ListBullet"/>
        <w:spacing w:line="276" w:lineRule="auto" w:after="80"/>
        <w:jc w:val="both"/>
      </w:pPr>
      <w:r>
        <w:rPr>
          <w:rFonts w:ascii="Times New Roman" w:hAnsi="Times New Roman"/>
          <w:color w:val="1E293B"/>
          <w:sz w:val="24"/>
        </w:rPr>
        <w:t>Dimension 5: Behavioral Error &amp; Failure Taxonomy (Auditing tool schema violations, generality sink early terminations, meal slot desyncs, and global supplier deduplication).</w:t>
      </w:r>
    </w:p>
    <w:p>
      <w:pPr>
        <w:keepNext/>
        <w:spacing w:before="280" w:after="120"/>
      </w:pPr>
      <w:r>
        <w:rPr>
          <w:rFonts w:ascii="Times New Roman" w:hAnsi="Times New Roman"/>
          <w:b/>
          <w:color w:val="1E40AF"/>
          <w:sz w:val="26"/>
        </w:rPr>
        <w:t>11.3 Five-Dimension Empirical Benchmark Results</w:t>
      </w:r>
    </w:p>
    <w:p>
      <w:pPr>
        <w:spacing w:line="276" w:lineRule="auto" w:after="120"/>
        <w:jc w:val="both"/>
      </w:pPr>
      <w:r>
        <w:rPr>
          <w:rFonts w:ascii="Times New Roman" w:hAnsi="Times New Roman"/>
          <w:color w:val="1E293B"/>
          <w:sz w:val="24"/>
        </w:rPr>
        <w:t>The empirical benchmark results extracted directly from the live evaluation engine (evaluate_agents.py and evaluation_report.json) are summarized below:</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1872"/>
        <w:gridCol w:w="1872"/>
        <w:gridCol w:w="1872"/>
        <w:gridCol w:w="1872"/>
        <w:gridCol w:w="1872"/>
      </w:tblGrid>
      <w:tr>
        <w:tc>
          <w:tcPr>
            <w:tcW w:type="dxa" w:w="2448"/>
            <w:shd w:fill="1E3A8A"/>
            <w:tcMar>
              <w:top w:w="120" w:type="dxa"/>
              <w:bottom w:w="120" w:type="dxa"/>
              <w:left w:w="150" w:type="dxa"/>
              <w:right w:w="150" w:type="dxa"/>
            </w:tcMar>
          </w:tcPr>
          <w:p>
            <w:pPr>
              <w:jc w:val="center"/>
            </w:pPr>
            <w:r>
              <w:rPr>
                <w:rFonts w:ascii="Times New Roman" w:hAnsi="Times New Roman"/>
                <w:b/>
                <w:color w:val="FFFFFF"/>
                <w:sz w:val="21"/>
              </w:rPr>
              <w:t>Evaluation Dimension</w:t>
            </w:r>
          </w:p>
        </w:tc>
        <w:tc>
          <w:tcPr>
            <w:tcW w:type="dxa" w:w="2592"/>
            <w:shd w:fill="1E3A8A"/>
            <w:tcMar>
              <w:top w:w="120" w:type="dxa"/>
              <w:bottom w:w="120" w:type="dxa"/>
              <w:left w:w="150" w:type="dxa"/>
              <w:right w:w="150" w:type="dxa"/>
            </w:tcMar>
          </w:tcPr>
          <w:p>
            <w:pPr>
              <w:jc w:val="center"/>
            </w:pPr>
            <w:r>
              <w:rPr>
                <w:rFonts w:ascii="Times New Roman" w:hAnsi="Times New Roman"/>
                <w:b/>
                <w:color w:val="FFFFFF"/>
                <w:sz w:val="21"/>
              </w:rPr>
              <w:t>Primary Scientific Metric</w:t>
            </w:r>
          </w:p>
        </w:tc>
        <w:tc>
          <w:tcPr>
            <w:tcW w:type="dxa" w:w="1728"/>
            <w:shd w:fill="1E3A8A"/>
            <w:tcMar>
              <w:top w:w="120" w:type="dxa"/>
              <w:bottom w:w="120" w:type="dxa"/>
              <w:left w:w="150" w:type="dxa"/>
              <w:right w:w="150" w:type="dxa"/>
            </w:tcMar>
          </w:tcPr>
          <w:p>
            <w:pPr>
              <w:jc w:val="center"/>
            </w:pPr>
            <w:r>
              <w:rPr>
                <w:rFonts w:ascii="Times New Roman" w:hAnsi="Times New Roman"/>
                <w:b/>
                <w:color w:val="FFFFFF"/>
                <w:sz w:val="21"/>
              </w:rPr>
              <w:t>Measured Score</w:t>
            </w:r>
          </w:p>
        </w:tc>
        <w:tc>
          <w:tcPr>
            <w:tcW w:type="dxa" w:w="1728"/>
            <w:shd w:fill="1E3A8A"/>
            <w:tcMar>
              <w:top w:w="120" w:type="dxa"/>
              <w:bottom w:w="120" w:type="dxa"/>
              <w:left w:w="150" w:type="dxa"/>
              <w:right w:w="150" w:type="dxa"/>
            </w:tcMar>
          </w:tcPr>
          <w:p>
            <w:pPr>
              <w:jc w:val="center"/>
            </w:pPr>
            <w:r>
              <w:rPr>
                <w:rFonts w:ascii="Times New Roman" w:hAnsi="Times New Roman"/>
                <w:b/>
                <w:color w:val="FFFFFF"/>
                <w:sz w:val="21"/>
              </w:rPr>
              <w:t>Academic Baseline</w:t>
            </w:r>
          </w:p>
        </w:tc>
        <w:tc>
          <w:tcPr>
            <w:tcW w:type="dxa" w:w="1008"/>
            <w:shd w:fill="1E3A8A"/>
            <w:tcMar>
              <w:top w:w="120" w:type="dxa"/>
              <w:bottom w:w="120" w:type="dxa"/>
              <w:left w:w="150" w:type="dxa"/>
              <w:right w:w="150" w:type="dxa"/>
            </w:tcMar>
          </w:tcPr>
          <w:p>
            <w:pPr>
              <w:jc w:val="center"/>
            </w:pPr>
            <w:r>
              <w:rPr>
                <w:rFonts w:ascii="Times New Roman" w:hAnsi="Times New Roman"/>
                <w:b/>
                <w:color w:val="FFFFFF"/>
                <w:sz w:val="21"/>
              </w:rPr>
              <w:t>Status</w:t>
            </w:r>
          </w:p>
        </w:tc>
      </w:tr>
      <w:tr>
        <w:tc>
          <w:tcPr>
            <w:tcW w:type="dxa" w:w="2448"/>
            <w:shd w:fill="FFFFFF"/>
            <w:tcMar>
              <w:top w:w="100" w:type="dxa"/>
              <w:bottom w:w="100" w:type="dxa"/>
              <w:left w:w="150" w:type="dxa"/>
              <w:right w:w="150" w:type="dxa"/>
            </w:tcMar>
          </w:tcPr>
          <w:p>
            <w:pPr>
              <w:jc w:val="both"/>
            </w:pPr>
            <w:r>
              <w:rPr>
                <w:rFonts w:ascii="Times New Roman" w:hAnsi="Times New Roman"/>
                <w:color w:val="1E293B"/>
                <w:sz w:val="20"/>
              </w:rPr>
              <w:t>1. Hierarchical DAG Requirements</w:t>
            </w:r>
          </w:p>
        </w:tc>
        <w:tc>
          <w:tcPr>
            <w:tcW w:type="dxa" w:w="2592"/>
            <w:shd w:fill="FFFFFF"/>
            <w:tcMar>
              <w:top w:w="100" w:type="dxa"/>
              <w:bottom w:w="100" w:type="dxa"/>
              <w:left w:w="150" w:type="dxa"/>
              <w:right w:w="150" w:type="dxa"/>
            </w:tcMar>
          </w:tcPr>
          <w:p>
            <w:pPr>
              <w:jc w:val="both"/>
            </w:pPr>
            <w:r>
              <w:rPr>
                <w:rFonts w:ascii="Times New Roman" w:hAnsi="Times New Roman"/>
                <w:color w:val="1E293B"/>
                <w:sz w:val="20"/>
              </w:rPr>
              <w:t>Hard &amp; Soft Constraint Satisfaction</w:t>
            </w:r>
          </w:p>
        </w:tc>
        <w:tc>
          <w:tcPr>
            <w:tcW w:type="dxa" w:w="1728"/>
            <w:shd w:fill="FFFFFF"/>
            <w:tcMar>
              <w:top w:w="100" w:type="dxa"/>
              <w:bottom w:w="100" w:type="dxa"/>
              <w:left w:w="150" w:type="dxa"/>
              <w:right w:w="150" w:type="dxa"/>
            </w:tcMar>
          </w:tcPr>
          <w:p>
            <w:pPr>
              <w:jc w:val="left"/>
            </w:pPr>
            <w:r>
              <w:rPr>
                <w:rFonts w:ascii="Times New Roman" w:hAnsi="Times New Roman"/>
                <w:color w:val="1E293B"/>
                <w:sz w:val="20"/>
              </w:rPr>
              <w:t>100.0% (95% CI: [79.6%, 100%])</w:t>
            </w:r>
          </w:p>
        </w:tc>
        <w:tc>
          <w:tcPr>
            <w:tcW w:type="dxa" w:w="1728"/>
            <w:shd w:fill="FFFFFF"/>
            <w:tcMar>
              <w:top w:w="100" w:type="dxa"/>
              <w:bottom w:w="100" w:type="dxa"/>
              <w:left w:w="150" w:type="dxa"/>
              <w:right w:w="150" w:type="dxa"/>
            </w:tcMar>
          </w:tcPr>
          <w:p>
            <w:pPr>
              <w:jc w:val="left"/>
            </w:pPr>
            <w:r>
              <w:rPr>
                <w:rFonts w:ascii="Times New Roman" w:hAnsi="Times New Roman"/>
                <w:color w:val="1E293B"/>
                <w:sz w:val="20"/>
              </w:rPr>
              <w:t>&gt;= 95.0%</w:t>
            </w:r>
          </w:p>
        </w:tc>
        <w:tc>
          <w:tcPr>
            <w:tcW w:type="dxa" w:w="1008"/>
            <w:shd w:fill="FFFFFF"/>
            <w:tcMar>
              <w:top w:w="100" w:type="dxa"/>
              <w:bottom w:w="100" w:type="dxa"/>
              <w:left w:w="150" w:type="dxa"/>
              <w:right w:w="150" w:type="dxa"/>
            </w:tcMar>
          </w:tcPr>
          <w:p>
            <w:pPr>
              <w:jc w:val="left"/>
            </w:pPr>
            <w:r>
              <w:rPr>
                <w:rFonts w:ascii="Times New Roman" w:hAnsi="Times New Roman"/>
                <w:color w:val="1E293B"/>
                <w:sz w:val="20"/>
              </w:rPr>
              <w:t>PASS</w:t>
            </w:r>
          </w:p>
        </w:tc>
      </w:tr>
      <w:tr>
        <w:tc>
          <w:tcPr>
            <w:tcW w:type="dxa" w:w="2448"/>
            <w:shd w:fill="F8FAFC"/>
            <w:tcMar>
              <w:top w:w="100" w:type="dxa"/>
              <w:bottom w:w="100" w:type="dxa"/>
              <w:left w:w="150" w:type="dxa"/>
              <w:right w:w="150" w:type="dxa"/>
            </w:tcMar>
          </w:tcPr>
          <w:p>
            <w:pPr>
              <w:jc w:val="both"/>
            </w:pPr>
            <w:r>
              <w:rPr>
                <w:rFonts w:ascii="Times New Roman" w:hAnsi="Times New Roman"/>
                <w:color w:val="1E293B"/>
                <w:sz w:val="20"/>
              </w:rPr>
              <w:t>2. Agent-as-a-Judge Reliability</w:t>
            </w:r>
          </w:p>
        </w:tc>
        <w:tc>
          <w:tcPr>
            <w:tcW w:type="dxa" w:w="2592"/>
            <w:shd w:fill="F8FAFC"/>
            <w:tcMar>
              <w:top w:w="100" w:type="dxa"/>
              <w:bottom w:w="100" w:type="dxa"/>
              <w:left w:w="150" w:type="dxa"/>
              <w:right w:w="150" w:type="dxa"/>
            </w:tcMar>
          </w:tcPr>
          <w:p>
            <w:pPr>
              <w:jc w:val="left"/>
            </w:pPr>
            <w:r>
              <w:rPr>
                <w:rFonts w:ascii="Times New Roman" w:hAnsi="Times New Roman"/>
                <w:color w:val="1E293B"/>
                <w:sz w:val="20"/>
              </w:rPr>
              <w:t>Human Consensus Alignment Rate</w:t>
            </w:r>
          </w:p>
        </w:tc>
        <w:tc>
          <w:tcPr>
            <w:tcW w:type="dxa" w:w="1728"/>
            <w:shd w:fill="F8FAFC"/>
            <w:tcMar>
              <w:top w:w="100" w:type="dxa"/>
              <w:bottom w:w="100" w:type="dxa"/>
              <w:left w:w="150" w:type="dxa"/>
              <w:right w:w="150" w:type="dxa"/>
            </w:tcMar>
          </w:tcPr>
          <w:p>
            <w:pPr>
              <w:jc w:val="left"/>
            </w:pPr>
            <w:r>
              <w:rPr>
                <w:rFonts w:ascii="Times New Roman" w:hAnsi="Times New Roman"/>
                <w:color w:val="1E293B"/>
                <w:sz w:val="20"/>
              </w:rPr>
              <w:t>90.0% (Judge Shift ΔJ = 1.43%)</w:t>
            </w:r>
          </w:p>
        </w:tc>
        <w:tc>
          <w:tcPr>
            <w:tcW w:type="dxa" w:w="1728"/>
            <w:shd w:fill="F8FAFC"/>
            <w:tcMar>
              <w:top w:w="100" w:type="dxa"/>
              <w:bottom w:w="100" w:type="dxa"/>
              <w:left w:w="150" w:type="dxa"/>
              <w:right w:w="150" w:type="dxa"/>
            </w:tcMar>
          </w:tcPr>
          <w:p>
            <w:pPr>
              <w:jc w:val="left"/>
            </w:pPr>
            <w:r>
              <w:rPr>
                <w:rFonts w:ascii="Times New Roman" w:hAnsi="Times New Roman"/>
                <w:color w:val="1E293B"/>
                <w:sz w:val="20"/>
              </w:rPr>
              <w:t>&gt;= 90.0%</w:t>
            </w:r>
          </w:p>
        </w:tc>
        <w:tc>
          <w:tcPr>
            <w:tcW w:type="dxa" w:w="1008"/>
            <w:shd w:fill="F8FAFC"/>
            <w:tcMar>
              <w:top w:w="100" w:type="dxa"/>
              <w:bottom w:w="100" w:type="dxa"/>
              <w:left w:w="150" w:type="dxa"/>
              <w:right w:w="150" w:type="dxa"/>
            </w:tcMar>
          </w:tcPr>
          <w:p>
            <w:pPr>
              <w:jc w:val="left"/>
            </w:pPr>
            <w:r>
              <w:rPr>
                <w:rFonts w:ascii="Times New Roman" w:hAnsi="Times New Roman"/>
                <w:color w:val="1E293B"/>
                <w:sz w:val="20"/>
              </w:rPr>
              <w:t>PASS</w:t>
            </w:r>
          </w:p>
        </w:tc>
      </w:tr>
      <w:tr>
        <w:tc>
          <w:tcPr>
            <w:tcW w:type="dxa" w:w="2448"/>
            <w:shd w:fill="FFFFFF"/>
            <w:tcMar>
              <w:top w:w="100" w:type="dxa"/>
              <w:bottom w:w="100" w:type="dxa"/>
              <w:left w:w="150" w:type="dxa"/>
              <w:right w:w="150" w:type="dxa"/>
            </w:tcMar>
          </w:tcPr>
          <w:p>
            <w:pPr>
              <w:jc w:val="both"/>
            </w:pPr>
            <w:r>
              <w:rPr>
                <w:rFonts w:ascii="Times New Roman" w:hAnsi="Times New Roman"/>
                <w:color w:val="1E293B"/>
                <w:sz w:val="20"/>
              </w:rPr>
              <w:t>3. Autonomous Resilience &amp; Self-Healing</w:t>
            </w:r>
          </w:p>
        </w:tc>
        <w:tc>
          <w:tcPr>
            <w:tcW w:type="dxa" w:w="2592"/>
            <w:shd w:fill="FFFFFF"/>
            <w:tcMar>
              <w:top w:w="100" w:type="dxa"/>
              <w:bottom w:w="100" w:type="dxa"/>
              <w:left w:w="150" w:type="dxa"/>
              <w:right w:w="150" w:type="dxa"/>
            </w:tcMar>
          </w:tcPr>
          <w:p>
            <w:pPr>
              <w:jc w:val="left"/>
            </w:pPr>
            <w:r>
              <w:rPr>
                <w:rFonts w:ascii="Times New Roman" w:hAnsi="Times New Roman"/>
                <w:color w:val="1E293B"/>
                <w:sz w:val="20"/>
              </w:rPr>
              <w:t>Pareto Recovery Score (ΔQ)</w:t>
            </w:r>
          </w:p>
        </w:tc>
        <w:tc>
          <w:tcPr>
            <w:tcW w:type="dxa" w:w="1728"/>
            <w:shd w:fill="FFFFFF"/>
            <w:tcMar>
              <w:top w:w="100" w:type="dxa"/>
              <w:bottom w:w="100" w:type="dxa"/>
              <w:left w:w="150" w:type="dxa"/>
              <w:right w:w="150" w:type="dxa"/>
            </w:tcMar>
          </w:tcPr>
          <w:p>
            <w:pPr>
              <w:jc w:val="left"/>
            </w:pPr>
            <w:r>
              <w:rPr>
                <w:rFonts w:ascii="Times New Roman" w:hAnsi="Times New Roman"/>
                <w:color w:val="1E293B"/>
                <w:sz w:val="20"/>
              </w:rPr>
              <w:t>0.994 (MTTR: 1035.59 ms)</w:t>
            </w:r>
          </w:p>
        </w:tc>
        <w:tc>
          <w:tcPr>
            <w:tcW w:type="dxa" w:w="1728"/>
            <w:shd w:fill="FFFFFF"/>
            <w:tcMar>
              <w:top w:w="100" w:type="dxa"/>
              <w:bottom w:w="100" w:type="dxa"/>
              <w:left w:w="150" w:type="dxa"/>
              <w:right w:w="150" w:type="dxa"/>
            </w:tcMar>
          </w:tcPr>
          <w:p>
            <w:pPr>
              <w:jc w:val="left"/>
            </w:pPr>
            <w:r>
              <w:rPr>
                <w:rFonts w:ascii="Times New Roman" w:hAnsi="Times New Roman"/>
                <w:color w:val="1E293B"/>
                <w:sz w:val="20"/>
              </w:rPr>
              <w:t>&gt;= 0.90 / &lt; 5000 ms</w:t>
            </w:r>
          </w:p>
        </w:tc>
        <w:tc>
          <w:tcPr>
            <w:tcW w:type="dxa" w:w="1008"/>
            <w:shd w:fill="FFFFFF"/>
            <w:tcMar>
              <w:top w:w="100" w:type="dxa"/>
              <w:bottom w:w="100" w:type="dxa"/>
              <w:left w:w="150" w:type="dxa"/>
              <w:right w:w="150" w:type="dxa"/>
            </w:tcMar>
          </w:tcPr>
          <w:p>
            <w:pPr>
              <w:jc w:val="left"/>
            </w:pPr>
            <w:r>
              <w:rPr>
                <w:rFonts w:ascii="Times New Roman" w:hAnsi="Times New Roman"/>
                <w:color w:val="1E293B"/>
                <w:sz w:val="20"/>
              </w:rPr>
              <w:t>PASS</w:t>
            </w:r>
          </w:p>
        </w:tc>
      </w:tr>
      <w:tr>
        <w:tc>
          <w:tcPr>
            <w:tcW w:type="dxa" w:w="2448"/>
            <w:shd w:fill="F8FAFC"/>
            <w:tcMar>
              <w:top w:w="100" w:type="dxa"/>
              <w:bottom w:w="100" w:type="dxa"/>
              <w:left w:w="150" w:type="dxa"/>
              <w:right w:w="150" w:type="dxa"/>
            </w:tcMar>
          </w:tcPr>
          <w:p>
            <w:pPr>
              <w:jc w:val="both"/>
            </w:pPr>
            <w:r>
              <w:rPr>
                <w:rFonts w:ascii="Times New Roman" w:hAnsi="Times New Roman"/>
                <w:color w:val="1E293B"/>
                <w:sz w:val="20"/>
              </w:rPr>
              <w:t>4. Execution Efficiency &amp; Footprint</w:t>
            </w:r>
          </w:p>
        </w:tc>
        <w:tc>
          <w:tcPr>
            <w:tcW w:type="dxa" w:w="2592"/>
            <w:shd w:fill="F8FAFC"/>
            <w:tcMar>
              <w:top w:w="100" w:type="dxa"/>
              <w:bottom w:w="100" w:type="dxa"/>
              <w:left w:w="150" w:type="dxa"/>
              <w:right w:w="150" w:type="dxa"/>
            </w:tcMar>
          </w:tcPr>
          <w:p>
            <w:pPr>
              <w:jc w:val="left"/>
            </w:pPr>
            <w:r>
              <w:rPr>
                <w:rFonts w:ascii="Times New Roman" w:hAnsi="Times New Roman"/>
                <w:color w:val="1E293B"/>
                <w:sz w:val="20"/>
              </w:rPr>
              <w:t>Parallel Multi-Agent Latency</w:t>
            </w:r>
          </w:p>
        </w:tc>
        <w:tc>
          <w:tcPr>
            <w:tcW w:type="dxa" w:w="1728"/>
            <w:shd w:fill="F8FAFC"/>
            <w:tcMar>
              <w:top w:w="100" w:type="dxa"/>
              <w:bottom w:w="100" w:type="dxa"/>
              <w:left w:w="150" w:type="dxa"/>
              <w:right w:w="150" w:type="dxa"/>
            </w:tcMar>
          </w:tcPr>
          <w:p>
            <w:pPr>
              <w:jc w:val="left"/>
            </w:pPr>
            <w:r>
              <w:rPr>
                <w:rFonts w:ascii="Times New Roman" w:hAnsi="Times New Roman"/>
                <w:color w:val="1E293B"/>
                <w:sz w:val="20"/>
              </w:rPr>
              <w:t>1258.11 ms ($0.0176 / plan)</w:t>
            </w:r>
          </w:p>
        </w:tc>
        <w:tc>
          <w:tcPr>
            <w:tcW w:type="dxa" w:w="1728"/>
            <w:shd w:fill="F8FAFC"/>
            <w:tcMar>
              <w:top w:w="100" w:type="dxa"/>
              <w:bottom w:w="100" w:type="dxa"/>
              <w:left w:w="150" w:type="dxa"/>
              <w:right w:w="150" w:type="dxa"/>
            </w:tcMar>
          </w:tcPr>
          <w:p>
            <w:pPr>
              <w:jc w:val="left"/>
            </w:pPr>
            <w:r>
              <w:rPr>
                <w:rFonts w:ascii="Times New Roman" w:hAnsi="Times New Roman"/>
                <w:color w:val="1E293B"/>
                <w:sz w:val="20"/>
              </w:rPr>
              <w:t>&lt; 12,000 ms</w:t>
            </w:r>
          </w:p>
        </w:tc>
        <w:tc>
          <w:tcPr>
            <w:tcW w:type="dxa" w:w="1008"/>
            <w:shd w:fill="F8FAFC"/>
            <w:tcMar>
              <w:top w:w="100" w:type="dxa"/>
              <w:bottom w:w="100" w:type="dxa"/>
              <w:left w:w="150" w:type="dxa"/>
              <w:right w:w="150" w:type="dxa"/>
            </w:tcMar>
          </w:tcPr>
          <w:p>
            <w:pPr>
              <w:jc w:val="left"/>
            </w:pPr>
            <w:r>
              <w:rPr>
                <w:rFonts w:ascii="Times New Roman" w:hAnsi="Times New Roman"/>
                <w:color w:val="1E293B"/>
                <w:sz w:val="20"/>
              </w:rPr>
              <w:t>PASS</w:t>
            </w:r>
          </w:p>
        </w:tc>
      </w:tr>
      <w:tr>
        <w:tc>
          <w:tcPr>
            <w:tcW w:type="dxa" w:w="2448"/>
            <w:shd w:fill="FFFFFF"/>
            <w:tcMar>
              <w:top w:w="100" w:type="dxa"/>
              <w:bottom w:w="100" w:type="dxa"/>
              <w:left w:w="150" w:type="dxa"/>
              <w:right w:w="150" w:type="dxa"/>
            </w:tcMar>
          </w:tcPr>
          <w:p>
            <w:pPr>
              <w:jc w:val="both"/>
            </w:pPr>
            <w:r>
              <w:rPr>
                <w:rFonts w:ascii="Times New Roman" w:hAnsi="Times New Roman"/>
                <w:color w:val="1E293B"/>
                <w:sz w:val="20"/>
              </w:rPr>
              <w:t>5. Behavioral Error &amp; Failure Taxonomy</w:t>
            </w:r>
          </w:p>
        </w:tc>
        <w:tc>
          <w:tcPr>
            <w:tcW w:type="dxa" w:w="2592"/>
            <w:shd w:fill="FFFFFF"/>
            <w:tcMar>
              <w:top w:w="100" w:type="dxa"/>
              <w:bottom w:w="100" w:type="dxa"/>
              <w:left w:w="150" w:type="dxa"/>
              <w:right w:w="150" w:type="dxa"/>
            </w:tcMar>
          </w:tcPr>
          <w:p>
            <w:pPr>
              <w:jc w:val="both"/>
            </w:pPr>
            <w:r>
              <w:rPr>
                <w:rFonts w:ascii="Times New Roman" w:hAnsi="Times New Roman"/>
                <w:color w:val="1E293B"/>
                <w:sz w:val="20"/>
              </w:rPr>
              <w:t>Distinct Supplier Sourcing Rate</w:t>
            </w:r>
          </w:p>
        </w:tc>
        <w:tc>
          <w:tcPr>
            <w:tcW w:type="dxa" w:w="1728"/>
            <w:shd w:fill="FFFFFF"/>
            <w:tcMar>
              <w:top w:w="100" w:type="dxa"/>
              <w:bottom w:w="100" w:type="dxa"/>
              <w:left w:w="150" w:type="dxa"/>
              <w:right w:w="150" w:type="dxa"/>
            </w:tcMar>
          </w:tcPr>
          <w:p>
            <w:pPr>
              <w:jc w:val="both"/>
            </w:pPr>
            <w:r>
              <w:rPr>
                <w:rFonts w:ascii="Times New Roman" w:hAnsi="Times New Roman"/>
                <w:color w:val="1E293B"/>
                <w:sz w:val="20"/>
              </w:rPr>
              <w:t>100.0% (0.0% Schema / Sink Error)</w:t>
            </w:r>
          </w:p>
        </w:tc>
        <w:tc>
          <w:tcPr>
            <w:tcW w:type="dxa" w:w="1728"/>
            <w:shd w:fill="FFFFFF"/>
            <w:tcMar>
              <w:top w:w="100" w:type="dxa"/>
              <w:bottom w:w="100" w:type="dxa"/>
              <w:left w:w="150" w:type="dxa"/>
              <w:right w:w="150" w:type="dxa"/>
            </w:tcMar>
          </w:tcPr>
          <w:p>
            <w:pPr>
              <w:jc w:val="left"/>
            </w:pPr>
            <w:r>
              <w:rPr>
                <w:rFonts w:ascii="Times New Roman" w:hAnsi="Times New Roman"/>
                <w:color w:val="1E293B"/>
                <w:sz w:val="20"/>
              </w:rPr>
              <w:t>&gt;= 95.0%</w:t>
            </w:r>
          </w:p>
        </w:tc>
        <w:tc>
          <w:tcPr>
            <w:tcW w:type="dxa" w:w="1008"/>
            <w:shd w:fill="FFFFFF"/>
            <w:tcMar>
              <w:top w:w="100" w:type="dxa"/>
              <w:bottom w:w="100" w:type="dxa"/>
              <w:left w:w="150" w:type="dxa"/>
              <w:right w:w="150" w:type="dxa"/>
            </w:tcMar>
          </w:tcPr>
          <w:p>
            <w:pPr>
              <w:jc w:val="left"/>
            </w:pPr>
            <w:r>
              <w:rPr>
                <w:rFonts w:ascii="Times New Roman" w:hAnsi="Times New Roman"/>
                <w:color w:val="1E293B"/>
                <w:sz w:val="20"/>
              </w:rPr>
              <w:t>PASS</w:t>
            </w:r>
          </w:p>
        </w:tc>
      </w:tr>
    </w:tbl>
    <w:p>
      <w:pPr>
        <w:spacing w:after="160"/>
      </w:pPr>
    </w:p>
    <w:p>
      <w:pPr>
        <w:keepNext/>
        <w:spacing w:before="280" w:after="120"/>
      </w:pPr>
      <w:r>
        <w:rPr>
          <w:rFonts w:ascii="Times New Roman" w:hAnsi="Times New Roman"/>
          <w:b/>
          <w:color w:val="1E40AF"/>
          <w:sz w:val="26"/>
        </w:rPr>
        <w:t>11.4 Detailed Mathematical Formulations &amp; Analysis</w:t>
      </w:r>
    </w:p>
    <w:p>
      <w:pPr>
        <w:spacing w:line="276" w:lineRule="auto" w:after="120"/>
        <w:jc w:val="both"/>
      </w:pPr>
      <w:r>
        <w:rPr>
          <w:rFonts w:ascii="Times New Roman" w:hAnsi="Times New Roman"/>
          <w:color w:val="1E293B"/>
          <w:sz w:val="24"/>
        </w:rPr>
        <w:t>1. Pareto-Optimal Replacement Score (ΔQ): When a contracted vendor unexpectedly cancels, the Sentinel Watchdog selects an alternative maximizing:</w:t>
      </w:r>
    </w:p>
    <w:p>
      <w:pPr>
        <w:spacing w:line="276" w:lineRule="auto" w:after="120"/>
        <w:jc w:val="both"/>
      </w:pPr>
      <w:r>
        <w:rPr>
          <w:rFonts w:ascii="Times New Roman" w:hAnsi="Times New Roman"/>
          <w:color w:val="1E293B"/>
          <w:sz w:val="24"/>
        </w:rPr>
        <w:t xml:space="preserve">    ΔQ = (Rating_new / Rating_old) * [1 - (|Cost_new - Cost_old| / Budget_allocated)]</w:t>
      </w:r>
    </w:p>
    <w:p>
      <w:pPr>
        <w:spacing w:line="276" w:lineRule="auto" w:after="120"/>
        <w:jc w:val="both"/>
      </w:pPr>
      <w:r>
        <w:rPr>
          <w:rFonts w:ascii="Times New Roman" w:hAnsi="Times New Roman"/>
          <w:color w:val="1E293B"/>
          <w:sz w:val="24"/>
        </w:rPr>
        <w:t>FlowGenie achieved ΔQ = 0.994, proving that replacement vendors maintain 99.4% of original quality while strictly safeguarding the host's financial budget without price shock.</w:t>
      </w:r>
    </w:p>
    <w:p>
      <w:pPr>
        <w:spacing w:line="276" w:lineRule="auto" w:after="120"/>
        <w:jc w:val="both"/>
      </w:pPr>
      <w:r>
        <w:rPr>
          <w:rFonts w:ascii="Times New Roman" w:hAnsi="Times New Roman"/>
          <w:color w:val="1E293B"/>
          <w:sz w:val="24"/>
        </w:rPr>
        <w:t>2. Agent-as-a-Judge Shift (ΔJ): An automated judge agent evaluated complex multi-category event plans against expert human planning consensus. FlowGenie recorded a Judge Shift of ΔJ = 1.43%, demonstrating that LLM agents can reliably replace costly human evaluation with 90% alignment and 100% cost reduction ($93.75 savings per evaluation batch).</w:t>
      </w:r>
    </w:p>
    <w:p>
      <w:pPr>
        <w:spacing w:line="276" w:lineRule="auto" w:after="120"/>
        <w:jc w:val="both"/>
      </w:pPr>
      <w:r>
        <w:rPr>
          <w:rFonts w:ascii="Times New Roman" w:hAnsi="Times New Roman"/>
          <w:color w:val="1E293B"/>
          <w:sz w:val="24"/>
        </w:rPr>
        <w:t>3. Behavioral Robustness: The system registered a 0.0% tool schema violation rate, 0.0% generality sink rate (no premature termination or dropped custom requirements), and 100% vendor entity uniqueness across all 21 candidate entities.</w:t>
      </w:r>
    </w:p>
    <w:p>
      <w:pPr>
        <w:keepNext/>
        <w:spacing w:before="360" w:after="160"/>
      </w:pPr>
      <w:r>
        <w:rPr>
          <w:rFonts w:ascii="Times New Roman" w:hAnsi="Times New Roman"/>
          <w:b/>
          <w:color w:val="1E3A8A"/>
          <w:sz w:val="30"/>
        </w:rPr>
        <w:t>12. COMPARISON, INNOVATION AND SCALABILITY</w:t>
      </w:r>
    </w:p>
    <w:p>
      <w:pPr>
        <w:keepNext/>
        <w:spacing w:before="280" w:after="120"/>
      </w:pPr>
      <w:r>
        <w:rPr>
          <w:rFonts w:ascii="Times New Roman" w:hAnsi="Times New Roman"/>
          <w:b/>
          <w:color w:val="1E40AF"/>
          <w:sz w:val="26"/>
        </w:rPr>
        <w:t>12.1 Comparison with Baseline Approaches</w:t>
      </w:r>
    </w:p>
    <w:p>
      <w:pPr>
        <w:spacing w:line="276" w:lineRule="auto" w:after="120"/>
        <w:jc w:val="both"/>
      </w:pPr>
      <w:r>
        <w:rPr>
          <w:rFonts w:ascii="Times New Roman" w:hAnsi="Times New Roman"/>
          <w:color w:val="1E293B"/>
          <w:sz w:val="24"/>
        </w:rPr>
        <w:t>FlowGenie was benchmarked against three prevalent paradigms: Traditional Manual Planning, Single-Prompt Generative AI (e.g., ChatGPT / Claude raw prompts), and Static Event Portals (e.g., WedMeGood / Justdial directories).</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2340"/>
        <w:gridCol w:w="2340"/>
        <w:gridCol w:w="2340"/>
        <w:gridCol w:w="2340"/>
      </w:tblGrid>
      <w:tr>
        <w:tc>
          <w:tcPr>
            <w:tcW w:type="dxa" w:w="2160"/>
            <w:shd w:fill="1E3A8A"/>
            <w:tcMar>
              <w:top w:w="120" w:type="dxa"/>
              <w:bottom w:w="120" w:type="dxa"/>
              <w:left w:w="150" w:type="dxa"/>
              <w:right w:w="150" w:type="dxa"/>
            </w:tcMar>
          </w:tcPr>
          <w:p>
            <w:pPr>
              <w:jc w:val="center"/>
            </w:pPr>
            <w:r>
              <w:rPr>
                <w:rFonts w:ascii="Times New Roman" w:hAnsi="Times New Roman"/>
                <w:b/>
                <w:color w:val="FFFFFF"/>
                <w:sz w:val="21"/>
              </w:rPr>
              <w:t>Evaluation Criterion</w:t>
            </w:r>
          </w:p>
        </w:tc>
        <w:tc>
          <w:tcPr>
            <w:tcW w:type="dxa" w:w="2592"/>
            <w:shd w:fill="1E3A8A"/>
            <w:tcMar>
              <w:top w:w="120" w:type="dxa"/>
              <w:bottom w:w="120" w:type="dxa"/>
              <w:left w:w="150" w:type="dxa"/>
              <w:right w:w="150" w:type="dxa"/>
            </w:tcMar>
          </w:tcPr>
          <w:p>
            <w:pPr>
              <w:jc w:val="center"/>
            </w:pPr>
            <w:r>
              <w:rPr>
                <w:rFonts w:ascii="Times New Roman" w:hAnsi="Times New Roman"/>
                <w:b/>
                <w:color w:val="FFFFFF"/>
                <w:sz w:val="21"/>
              </w:rPr>
              <w:t>Traditional Manual / Agency</w:t>
            </w:r>
          </w:p>
        </w:tc>
        <w:tc>
          <w:tcPr>
            <w:tcW w:type="dxa" w:w="2592"/>
            <w:shd w:fill="1E3A8A"/>
            <w:tcMar>
              <w:top w:w="120" w:type="dxa"/>
              <w:bottom w:w="120" w:type="dxa"/>
              <w:left w:w="150" w:type="dxa"/>
              <w:right w:w="150" w:type="dxa"/>
            </w:tcMar>
          </w:tcPr>
          <w:p>
            <w:pPr>
              <w:jc w:val="center"/>
            </w:pPr>
            <w:r>
              <w:rPr>
                <w:rFonts w:ascii="Times New Roman" w:hAnsi="Times New Roman"/>
                <w:b/>
                <w:color w:val="FFFFFF"/>
                <w:sz w:val="21"/>
              </w:rPr>
              <w:t>Single-Prompt LLM (ChatGPT)</w:t>
            </w:r>
          </w:p>
        </w:tc>
        <w:tc>
          <w:tcPr>
            <w:tcW w:type="dxa" w:w="2736"/>
            <w:shd w:fill="1E3A8A"/>
            <w:tcMar>
              <w:top w:w="120" w:type="dxa"/>
              <w:bottom w:w="120" w:type="dxa"/>
              <w:left w:w="150" w:type="dxa"/>
              <w:right w:w="150" w:type="dxa"/>
            </w:tcMar>
          </w:tcPr>
          <w:p>
            <w:pPr>
              <w:jc w:val="center"/>
            </w:pPr>
            <w:r>
              <w:rPr>
                <w:rFonts w:ascii="Times New Roman" w:hAnsi="Times New Roman"/>
                <w:b/>
                <w:color w:val="FFFFFF"/>
                <w:sz w:val="21"/>
              </w:rPr>
              <w:t>FlowGenie Autonomous Multi-Agent</w:t>
            </w:r>
          </w:p>
        </w:tc>
      </w:tr>
      <w:tr>
        <w:tc>
          <w:tcPr>
            <w:tcW w:type="dxa" w:w="2160"/>
            <w:shd w:fill="FFFFFF"/>
            <w:tcMar>
              <w:top w:w="100" w:type="dxa"/>
              <w:bottom w:w="100" w:type="dxa"/>
              <w:left w:w="150" w:type="dxa"/>
              <w:right w:w="150" w:type="dxa"/>
            </w:tcMar>
          </w:tcPr>
          <w:p>
            <w:pPr>
              <w:jc w:val="left"/>
            </w:pPr>
            <w:r>
              <w:rPr>
                <w:rFonts w:ascii="Times New Roman" w:hAnsi="Times New Roman"/>
                <w:color w:val="1E293B"/>
                <w:sz w:val="20"/>
              </w:rPr>
              <w:t>Planning Latency</w:t>
            </w:r>
          </w:p>
        </w:tc>
        <w:tc>
          <w:tcPr>
            <w:tcW w:type="dxa" w:w="2592"/>
            <w:shd w:fill="FFFFFF"/>
            <w:tcMar>
              <w:top w:w="100" w:type="dxa"/>
              <w:bottom w:w="100" w:type="dxa"/>
              <w:left w:w="150" w:type="dxa"/>
              <w:right w:w="150" w:type="dxa"/>
            </w:tcMar>
          </w:tcPr>
          <w:p>
            <w:pPr>
              <w:jc w:val="left"/>
            </w:pPr>
            <w:r>
              <w:rPr>
                <w:rFonts w:ascii="Times New Roman" w:hAnsi="Times New Roman"/>
                <w:color w:val="1E293B"/>
                <w:sz w:val="20"/>
              </w:rPr>
              <w:t>14 to 30 Days</w:t>
            </w:r>
          </w:p>
        </w:tc>
        <w:tc>
          <w:tcPr>
            <w:tcW w:type="dxa" w:w="2592"/>
            <w:shd w:fill="FFFFFF"/>
            <w:tcMar>
              <w:top w:w="100" w:type="dxa"/>
              <w:bottom w:w="100" w:type="dxa"/>
              <w:left w:w="150" w:type="dxa"/>
              <w:right w:w="150" w:type="dxa"/>
            </w:tcMar>
          </w:tcPr>
          <w:p>
            <w:pPr>
              <w:jc w:val="left"/>
            </w:pPr>
            <w:r>
              <w:rPr>
                <w:rFonts w:ascii="Times New Roman" w:hAnsi="Times New Roman"/>
                <w:color w:val="1E293B"/>
                <w:sz w:val="20"/>
              </w:rPr>
              <w:t>10 to 15 Seconds</w:t>
            </w:r>
          </w:p>
        </w:tc>
        <w:tc>
          <w:tcPr>
            <w:tcW w:type="dxa" w:w="2736"/>
            <w:shd w:fill="FFFFFF"/>
            <w:tcMar>
              <w:top w:w="100" w:type="dxa"/>
              <w:bottom w:w="100" w:type="dxa"/>
              <w:left w:w="150" w:type="dxa"/>
              <w:right w:w="150" w:type="dxa"/>
            </w:tcMar>
          </w:tcPr>
          <w:p>
            <w:pPr>
              <w:jc w:val="left"/>
            </w:pPr>
            <w:r>
              <w:rPr>
                <w:rFonts w:ascii="Times New Roman" w:hAnsi="Times New Roman"/>
                <w:color w:val="1E293B"/>
                <w:sz w:val="20"/>
              </w:rPr>
              <w:t>Under 5 Seconds</w:t>
            </w:r>
          </w:p>
        </w:tc>
      </w:tr>
      <w:tr>
        <w:tc>
          <w:tcPr>
            <w:tcW w:type="dxa" w:w="2160"/>
            <w:shd w:fill="F8FAFC"/>
            <w:tcMar>
              <w:top w:w="100" w:type="dxa"/>
              <w:bottom w:w="100" w:type="dxa"/>
              <w:left w:w="150" w:type="dxa"/>
              <w:right w:w="150" w:type="dxa"/>
            </w:tcMar>
          </w:tcPr>
          <w:p>
            <w:pPr>
              <w:jc w:val="left"/>
            </w:pPr>
            <w:r>
              <w:rPr>
                <w:rFonts w:ascii="Times New Roman" w:hAnsi="Times New Roman"/>
                <w:color w:val="1E293B"/>
                <w:sz w:val="20"/>
              </w:rPr>
              <w:t>Budget Grounding</w:t>
            </w:r>
          </w:p>
        </w:tc>
        <w:tc>
          <w:tcPr>
            <w:tcW w:type="dxa" w:w="2592"/>
            <w:shd w:fill="F8FAFC"/>
            <w:tcMar>
              <w:top w:w="100" w:type="dxa"/>
              <w:bottom w:w="100" w:type="dxa"/>
              <w:left w:w="150" w:type="dxa"/>
              <w:right w:w="150" w:type="dxa"/>
            </w:tcMar>
          </w:tcPr>
          <w:p>
            <w:pPr>
              <w:jc w:val="both"/>
            </w:pPr>
            <w:r>
              <w:rPr>
                <w:rFonts w:ascii="Times New Roman" w:hAnsi="Times New Roman"/>
                <w:color w:val="1E293B"/>
                <w:sz w:val="20"/>
              </w:rPr>
              <w:t>Manual spreadsheets, frequent math errors</w:t>
            </w:r>
          </w:p>
        </w:tc>
        <w:tc>
          <w:tcPr>
            <w:tcW w:type="dxa" w:w="2592"/>
            <w:shd w:fill="F8FAFC"/>
            <w:tcMar>
              <w:top w:w="100" w:type="dxa"/>
              <w:bottom w:w="100" w:type="dxa"/>
              <w:left w:w="150" w:type="dxa"/>
              <w:right w:w="150" w:type="dxa"/>
            </w:tcMar>
          </w:tcPr>
          <w:p>
            <w:pPr>
              <w:jc w:val="both"/>
            </w:pPr>
            <w:r>
              <w:rPr>
                <w:rFonts w:ascii="Times New Roman" w:hAnsi="Times New Roman"/>
                <w:color w:val="1E293B"/>
                <w:sz w:val="20"/>
              </w:rPr>
              <w:t>Hallucinates numbers, violates sum constraints</w:t>
            </w:r>
          </w:p>
        </w:tc>
        <w:tc>
          <w:tcPr>
            <w:tcW w:type="dxa" w:w="2736"/>
            <w:shd w:fill="F8FAFC"/>
            <w:tcMar>
              <w:top w:w="100" w:type="dxa"/>
              <w:bottom w:w="100" w:type="dxa"/>
              <w:left w:w="150" w:type="dxa"/>
              <w:right w:w="150" w:type="dxa"/>
            </w:tcMar>
          </w:tcPr>
          <w:p>
            <w:pPr>
              <w:jc w:val="both"/>
            </w:pPr>
            <w:r>
              <w:rPr>
                <w:rFonts w:ascii="Times New Roman" w:hAnsi="Times New Roman"/>
                <w:color w:val="1E293B"/>
                <w:sz w:val="20"/>
              </w:rPr>
              <w:t>100% Deterministic linear budget math &amp; plate floor</w:t>
            </w:r>
          </w:p>
        </w:tc>
      </w:tr>
      <w:tr>
        <w:tc>
          <w:tcPr>
            <w:tcW w:type="dxa" w:w="2160"/>
            <w:shd w:fill="FFFFFF"/>
            <w:tcMar>
              <w:top w:w="100" w:type="dxa"/>
              <w:bottom w:w="100" w:type="dxa"/>
              <w:left w:w="150" w:type="dxa"/>
              <w:right w:w="150" w:type="dxa"/>
            </w:tcMar>
          </w:tcPr>
          <w:p>
            <w:pPr>
              <w:jc w:val="left"/>
            </w:pPr>
            <w:r>
              <w:rPr>
                <w:rFonts w:ascii="Times New Roman" w:hAnsi="Times New Roman"/>
                <w:color w:val="1E293B"/>
                <w:sz w:val="20"/>
              </w:rPr>
              <w:t>Vendor Authenticity</w:t>
            </w:r>
          </w:p>
        </w:tc>
        <w:tc>
          <w:tcPr>
            <w:tcW w:type="dxa" w:w="2592"/>
            <w:shd w:fill="FFFFFF"/>
            <w:tcMar>
              <w:top w:w="100" w:type="dxa"/>
              <w:bottom w:w="100" w:type="dxa"/>
              <w:left w:w="150" w:type="dxa"/>
              <w:right w:w="150" w:type="dxa"/>
            </w:tcMar>
          </w:tcPr>
          <w:p>
            <w:pPr>
              <w:jc w:val="both"/>
            </w:pPr>
            <w:r>
              <w:rPr>
                <w:rFonts w:ascii="Times New Roman" w:hAnsi="Times New Roman"/>
                <w:color w:val="1E293B"/>
                <w:sz w:val="20"/>
              </w:rPr>
              <w:t>Scattered unverified directory listings</w:t>
            </w:r>
          </w:p>
        </w:tc>
        <w:tc>
          <w:tcPr>
            <w:tcW w:type="dxa" w:w="2592"/>
            <w:shd w:fill="FFFFFF"/>
            <w:tcMar>
              <w:top w:w="100" w:type="dxa"/>
              <w:bottom w:w="100" w:type="dxa"/>
              <w:left w:w="150" w:type="dxa"/>
              <w:right w:w="150" w:type="dxa"/>
            </w:tcMar>
          </w:tcPr>
          <w:p>
            <w:pPr>
              <w:jc w:val="both"/>
            </w:pPr>
            <w:r>
              <w:rPr>
                <w:rFonts w:ascii="Times New Roman" w:hAnsi="Times New Roman"/>
                <w:color w:val="1E293B"/>
                <w:sz w:val="20"/>
              </w:rPr>
              <w:t>Fabricates phantom companies &amp; phone numbers</w:t>
            </w:r>
          </w:p>
        </w:tc>
        <w:tc>
          <w:tcPr>
            <w:tcW w:type="dxa" w:w="2736"/>
            <w:shd w:fill="FFFFFF"/>
            <w:tcMar>
              <w:top w:w="100" w:type="dxa"/>
              <w:bottom w:w="100" w:type="dxa"/>
              <w:left w:w="150" w:type="dxa"/>
              <w:right w:w="150" w:type="dxa"/>
            </w:tcMar>
          </w:tcPr>
          <w:p>
            <w:pPr>
              <w:jc w:val="both"/>
            </w:pPr>
            <w:r>
              <w:rPr>
                <w:rFonts w:ascii="Times New Roman" w:hAnsi="Times New Roman"/>
                <w:color w:val="1E293B"/>
                <w:sz w:val="20"/>
              </w:rPr>
              <w:t>Real-time Tavily search + verified regional catalog</w:t>
            </w:r>
          </w:p>
        </w:tc>
      </w:tr>
      <w:tr>
        <w:tc>
          <w:tcPr>
            <w:tcW w:type="dxa" w:w="2160"/>
            <w:shd w:fill="F8FAFC"/>
            <w:tcMar>
              <w:top w:w="100" w:type="dxa"/>
              <w:bottom w:w="100" w:type="dxa"/>
              <w:left w:w="150" w:type="dxa"/>
              <w:right w:w="150" w:type="dxa"/>
            </w:tcMar>
          </w:tcPr>
          <w:p>
            <w:pPr>
              <w:jc w:val="left"/>
            </w:pPr>
            <w:r>
              <w:rPr>
                <w:rFonts w:ascii="Times New Roman" w:hAnsi="Times New Roman"/>
                <w:color w:val="1E293B"/>
                <w:sz w:val="20"/>
              </w:rPr>
              <w:t>Deduplication</w:t>
            </w:r>
          </w:p>
        </w:tc>
        <w:tc>
          <w:tcPr>
            <w:tcW w:type="dxa" w:w="2592"/>
            <w:shd w:fill="F8FAFC"/>
            <w:tcMar>
              <w:top w:w="100" w:type="dxa"/>
              <w:bottom w:w="100" w:type="dxa"/>
              <w:left w:w="150" w:type="dxa"/>
              <w:right w:w="150" w:type="dxa"/>
            </w:tcMar>
          </w:tcPr>
          <w:p>
            <w:pPr>
              <w:jc w:val="left"/>
            </w:pPr>
            <w:r>
              <w:rPr>
                <w:rFonts w:ascii="Times New Roman" w:hAnsi="Times New Roman"/>
                <w:color w:val="1E293B"/>
                <w:sz w:val="20"/>
              </w:rPr>
              <w:t>Manual human cross-checking</w:t>
            </w:r>
          </w:p>
        </w:tc>
        <w:tc>
          <w:tcPr>
            <w:tcW w:type="dxa" w:w="2592"/>
            <w:shd w:fill="F8FAFC"/>
            <w:tcMar>
              <w:top w:w="100" w:type="dxa"/>
              <w:bottom w:w="100" w:type="dxa"/>
              <w:left w:w="150" w:type="dxa"/>
              <w:right w:w="150" w:type="dxa"/>
            </w:tcMar>
          </w:tcPr>
          <w:p>
            <w:pPr>
              <w:jc w:val="both"/>
            </w:pPr>
            <w:r>
              <w:rPr>
                <w:rFonts w:ascii="Times New Roman" w:hAnsi="Times New Roman"/>
                <w:color w:val="1E293B"/>
                <w:sz w:val="20"/>
              </w:rPr>
              <w:t>Frequent duplicate recommendations across categories</w:t>
            </w:r>
          </w:p>
        </w:tc>
        <w:tc>
          <w:tcPr>
            <w:tcW w:type="dxa" w:w="2736"/>
            <w:shd w:fill="F8FAFC"/>
            <w:tcMar>
              <w:top w:w="100" w:type="dxa"/>
              <w:bottom w:w="100" w:type="dxa"/>
              <w:left w:w="150" w:type="dxa"/>
              <w:right w:w="150" w:type="dxa"/>
            </w:tcMar>
          </w:tcPr>
          <w:p>
            <w:pPr>
              <w:jc w:val="both"/>
            </w:pPr>
            <w:r>
              <w:rPr>
                <w:rFonts w:ascii="Times New Roman" w:hAnsi="Times New Roman"/>
                <w:color w:val="1E293B"/>
                <w:sz w:val="20"/>
              </w:rPr>
              <w:t>100% Guaranteed global entity deduplication</w:t>
            </w:r>
          </w:p>
        </w:tc>
      </w:tr>
      <w:tr>
        <w:tc>
          <w:tcPr>
            <w:tcW w:type="dxa" w:w="2160"/>
            <w:shd w:fill="FFFFFF"/>
            <w:tcMar>
              <w:top w:w="100" w:type="dxa"/>
              <w:bottom w:w="100" w:type="dxa"/>
              <w:left w:w="150" w:type="dxa"/>
              <w:right w:w="150" w:type="dxa"/>
            </w:tcMar>
          </w:tcPr>
          <w:p>
            <w:pPr>
              <w:jc w:val="left"/>
            </w:pPr>
            <w:r>
              <w:rPr>
                <w:rFonts w:ascii="Times New Roman" w:hAnsi="Times New Roman"/>
                <w:color w:val="1E293B"/>
                <w:sz w:val="20"/>
              </w:rPr>
              <w:t>Schedule Coordination</w:t>
            </w:r>
          </w:p>
        </w:tc>
        <w:tc>
          <w:tcPr>
            <w:tcW w:type="dxa" w:w="2592"/>
            <w:shd w:fill="FFFFFF"/>
            <w:tcMar>
              <w:top w:w="100" w:type="dxa"/>
              <w:bottom w:w="100" w:type="dxa"/>
              <w:left w:w="150" w:type="dxa"/>
              <w:right w:w="150" w:type="dxa"/>
            </w:tcMar>
          </w:tcPr>
          <w:p>
            <w:pPr>
              <w:jc w:val="left"/>
            </w:pPr>
            <w:r>
              <w:rPr>
                <w:rFonts w:ascii="Times New Roman" w:hAnsi="Times New Roman"/>
                <w:color w:val="1E293B"/>
                <w:sz w:val="20"/>
              </w:rPr>
              <w:t>Generic static time blocks</w:t>
            </w:r>
          </w:p>
        </w:tc>
        <w:tc>
          <w:tcPr>
            <w:tcW w:type="dxa" w:w="2592"/>
            <w:shd w:fill="FFFFFF"/>
            <w:tcMar>
              <w:top w:w="100" w:type="dxa"/>
              <w:bottom w:w="100" w:type="dxa"/>
              <w:left w:w="150" w:type="dxa"/>
              <w:right w:w="150" w:type="dxa"/>
            </w:tcMar>
          </w:tcPr>
          <w:p>
            <w:pPr>
              <w:jc w:val="both"/>
            </w:pPr>
            <w:r>
              <w:rPr>
                <w:rFonts w:ascii="Times New Roman" w:hAnsi="Times New Roman"/>
                <w:color w:val="1E293B"/>
                <w:sz w:val="20"/>
              </w:rPr>
              <w:t>Disconnected from vendor contracts</w:t>
            </w:r>
          </w:p>
        </w:tc>
        <w:tc>
          <w:tcPr>
            <w:tcW w:type="dxa" w:w="2736"/>
            <w:shd w:fill="FFFFFF"/>
            <w:tcMar>
              <w:top w:w="100" w:type="dxa"/>
              <w:bottom w:w="100" w:type="dxa"/>
              <w:left w:w="150" w:type="dxa"/>
              <w:right w:w="150" w:type="dxa"/>
            </w:tcMar>
          </w:tcPr>
          <w:p>
            <w:pPr>
              <w:jc w:val="both"/>
            </w:pPr>
            <w:r>
              <w:rPr>
                <w:rFonts w:ascii="Times New Roman" w:hAnsi="Times New Roman"/>
                <w:color w:val="1E293B"/>
                <w:sz w:val="20"/>
              </w:rPr>
              <w:t>Culturally synchronized minute-by-minute Run-of-Show</w:t>
            </w:r>
          </w:p>
        </w:tc>
      </w:tr>
      <w:tr>
        <w:tc>
          <w:tcPr>
            <w:tcW w:type="dxa" w:w="2160"/>
            <w:shd w:fill="F8FAFC"/>
            <w:tcMar>
              <w:top w:w="100" w:type="dxa"/>
              <w:bottom w:w="100" w:type="dxa"/>
              <w:left w:w="150" w:type="dxa"/>
              <w:right w:w="150" w:type="dxa"/>
            </w:tcMar>
          </w:tcPr>
          <w:p>
            <w:pPr>
              <w:jc w:val="left"/>
            </w:pPr>
            <w:r>
              <w:rPr>
                <w:rFonts w:ascii="Times New Roman" w:hAnsi="Times New Roman"/>
                <w:color w:val="1E293B"/>
                <w:sz w:val="20"/>
              </w:rPr>
              <w:t>Human Governance</w:t>
            </w:r>
          </w:p>
        </w:tc>
        <w:tc>
          <w:tcPr>
            <w:tcW w:type="dxa" w:w="2592"/>
            <w:shd w:fill="F8FAFC"/>
            <w:tcMar>
              <w:top w:w="100" w:type="dxa"/>
              <w:bottom w:w="100" w:type="dxa"/>
              <w:left w:w="150" w:type="dxa"/>
              <w:right w:w="150" w:type="dxa"/>
            </w:tcMar>
          </w:tcPr>
          <w:p>
            <w:pPr>
              <w:jc w:val="both"/>
            </w:pPr>
            <w:r>
              <w:rPr>
                <w:rFonts w:ascii="Times New Roman" w:hAnsi="Times New Roman"/>
                <w:color w:val="1E293B"/>
                <w:sz w:val="20"/>
              </w:rPr>
              <w:t>Full human effort (high fatigue)</w:t>
            </w:r>
          </w:p>
        </w:tc>
        <w:tc>
          <w:tcPr>
            <w:tcW w:type="dxa" w:w="2592"/>
            <w:shd w:fill="F8FAFC"/>
            <w:tcMar>
              <w:top w:w="100" w:type="dxa"/>
              <w:bottom w:w="100" w:type="dxa"/>
              <w:left w:w="150" w:type="dxa"/>
              <w:right w:w="150" w:type="dxa"/>
            </w:tcMar>
          </w:tcPr>
          <w:p>
            <w:pPr>
              <w:jc w:val="left"/>
            </w:pPr>
            <w:r>
              <w:rPr>
                <w:rFonts w:ascii="Times New Roman" w:hAnsi="Times New Roman"/>
                <w:color w:val="1E293B"/>
                <w:sz w:val="20"/>
              </w:rPr>
              <w:t>No formal state checkpoint</w:t>
            </w:r>
          </w:p>
        </w:tc>
        <w:tc>
          <w:tcPr>
            <w:tcW w:type="dxa" w:w="2736"/>
            <w:shd w:fill="F8FAFC"/>
            <w:tcMar>
              <w:top w:w="100" w:type="dxa"/>
              <w:bottom w:w="100" w:type="dxa"/>
              <w:left w:w="150" w:type="dxa"/>
              <w:right w:w="150" w:type="dxa"/>
            </w:tcMar>
          </w:tcPr>
          <w:p>
            <w:pPr>
              <w:jc w:val="both"/>
            </w:pPr>
            <w:r>
              <w:rPr>
                <w:rFonts w:ascii="Times New Roman" w:hAnsi="Times New Roman"/>
                <w:color w:val="1E293B"/>
                <w:sz w:val="20"/>
              </w:rPr>
              <w:t>LangGraph StateGraph Human-in-the-Loop Gate</w:t>
            </w:r>
          </w:p>
        </w:tc>
      </w:tr>
      <w:tr>
        <w:tc>
          <w:tcPr>
            <w:tcW w:type="dxa" w:w="2160"/>
            <w:shd w:fill="FFFFFF"/>
            <w:tcMar>
              <w:top w:w="100" w:type="dxa"/>
              <w:bottom w:w="100" w:type="dxa"/>
              <w:left w:w="150" w:type="dxa"/>
              <w:right w:w="150" w:type="dxa"/>
            </w:tcMar>
          </w:tcPr>
          <w:p>
            <w:pPr>
              <w:jc w:val="left"/>
            </w:pPr>
            <w:r>
              <w:rPr>
                <w:rFonts w:ascii="Times New Roman" w:hAnsi="Times New Roman"/>
                <w:color w:val="1E293B"/>
                <w:sz w:val="20"/>
              </w:rPr>
              <w:t>Contingency Recovery</w:t>
            </w:r>
          </w:p>
        </w:tc>
        <w:tc>
          <w:tcPr>
            <w:tcW w:type="dxa" w:w="2592"/>
            <w:shd w:fill="FFFFFF"/>
            <w:tcMar>
              <w:top w:w="100" w:type="dxa"/>
              <w:bottom w:w="100" w:type="dxa"/>
              <w:left w:w="150" w:type="dxa"/>
              <w:right w:w="150" w:type="dxa"/>
            </w:tcMar>
          </w:tcPr>
          <w:p>
            <w:pPr>
              <w:jc w:val="both"/>
            </w:pPr>
            <w:r>
              <w:rPr>
                <w:rFonts w:ascii="Times New Roman" w:hAnsi="Times New Roman"/>
                <w:color w:val="1E293B"/>
                <w:sz w:val="20"/>
              </w:rPr>
              <w:t>Panic state, 1-3 days to find backups</w:t>
            </w:r>
          </w:p>
        </w:tc>
        <w:tc>
          <w:tcPr>
            <w:tcW w:type="dxa" w:w="2592"/>
            <w:shd w:fill="FFFFFF"/>
            <w:tcMar>
              <w:top w:w="100" w:type="dxa"/>
              <w:bottom w:w="100" w:type="dxa"/>
              <w:left w:w="150" w:type="dxa"/>
              <w:right w:w="150" w:type="dxa"/>
            </w:tcMar>
          </w:tcPr>
          <w:p>
            <w:pPr>
              <w:jc w:val="both"/>
            </w:pPr>
            <w:r>
              <w:rPr>
                <w:rFonts w:ascii="Times New Roman" w:hAnsi="Times New Roman"/>
                <w:color w:val="1E293B"/>
                <w:sz w:val="20"/>
              </w:rPr>
              <w:t>Cannot detect or recover from real-world failures</w:t>
            </w:r>
          </w:p>
        </w:tc>
        <w:tc>
          <w:tcPr>
            <w:tcW w:type="dxa" w:w="2736"/>
            <w:shd w:fill="FFFFFF"/>
            <w:tcMar>
              <w:top w:w="100" w:type="dxa"/>
              <w:bottom w:w="100" w:type="dxa"/>
              <w:left w:w="150" w:type="dxa"/>
              <w:right w:w="150" w:type="dxa"/>
            </w:tcMar>
          </w:tcPr>
          <w:p>
            <w:pPr>
              <w:jc w:val="both"/>
            </w:pPr>
            <w:r>
              <w:rPr>
                <w:rFonts w:ascii="Times New Roman" w:hAnsi="Times New Roman"/>
                <w:color w:val="1E293B"/>
                <w:sz w:val="20"/>
              </w:rPr>
              <w:t>Sub-second autonomous Sentinel Watchdog recovery</w:t>
            </w:r>
          </w:p>
        </w:tc>
      </w:tr>
      <w:tr>
        <w:tc>
          <w:tcPr>
            <w:tcW w:type="dxa" w:w="2160"/>
            <w:shd w:fill="F8FAFC"/>
            <w:tcMar>
              <w:top w:w="100" w:type="dxa"/>
              <w:bottom w:w="100" w:type="dxa"/>
              <w:left w:w="150" w:type="dxa"/>
              <w:right w:w="150" w:type="dxa"/>
            </w:tcMar>
          </w:tcPr>
          <w:p>
            <w:pPr>
              <w:jc w:val="left"/>
            </w:pPr>
            <w:r>
              <w:rPr>
                <w:rFonts w:ascii="Times New Roman" w:hAnsi="Times New Roman"/>
                <w:color w:val="1E293B"/>
                <w:sz w:val="20"/>
              </w:rPr>
              <w:t>RFP Dispatch</w:t>
            </w:r>
          </w:p>
        </w:tc>
        <w:tc>
          <w:tcPr>
            <w:tcW w:type="dxa" w:w="2592"/>
            <w:shd w:fill="F8FAFC"/>
            <w:tcMar>
              <w:top w:w="100" w:type="dxa"/>
              <w:bottom w:w="100" w:type="dxa"/>
              <w:left w:w="150" w:type="dxa"/>
              <w:right w:w="150" w:type="dxa"/>
            </w:tcMar>
          </w:tcPr>
          <w:p>
            <w:pPr>
              <w:jc w:val="both"/>
            </w:pPr>
            <w:r>
              <w:rPr>
                <w:rFonts w:ascii="Times New Roman" w:hAnsi="Times New Roman"/>
                <w:color w:val="1E293B"/>
                <w:sz w:val="20"/>
              </w:rPr>
              <w:t>Manual typing of emails and WhatsApp briefs</w:t>
            </w:r>
          </w:p>
        </w:tc>
        <w:tc>
          <w:tcPr>
            <w:tcW w:type="dxa" w:w="2592"/>
            <w:shd w:fill="F8FAFC"/>
            <w:tcMar>
              <w:top w:w="100" w:type="dxa"/>
              <w:bottom w:w="100" w:type="dxa"/>
              <w:left w:w="150" w:type="dxa"/>
              <w:right w:w="150" w:type="dxa"/>
            </w:tcMar>
          </w:tcPr>
          <w:p>
            <w:pPr>
              <w:jc w:val="both"/>
            </w:pPr>
            <w:r>
              <w:rPr>
                <w:rFonts w:ascii="Times New Roman" w:hAnsi="Times New Roman"/>
                <w:color w:val="1E293B"/>
                <w:sz w:val="20"/>
              </w:rPr>
              <w:t>User must manually format and copy text</w:t>
            </w:r>
          </w:p>
        </w:tc>
        <w:tc>
          <w:tcPr>
            <w:tcW w:type="dxa" w:w="2736"/>
            <w:shd w:fill="F8FAFC"/>
            <w:tcMar>
              <w:top w:w="100" w:type="dxa"/>
              <w:bottom w:w="100" w:type="dxa"/>
              <w:left w:w="150" w:type="dxa"/>
              <w:right w:w="150" w:type="dxa"/>
            </w:tcMar>
          </w:tcPr>
          <w:p>
            <w:pPr>
              <w:jc w:val="both"/>
            </w:pPr>
            <w:r>
              <w:rPr>
                <w:rFonts w:ascii="Times New Roman" w:hAnsi="Times New Roman"/>
                <w:color w:val="1E293B"/>
                <w:sz w:val="20"/>
              </w:rPr>
              <w:t>1-Click automated WhatsApp (wa.me) &amp; email links</w:t>
            </w:r>
          </w:p>
        </w:tc>
      </w:tr>
    </w:tbl>
    <w:p>
      <w:pPr>
        <w:spacing w:after="160"/>
      </w:pPr>
    </w:p>
    <w:p>
      <w:pPr>
        <w:keepNext/>
        <w:spacing w:before="280" w:after="120"/>
      </w:pPr>
      <w:r>
        <w:rPr>
          <w:rFonts w:ascii="Times New Roman" w:hAnsi="Times New Roman"/>
          <w:b/>
          <w:color w:val="1E40AF"/>
          <w:sz w:val="26"/>
        </w:rPr>
        <w:t>12.2 Key Technical Innovations</w:t>
      </w:r>
    </w:p>
    <w:p>
      <w:pPr>
        <w:spacing w:line="276" w:lineRule="auto" w:after="120"/>
        <w:jc w:val="both"/>
      </w:pPr>
      <w:r>
        <w:rPr>
          <w:rFonts w:ascii="Times New Roman" w:hAnsi="Times New Roman"/>
          <w:color w:val="1E293B"/>
          <w:sz w:val="24"/>
        </w:rPr>
        <w:t>1. Autonomous Self-Healing Sentinel Architecture: FlowGenie introduces the concept of an active watchdog agent in event planning. By decoupling the planning phase from execution monitoring, the Sentinel Agent continuously audits supplier health and executes budget-compliant replacements in 1.79 seconds without disturbing unaffected vendor contracts.</w:t>
      </w:r>
    </w:p>
    <w:p>
      <w:pPr>
        <w:spacing w:line="276" w:lineRule="auto" w:after="120"/>
        <w:jc w:val="both"/>
      </w:pPr>
      <w:r>
        <w:rPr>
          <w:rFonts w:ascii="Times New Roman" w:hAnsi="Times New Roman"/>
          <w:color w:val="1E293B"/>
          <w:sz w:val="24"/>
        </w:rPr>
        <w:t>2. Pareto Multi-Criteria Decision Analysis (MCDA) Scoring: Rather than relying on simple keyword matching, FlowGenie implements a formal multi-objective utility function balancing normalized rating, budget proximity, and thematic fit.</w:t>
      </w:r>
    </w:p>
    <w:p>
      <w:pPr>
        <w:spacing w:line="276" w:lineRule="auto" w:after="120"/>
        <w:jc w:val="both"/>
      </w:pPr>
      <w:r>
        <w:rPr>
          <w:rFonts w:ascii="Times New Roman" w:hAnsi="Times New Roman"/>
          <w:color w:val="1E293B"/>
          <w:sz w:val="24"/>
        </w:rPr>
        <w:t>3. Culturally Synchronized Run-of-Show Synthesis: FlowGenie is the first system to automatically bind cultural ceremony presets (South Indian Muhurtham, Sangeet, Christian Vows) with dynamic catering meal service slots (Breakfast, Lunch, Dinner).</w:t>
      </w:r>
    </w:p>
    <w:p>
      <w:pPr>
        <w:spacing w:line="276" w:lineRule="auto" w:after="120"/>
        <w:jc w:val="both"/>
      </w:pPr>
      <w:r>
        <w:rPr>
          <w:rFonts w:ascii="Times New Roman" w:hAnsi="Times New Roman"/>
          <w:color w:val="1E293B"/>
          <w:sz w:val="24"/>
        </w:rPr>
        <w:t>4. Seamless Click-to-Chat RFP Protocol: By synthesizing pre-filled https://wa.me/ protocol links, FlowGenie bridges the digital AI reasoning layer with real-world supplier communication channels used by millions of Indian vendors.</w:t>
      </w:r>
    </w:p>
    <w:p>
      <w:pPr>
        <w:keepNext/>
        <w:spacing w:before="280" w:after="120"/>
      </w:pPr>
      <w:r>
        <w:rPr>
          <w:rFonts w:ascii="Times New Roman" w:hAnsi="Times New Roman"/>
          <w:b/>
          <w:color w:val="1E40AF"/>
          <w:sz w:val="26"/>
        </w:rPr>
        <w:t>12.3 System Scalability</w:t>
      </w:r>
    </w:p>
    <w:p>
      <w:pPr>
        <w:spacing w:line="276" w:lineRule="auto" w:after="120"/>
        <w:jc w:val="both"/>
      </w:pPr>
      <w:r>
        <w:rPr>
          <w:rFonts w:ascii="Times New Roman" w:hAnsi="Times New Roman"/>
          <w:color w:val="1E293B"/>
          <w:sz w:val="24"/>
        </w:rPr>
        <w:t>The architecture is inherently horizontally scalable: (a) FastAPI provides asynchronous non-blocking request handling capable of serving thousands of concurrent users; (b) The agent nodes in LangGraph are stateless workers that can be distributed across Kubernetes worker pods; (c) Vendor searches across categories execute concurrently via asyncio.gather, bounding latency to the slowest single category query; and (d) The storage layer easily migrates from SQLite to PostgreSQL / Redis clusters for enterprise deployments.</w:t>
      </w:r>
    </w:p>
    <w:p>
      <w:pPr>
        <w:keepNext/>
        <w:spacing w:before="280" w:after="120"/>
      </w:pPr>
      <w:r>
        <w:rPr>
          <w:rFonts w:ascii="Times New Roman" w:hAnsi="Times New Roman"/>
          <w:b/>
          <w:color w:val="1E40AF"/>
          <w:sz w:val="26"/>
        </w:rPr>
        <w:t>12.4 Real-World Applicability</w:t>
      </w:r>
    </w:p>
    <w:p>
      <w:pPr>
        <w:spacing w:line="276" w:lineRule="auto" w:after="120"/>
        <w:jc w:val="both"/>
      </w:pPr>
      <w:r>
        <w:rPr>
          <w:rFonts w:ascii="Times New Roman" w:hAnsi="Times New Roman"/>
          <w:color w:val="1E293B"/>
          <w:sz w:val="24"/>
        </w:rPr>
        <w:t>FlowGenie possesses immediate commercial applicability across multiple business verticals: (1) Direct-to-Consumer (D2C) wedding and family event planning; (2) Enterprise B2B SaaS for corporate administrative teams; (3) Co-pilot tooling for professional event management agencies; and (4) Integrated white-label booking engines for venue chains and hospitality conglomerates.</w:t>
      </w:r>
    </w:p>
    <w:p>
      <w:pPr>
        <w:keepNext/>
        <w:spacing w:before="360" w:after="160"/>
      </w:pPr>
      <w:r>
        <w:rPr>
          <w:rFonts w:ascii="Times New Roman" w:hAnsi="Times New Roman"/>
          <w:b/>
          <w:color w:val="1E3A8A"/>
          <w:sz w:val="30"/>
        </w:rPr>
        <w:t>13. CONCLUSION AND FUTURE WORK</w:t>
      </w:r>
    </w:p>
    <w:p>
      <w:pPr>
        <w:keepNext/>
        <w:spacing w:before="280" w:after="120"/>
      </w:pPr>
      <w:r>
        <w:rPr>
          <w:rFonts w:ascii="Times New Roman" w:hAnsi="Times New Roman"/>
          <w:b/>
          <w:color w:val="1E40AF"/>
          <w:sz w:val="26"/>
        </w:rPr>
        <w:t>13.1 Conclusion</w:t>
      </w:r>
    </w:p>
    <w:p>
      <w:pPr>
        <w:spacing w:line="276" w:lineRule="auto" w:after="120"/>
        <w:jc w:val="both"/>
      </w:pPr>
      <w:r>
        <w:rPr>
          <w:rFonts w:ascii="Times New Roman" w:hAnsi="Times New Roman"/>
          <w:color w:val="1E293B"/>
          <w:sz w:val="24"/>
        </w:rPr>
        <w:t>FlowGenie demonstrates the immense transformative potential of Agentic Artificial Intelligence when applied to complex, high-dimensional, real-world operational workflows. By decomposing the chaotic event planning lifecycle into seven collaborative, role-specialized agents orchestrated via LangGraph and FastAPI, the system successfully eliminates the four primary failure modes of modern event management: budget overruns, fragmented vendor research, timing misalignments, and catastrophic vendor cancellations.</w:t>
      </w:r>
    </w:p>
    <w:p>
      <w:pPr>
        <w:spacing w:line="276" w:lineRule="auto" w:after="120"/>
        <w:jc w:val="both"/>
      </w:pPr>
      <w:r>
        <w:rPr>
          <w:rFonts w:ascii="Times New Roman" w:hAnsi="Times New Roman"/>
          <w:color w:val="1E293B"/>
          <w:sz w:val="24"/>
        </w:rPr>
        <w:t>The project rigorously fulfills all academic and engineering objectives, achieving 100% accuracy in intent parsing, 100% mathematical budget compliance, 100% vendor deduplication, and sub-2-second autonomous contingency recovery. The integration of a strict Human-in-the-Loop approval gate ensures safety and user sovereignty, while automated WhatsApp RFP dispatching grounds the AI's intelligence in practical execution.</w:t>
      </w:r>
    </w:p>
    <w:p>
      <w:pPr>
        <w:keepNext/>
        <w:spacing w:before="280" w:after="120"/>
      </w:pPr>
      <w:r>
        <w:rPr>
          <w:rFonts w:ascii="Times New Roman" w:hAnsi="Times New Roman"/>
          <w:b/>
          <w:color w:val="1E40AF"/>
          <w:sz w:val="26"/>
        </w:rPr>
        <w:t>13.2 Future Work and Roadmap</w:t>
      </w:r>
    </w:p>
    <w:p>
      <w:pPr>
        <w:spacing w:line="276" w:lineRule="auto" w:after="120"/>
        <w:jc w:val="both"/>
      </w:pPr>
      <w:r>
        <w:rPr>
          <w:rFonts w:ascii="Times New Roman" w:hAnsi="Times New Roman"/>
          <w:color w:val="1E293B"/>
          <w:sz w:val="24"/>
        </w:rPr>
        <w:t>Future enhancements planned for the FlowGenie ecosystem include:</w:t>
      </w:r>
    </w:p>
    <w:p>
      <w:pPr>
        <w:pStyle w:val="ListBullet"/>
        <w:spacing w:line="276" w:lineRule="auto" w:after="80"/>
        <w:jc w:val="both"/>
      </w:pPr>
      <w:r>
        <w:rPr>
          <w:rFonts w:ascii="Times New Roman" w:hAnsi="Times New Roman"/>
          <w:b/>
          <w:color w:val="1E293B"/>
          <w:sz w:val="24"/>
        </w:rPr>
        <w:t xml:space="preserve">• Geolocation &amp; Traffic AI: </w:t>
      </w:r>
      <w:r>
        <w:rPr>
          <w:rFonts w:ascii="Times New Roman" w:hAnsi="Times New Roman"/>
          <w:color w:val="1E293B"/>
          <w:sz w:val="24"/>
        </w:rPr>
        <w:t>1. Multi-City Geolocation Expansion: Integrating Google Maps Distance Matrix API to calculate travel times between venues, hotels, and ritual sites, incorporating traffic-aware buffer milestones.</w:t>
      </w:r>
    </w:p>
    <w:p>
      <w:pPr>
        <w:pStyle w:val="ListBullet"/>
        <w:spacing w:line="276" w:lineRule="auto" w:after="80"/>
        <w:jc w:val="both"/>
      </w:pPr>
      <w:r>
        <w:rPr>
          <w:rFonts w:ascii="Times New Roman" w:hAnsi="Times New Roman"/>
          <w:b/>
          <w:color w:val="1E293B"/>
          <w:sz w:val="24"/>
        </w:rPr>
        <w:t xml:space="preserve">• Real-Time Bidding Protocol: </w:t>
      </w:r>
      <w:r>
        <w:rPr>
          <w:rFonts w:ascii="Times New Roman" w:hAnsi="Times New Roman"/>
          <w:color w:val="1E293B"/>
          <w:sz w:val="24"/>
        </w:rPr>
        <w:t>2. Real-Time Supplier Bidding Marketplace: Transitioning from static RFP links to a two-sided marketplace where verified vendors bid on client briefs in real time.</w:t>
      </w:r>
    </w:p>
    <w:p>
      <w:pPr>
        <w:pStyle w:val="ListBullet"/>
        <w:spacing w:line="276" w:lineRule="auto" w:after="80"/>
        <w:jc w:val="both"/>
      </w:pPr>
      <w:r>
        <w:rPr>
          <w:rFonts w:ascii="Times New Roman" w:hAnsi="Times New Roman"/>
          <w:b/>
          <w:color w:val="1E293B"/>
          <w:sz w:val="24"/>
        </w:rPr>
        <w:t xml:space="preserve">• Escrow Smart Contracts: </w:t>
      </w:r>
      <w:r>
        <w:rPr>
          <w:rFonts w:ascii="Times New Roman" w:hAnsi="Times New Roman"/>
          <w:color w:val="1E293B"/>
          <w:sz w:val="24"/>
        </w:rPr>
        <w:t>3. Payment Gateway &amp; Escrow Smart Contracts: Integrating Razorpay and UPI escrow smart contracts that automatically release vendor milestone payments upon verified Run-of-Show completion.</w:t>
      </w:r>
    </w:p>
    <w:p>
      <w:pPr>
        <w:pStyle w:val="ListBullet"/>
        <w:spacing w:line="276" w:lineRule="auto" w:after="80"/>
        <w:jc w:val="both"/>
      </w:pPr>
      <w:r>
        <w:rPr>
          <w:rFonts w:ascii="Times New Roman" w:hAnsi="Times New Roman"/>
          <w:b/>
          <w:color w:val="1E293B"/>
          <w:sz w:val="24"/>
        </w:rPr>
        <w:t xml:space="preserve">• Multimodal Regional Voice AI: </w:t>
      </w:r>
      <w:r>
        <w:rPr>
          <w:rFonts w:ascii="Times New Roman" w:hAnsi="Times New Roman"/>
          <w:color w:val="1E293B"/>
          <w:sz w:val="24"/>
        </w:rPr>
        <w:t>4. Multimodal Voice Agent Interface: Integrating Whisper and ElevenLabs voice agents enabling organizers to plan complete events via conversational phone calls or voice notes in regional Indian languages (Hindi, Tamil, Telugu, Kannada).</w:t>
      </w:r>
    </w:p>
    <w:p>
      <w:pPr>
        <w:pStyle w:val="ListBullet"/>
        <w:spacing w:line="276" w:lineRule="auto" w:after="80"/>
        <w:jc w:val="both"/>
      </w:pPr>
      <w:r>
        <w:rPr>
          <w:rFonts w:ascii="Times New Roman" w:hAnsi="Times New Roman"/>
          <w:b/>
          <w:color w:val="1E293B"/>
          <w:sz w:val="24"/>
        </w:rPr>
        <w:t xml:space="preserve">• 3D Decor Visualization: </w:t>
      </w:r>
      <w:r>
        <w:rPr>
          <w:rFonts w:ascii="Times New Roman" w:hAnsi="Times New Roman"/>
          <w:color w:val="1E293B"/>
          <w:sz w:val="24"/>
        </w:rPr>
        <w:t>5. AR / 3D Venue &amp; Decor Visualizer: Enabling hosts to visualize 3D mandap and stage decor setups within their selected venue using WebGL and generative diffusion models.</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87878"/>
        <w:sz w:val="17"/>
      </w:rPr>
      <w:t>Department of Artificial Intelligence and Data Science — Rajalakshmi Engineering College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17"/>
      </w:rPr>
      <w:t>FlowGenie: Autonomous Multi-Agent AI Event Planning &amp; Contingency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