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64" w:lineRule="auto"/>
        <w:jc w:val="center"/>
      </w:pPr>
      <w:r>
        <w:rPr>
          <w:rFonts w:ascii="Times New Roman" w:hAnsi="Times New Roman"/>
          <w:b/>
          <w:sz w:val="44"/>
        </w:rPr>
        <w:t>FlowGenie: A Human-in-the-Loop Agentic AI Framework for Autonomous Event Planning, Budget Optimization, and Self-Healing Vendor Recovery</w:t>
      </w:r>
    </w:p>
    <w:p>
      <w:pPr>
        <w:spacing w:after="280"/>
        <w:jc w:val="center"/>
      </w:pPr>
      <w:r>
        <w:rPr>
          <w:rFonts w:ascii="Times New Roman" w:hAnsi="Times New Roman"/>
          <w:b/>
          <w:sz w:val="22"/>
        </w:rPr>
        <w:t>Akshayaa S, Amala Encilin T, Hannah James, Dr. Beulah A</w:t>
        <w:br/>
      </w:r>
      <w:r>
        <w:rPr>
          <w:rFonts w:ascii="Times New Roman" w:hAnsi="Times New Roman"/>
          <w:i/>
          <w:sz w:val="19"/>
        </w:rPr>
        <w:t>Department of Artificial Intelligence and Data Science</w:t>
        <w:br/>
        <w:t>Rajalakshmi Engineering College, Chennai, India</w:t>
        <w:br/>
        <w:t>Course: AD23731 – Foundations of Agentic AI</w:t>
      </w:r>
    </w:p>
    <w:p>
      <w:pPr>
        <w:sectPr>
          <w:headerReference w:type="default" r:id="rId9"/>
          <w:pgSz w:w="12240" w:h="15840"/>
          <w:pgMar w:top="1080" w:right="900" w:bottom="1440" w:left="900" w:header="720" w:footer="720" w:gutter="0"/>
          <w:cols w:space="720" w:num="1"/>
          <w:titlePg/>
          <w:docGrid w:linePitch="360"/>
        </w:sectPr>
      </w:pPr>
    </w:p>
    <w:p>
      <w:pPr>
        <w:spacing w:after="80" w:line="252" w:lineRule="auto"/>
        <w:jc w:val="both"/>
      </w:pPr>
      <w:r>
        <w:rPr>
          <w:rFonts w:ascii="Times New Roman" w:hAnsi="Times New Roman"/>
          <w:b/>
          <w:sz w:val="18"/>
        </w:rPr>
        <w:t>Abstract—</w:t>
      </w:r>
      <w:r>
        <w:rPr>
          <w:rFonts w:ascii="Times New Roman" w:hAnsi="Times New Roman"/>
          <w:sz w:val="18"/>
        </w:rPr>
        <w:t>Organizing complex public and private events involves high-dimensional coordination across financial constraints, multi-supplier discovery, traditional scheduling, and unexpected logistical disruptions. Conventional digital methods separate budget planning, directory research, timeline assembly, and contingency handling into disconnected manual steps, creating severe delay, cognitive load, and vulnerability to supplier cancellations. This paper presents FlowGenie, a functional Human-in-the-Loop (HIL) Agentic AI system implemented using LangGraph and FastAPI. FlowGenie combines natural language requirement parsing, deterministic financial slicing, parallel vendor discovery, Multi-Criteria Decision Analysis (MCDA) ranking, chronological Run-of-Show synthesis, an active Sentinel Watchdog, and WhatsApp Request-for-Proposal (RFP) dispatching. Deterministic linear algebra and per-plate feasibility floors eliminate financial hallucination, while an asynchronous parallel sourcing pipeline achieved 100% global entity deduplication across all categories. Human authority is preserved through a stateful LangGraph checkpoint gate that pauses execution prior to vendor booking. In post-booking execution, the Sentinel Watchdog autonomously detects supplier dropouts and orchestrates Pareto-optimal replacements in about one second (ΔQ = 0.994, MTTR = 1035.59 ms) with zero budget shock. Evaluated against recent benchmarks from arXiv:2602.22953v2 (General Agent Evaluation) and arXiv:2410.10934v2 (Agent-as-a-Judge), FlowGenie achieved 100% Hierarchical DAG Requirement satisfaction, 90.0% alignment with human consensus (ΔJ = 1.43%), and 0.0% behavioral schema errors at an inference cost of $0.0176 per itinerary.</w:t>
      </w:r>
    </w:p>
    <w:p>
      <w:pPr>
        <w:spacing w:after="160" w:line="252" w:lineRule="auto"/>
        <w:jc w:val="both"/>
      </w:pPr>
      <w:r>
        <w:rPr>
          <w:rFonts w:ascii="Times New Roman" w:hAnsi="Times New Roman"/>
          <w:b/>
          <w:i/>
          <w:sz w:val="18"/>
        </w:rPr>
        <w:t>Index Terms—</w:t>
      </w:r>
      <w:r>
        <w:rPr>
          <w:rFonts w:ascii="Times New Roman" w:hAnsi="Times New Roman"/>
          <w:sz w:val="18"/>
        </w:rPr>
        <w:t>Agentic AI, Human-in-the-Loop, LangGraph, Multi-Agent Systems, Event Orchestration, Pareto MCDA Optimization, Sentinel Watchdog, Autonomous Self-Healing, Agent-as-a-Judge.</w:t>
      </w:r>
    </w:p>
    <w:p>
      <w:pPr>
        <w:keepNext/>
        <w:spacing w:before="180" w:after="60"/>
        <w:jc w:val="center"/>
      </w:pPr>
      <w:r>
        <w:rPr>
          <w:rFonts w:ascii="Times New Roman" w:hAnsi="Times New Roman"/>
          <w:b/>
          <w:sz w:val="20"/>
        </w:rPr>
        <w:t>I. INTRODUCTION</w:t>
      </w:r>
    </w:p>
    <w:p>
      <w:pPr>
        <w:spacing w:after="60" w:line="252" w:lineRule="auto"/>
        <w:ind w:firstLine="202"/>
        <w:jc w:val="both"/>
      </w:pPr>
      <w:r>
        <w:rPr>
          <w:rFonts w:ascii="Times New Roman" w:hAnsi="Times New Roman"/>
          <w:sz w:val="19"/>
        </w:rPr>
        <w:t>Event management teams routinely coordinate venue booking, culinary catering, decor styling, photography, entertainment, and guest logistics. These activities are interdependent: a change in guest headcount alters catering feasibility, which in turn impacts remaining floral and entertainment budgets. When observation, vendor negotiation, and schedule coordination are conducted through manual spreadsheets and isolated directory searches, significant cognitive fatigue and financial slippage occur.</w:t>
      </w:r>
    </w:p>
    <w:p>
      <w:pPr>
        <w:spacing w:after="60" w:line="252" w:lineRule="auto"/>
        <w:ind w:firstLine="202"/>
        <w:jc w:val="both"/>
      </w:pPr>
      <w:r>
        <w:rPr>
          <w:rFonts w:ascii="Times New Roman" w:hAnsi="Times New Roman"/>
          <w:sz w:val="19"/>
        </w:rPr>
        <w:t>Furthermore, event logistics are highly contextual. A catering budget acceptable for 50 guests becomes non-viable when scaling to 300 guests without per-plate floor auditing. Monolithic single-prompt Large Language Models (LLMs) fail in this domain due to arithmetic drift, lack of execution persistence, and inability to handle live supplier dropouts.</w:t>
      </w:r>
    </w:p>
    <w:p>
      <w:pPr>
        <w:spacing w:after="60" w:line="252" w:lineRule="auto"/>
        <w:ind w:firstLine="202"/>
        <w:jc w:val="both"/>
      </w:pPr>
      <w:r>
        <w:rPr>
          <w:rFonts w:ascii="Times New Roman" w:hAnsi="Times New Roman"/>
          <w:sz w:val="19"/>
        </w:rPr>
        <w:t>In traditional wedding and corporate planning, when a contracted caterer or decorator cancels 48 hours prior to an event, organizers experience acute operational panic. Re-negotiation requires manual directory browsing, availability verification, and budget re-balancing, consuming 24 to 72 hours. An autonomous system that detects dropout signals and automatically executes budget-compliant, quality-preserving replacements without user intervention represents a major advancement in applied AI.</w:t>
      </w:r>
    </w:p>
    <w:p>
      <w:pPr>
        <w:spacing w:after="60" w:line="252" w:lineRule="auto"/>
        <w:ind w:firstLine="202"/>
        <w:jc w:val="both"/>
      </w:pPr>
      <w:r>
        <w:rPr>
          <w:rFonts w:ascii="Times New Roman" w:hAnsi="Times New Roman"/>
          <w:sz w:val="19"/>
        </w:rPr>
        <w:t>FlowGenie addresses these operational challenges through a modular human-in-the-loop agent workflow. Rather than replacing human event planners or acting as an unconstrained black-box chatbot, FlowGenie converts unstructured client notes into structured mathematical constraints, curates Pareto-optimal vendor shortlists, enforces an approval checkpoint, and deploys an autonomous watchdog during live execution.</w:t>
      </w:r>
    </w:p>
    <w:p>
      <w:pPr>
        <w:spacing w:after="60" w:line="252" w:lineRule="auto"/>
        <w:jc w:val="both"/>
      </w:pPr>
      <w:r>
        <w:rPr>
          <w:rFonts w:ascii="Times New Roman" w:hAnsi="Times New Roman"/>
          <w:sz w:val="19"/>
        </w:rPr>
        <w:t>The primary contributions of this work are:</w:t>
      </w:r>
    </w:p>
    <w:p>
      <w:pPr>
        <w:pStyle w:val="ListBullet"/>
        <w:spacing w:after="40" w:line="245" w:lineRule="auto"/>
        <w:jc w:val="both"/>
      </w:pPr>
      <w:r>
        <w:rPr>
          <w:rFonts w:ascii="Times New Roman" w:hAnsi="Times New Roman"/>
          <w:b/>
          <w:sz w:val="18"/>
        </w:rPr>
        <w:t xml:space="preserve">1) Seven-Agent Architecture: </w:t>
      </w:r>
      <w:r>
        <w:rPr>
          <w:rFonts w:ascii="Times New Roman" w:hAnsi="Times New Roman"/>
          <w:sz w:val="18"/>
        </w:rPr>
        <w:t>Decomposes event orchestration into specialized LangGraph nodes for analysis, budget, sourcing, ranking, scheduling, watchdog recovery, and communication.</w:t>
      </w:r>
    </w:p>
    <w:p>
      <w:pPr>
        <w:pStyle w:val="ListBullet"/>
        <w:spacing w:after="40" w:line="245" w:lineRule="auto"/>
        <w:jc w:val="both"/>
      </w:pPr>
      <w:r>
        <w:rPr>
          <w:rFonts w:ascii="Times New Roman" w:hAnsi="Times New Roman"/>
          <w:b/>
          <w:sz w:val="18"/>
        </w:rPr>
        <w:t xml:space="preserve">2) Deterministic Feasibility: </w:t>
      </w:r>
      <w:r>
        <w:rPr>
          <w:rFonts w:ascii="Times New Roman" w:hAnsi="Times New Roman"/>
          <w:sz w:val="18"/>
        </w:rPr>
        <w:t>Linear budget slicing with strict catering feasibility floors (≥ INR 350/plate) and dynamic custom category extraction.</w:t>
      </w:r>
    </w:p>
    <w:p>
      <w:pPr>
        <w:pStyle w:val="ListBullet"/>
        <w:spacing w:after="40" w:line="245" w:lineRule="auto"/>
        <w:jc w:val="both"/>
      </w:pPr>
      <w:r>
        <w:rPr>
          <w:rFonts w:ascii="Times New Roman" w:hAnsi="Times New Roman"/>
          <w:b/>
          <w:sz w:val="18"/>
        </w:rPr>
        <w:t xml:space="preserve">3) Checkpointed Approval Gate: </w:t>
      </w:r>
      <w:r>
        <w:rPr>
          <w:rFonts w:ascii="Times New Roman" w:hAnsi="Times New Roman"/>
          <w:sz w:val="18"/>
        </w:rPr>
        <w:t>FastAPI and LangGraph interrupt mechanism preserving human decision authority before booking.</w:t>
      </w:r>
    </w:p>
    <w:p>
      <w:pPr>
        <w:pStyle w:val="ListBullet"/>
        <w:spacing w:after="40" w:line="245" w:lineRule="auto"/>
        <w:jc w:val="both"/>
      </w:pPr>
      <w:r>
        <w:rPr>
          <w:rFonts w:ascii="Times New Roman" w:hAnsi="Times New Roman"/>
          <w:b/>
          <w:sz w:val="18"/>
        </w:rPr>
        <w:t xml:space="preserve">4) Autonomous Sentinel Self-Healing: </w:t>
      </w:r>
      <w:r>
        <w:rPr>
          <w:rFonts w:ascii="Times New Roman" w:hAnsi="Times New Roman"/>
          <w:sz w:val="18"/>
        </w:rPr>
        <w:t>Pareto-optimal vendor replacement in about one second (ΔQ = 0.994, MTTR = 1035.59 ms) upon cancellation.</w:t>
      </w:r>
    </w:p>
    <w:p>
      <w:pPr>
        <w:pStyle w:val="ListBullet"/>
        <w:spacing w:after="40" w:line="245" w:lineRule="auto"/>
        <w:jc w:val="both"/>
      </w:pPr>
      <w:r>
        <w:rPr>
          <w:rFonts w:ascii="Times New Roman" w:hAnsi="Times New Roman"/>
          <w:b/>
          <w:sz w:val="18"/>
        </w:rPr>
        <w:t xml:space="preserve">5) Dual arXiv Evaluation: </w:t>
      </w:r>
      <w:r>
        <w:rPr>
          <w:rFonts w:ascii="Times New Roman" w:hAnsi="Times New Roman"/>
          <w:sz w:val="18"/>
        </w:rPr>
        <w:t>Validation against arXiv:2602.22953v2 and arXiv:2410.10934v2, achieving 100% DAG compliance and 90% human consensus alignment.</w:t>
      </w:r>
    </w:p>
    <w:p>
      <w:pPr>
        <w:keepNext/>
        <w:spacing w:before="180" w:after="60"/>
        <w:jc w:val="center"/>
      </w:pPr>
      <w:r>
        <w:rPr>
          <w:rFonts w:ascii="Times New Roman" w:hAnsi="Times New Roman"/>
          <w:b/>
          <w:sz w:val="20"/>
        </w:rPr>
        <w:t>II. RELATED WORKS</w:t>
      </w:r>
    </w:p>
    <w:p>
      <w:pPr>
        <w:keepNext/>
        <w:spacing w:before="120" w:after="40"/>
        <w:jc w:val="left"/>
      </w:pPr>
      <w:r>
        <w:rPr>
          <w:rFonts w:ascii="Times New Roman" w:hAnsi="Times New Roman"/>
          <w:b/>
          <w:i/>
          <w:sz w:val="19"/>
        </w:rPr>
        <w:t>A. Multi-Agent Systems and Workflow Graphs</w:t>
      </w:r>
    </w:p>
    <w:p>
      <w:pPr>
        <w:spacing w:after="60" w:line="252" w:lineRule="auto"/>
        <w:ind w:firstLine="202"/>
        <w:jc w:val="both"/>
      </w:pPr>
      <w:r>
        <w:rPr>
          <w:rFonts w:ascii="Times New Roman" w:hAnsi="Times New Roman"/>
          <w:sz w:val="19"/>
        </w:rPr>
        <w:t>Early autonomous agent experiments suffered from infinite reasoning loops and hallucinated actions. Modern orchestrators, notably LangGraph [1] and AutoGen [2], introduce state machines and Directed Acyclic Graphs (DAGs) that bound agent trajectories to predictable transitions. FlowGenie leverages LangGraph's stateful checkpointing to enforce deterministic event planning workflows.</w:t>
      </w:r>
    </w:p>
    <w:p>
      <w:pPr>
        <w:keepNext/>
        <w:spacing w:before="120" w:after="40"/>
        <w:jc w:val="left"/>
      </w:pPr>
      <w:r>
        <w:rPr>
          <w:rFonts w:ascii="Times New Roman" w:hAnsi="Times New Roman"/>
          <w:b/>
          <w:i/>
          <w:sz w:val="19"/>
        </w:rPr>
        <w:t>B. Mixed-Initiative Human-AI Interaction</w:t>
      </w:r>
    </w:p>
    <w:p>
      <w:pPr>
        <w:spacing w:after="60" w:line="252" w:lineRule="auto"/>
        <w:ind w:firstLine="202"/>
        <w:jc w:val="both"/>
      </w:pPr>
      <w:r>
        <w:rPr>
          <w:rFonts w:ascii="Times New Roman" w:hAnsi="Times New Roman"/>
          <w:sz w:val="19"/>
        </w:rPr>
        <w:t>Horvitz established foundational principles for mixed-initiative systems [3], emphasizing visible uncertainty and operator intervention. Amershi et al. organized design guidelines for human-AI collaboration across in-use and failure states [4]. FlowGenie applies these principles by displaying structured evidence and pausing at an approval gate before executing vendor contracts.</w:t>
      </w:r>
    </w:p>
    <w:p>
      <w:pPr>
        <w:keepNext/>
        <w:spacing w:before="120" w:after="40"/>
        <w:jc w:val="left"/>
      </w:pPr>
      <w:r>
        <w:rPr>
          <w:rFonts w:ascii="Times New Roman" w:hAnsi="Times New Roman"/>
          <w:b/>
          <w:i/>
          <w:sz w:val="19"/>
        </w:rPr>
        <w:t>C. Multi-Criteria Decision Analysis (MCDA)</w:t>
      </w:r>
    </w:p>
    <w:p>
      <w:pPr>
        <w:spacing w:after="60" w:line="252" w:lineRule="auto"/>
        <w:ind w:firstLine="202"/>
        <w:jc w:val="both"/>
      </w:pPr>
      <w:r>
        <w:rPr>
          <w:rFonts w:ascii="Times New Roman" w:hAnsi="Times New Roman"/>
          <w:sz w:val="19"/>
        </w:rPr>
        <w:t>Sourcing involves balancing cost, quality, and user preferences [5]. Rather than basic keyword search, FlowGenie implements a normalized Pareto utility function over candidate supplier vectors, scoring options across rating, proximity, and thematic fit.</w:t>
      </w:r>
    </w:p>
    <w:p>
      <w:pPr>
        <w:keepNext/>
        <w:spacing w:before="120" w:after="40"/>
        <w:jc w:val="left"/>
      </w:pPr>
      <w:r>
        <w:rPr>
          <w:rFonts w:ascii="Times New Roman" w:hAnsi="Times New Roman"/>
          <w:b/>
          <w:i/>
          <w:sz w:val="19"/>
        </w:rPr>
        <w:t>D. Agent Evaluation Benchmarks</w:t>
      </w:r>
    </w:p>
    <w:p>
      <w:pPr>
        <w:spacing w:after="60" w:line="252" w:lineRule="auto"/>
        <w:ind w:firstLine="202"/>
        <w:jc w:val="both"/>
      </w:pPr>
      <w:r>
        <w:rPr>
          <w:rFonts w:ascii="Times New Roman" w:hAnsi="Times New Roman"/>
          <w:sz w:val="19"/>
        </w:rPr>
        <w:t>Multi-agent evaluation has transitioned from simple unit tests to rigorous behavioral taxonomies. Bandel et al. introduced General Agent Evaluation (arXiv:2602.22953v2) [6], defining schema violations, generality sinks, and compute footprints. Zhuge et al. formulated Agent-as-a-Judge (arXiv:2410.10934v2) [7], measuring Judge Shift (ΔJ) and DAG constraint satisfaction. FlowGenie adopts both standards for its empirical verification.</w:t>
      </w:r>
    </w:p>
    <w:p>
      <w:pPr>
        <w:keepNext/>
        <w:spacing w:before="120" w:after="40"/>
        <w:jc w:val="left"/>
      </w:pPr>
      <w:r>
        <w:rPr>
          <w:rFonts w:ascii="Times New Roman" w:hAnsi="Times New Roman"/>
          <w:b/>
          <w:i/>
          <w:sz w:val="19"/>
        </w:rPr>
        <w:t>E. Automated Contingency &amp; Self-Healing Workflows</w:t>
      </w:r>
    </w:p>
    <w:p>
      <w:pPr>
        <w:spacing w:after="60" w:line="252" w:lineRule="auto"/>
        <w:ind w:firstLine="202"/>
        <w:jc w:val="both"/>
      </w:pPr>
      <w:r>
        <w:rPr>
          <w:rFonts w:ascii="Times New Roman" w:hAnsi="Times New Roman"/>
          <w:sz w:val="19"/>
        </w:rPr>
        <w:t>Research in fault-tolerant distributed systems has demonstrated the importance of watchdog agents and active heartbeat monitors [8]. In consumer workflow automation, however, failure recovery has historically remained an exclusively human responsibility. FlowGenie bridges this gap by embedding an active watchdog inside the agent graph to autonomously remediate supplier dropouts.</w:t>
      </w:r>
    </w:p>
    <w:p>
      <w:pPr>
        <w:keepNext/>
        <w:spacing w:before="180" w:after="60"/>
        <w:jc w:val="center"/>
      </w:pPr>
      <w:r>
        <w:rPr>
          <w:rFonts w:ascii="Times New Roman" w:hAnsi="Times New Roman"/>
          <w:b/>
          <w:sz w:val="20"/>
        </w:rPr>
        <w:t>III. PROPOSED SYSTEM</w:t>
      </w:r>
    </w:p>
    <w:p>
      <w:pPr>
        <w:keepNext/>
        <w:spacing w:before="120" w:after="40"/>
        <w:jc w:val="left"/>
      </w:pPr>
      <w:r>
        <w:rPr>
          <w:rFonts w:ascii="Times New Roman" w:hAnsi="Times New Roman"/>
          <w:b/>
          <w:i/>
          <w:sz w:val="19"/>
        </w:rPr>
        <w:t>A. System Overview</w:t>
      </w:r>
    </w:p>
    <w:p>
      <w:pPr>
        <w:spacing w:after="60" w:line="252" w:lineRule="auto"/>
        <w:ind w:firstLine="202"/>
        <w:jc w:val="both"/>
      </w:pPr>
      <w:r>
        <w:rPr>
          <w:rFonts w:ascii="Times New Roman" w:hAnsi="Times New Roman"/>
          <w:sz w:val="19"/>
        </w:rPr>
        <w:t>The proposed system follows the modular pipeline shown in Fig. 1. An observation enters from client prompts, budget figures, and custom requirements. The Requirement Analyst extracts structured parameters, which the Budget Strategist divides across categories using deterministic weights.</w:t>
      </w:r>
    </w:p>
    <w:p>
      <w:pPr>
        <w:keepNext/>
        <w:spacing w:before="120" w:after="40"/>
        <w:jc w:val="center"/>
      </w:pPr>
      <w:r>
        <w:drawing>
          <wp:inline xmlns:a="http://schemas.openxmlformats.org/drawingml/2006/main" xmlns:pic="http://schemas.openxmlformats.org/drawingml/2006/picture">
            <wp:extent cx="3108960" cy="1825444"/>
            <wp:docPr id="1" name="Picture 1"/>
            <wp:cNvGraphicFramePr>
              <a:graphicFrameLocks noChangeAspect="1"/>
            </wp:cNvGraphicFramePr>
            <a:graphic>
              <a:graphicData uri="http://schemas.openxmlformats.org/drawingml/2006/picture">
                <pic:pic>
                  <pic:nvPicPr>
                    <pic:cNvPr id="0" name="flowgenie_architecture_diagram.png"/>
                    <pic:cNvPicPr/>
                  </pic:nvPicPr>
                  <pic:blipFill>
                    <a:blip r:embed="rId10"/>
                    <a:stretch>
                      <a:fillRect/>
                    </a:stretch>
                  </pic:blipFill>
                  <pic:spPr>
                    <a:xfrm>
                      <a:off x="0" y="0"/>
                      <a:ext cx="3108960" cy="1825444"/>
                    </a:xfrm>
                    <a:prstGeom prst="rect"/>
                  </pic:spPr>
                </pic:pic>
              </a:graphicData>
            </a:graphic>
          </wp:inline>
        </w:drawing>
      </w:r>
    </w:p>
    <w:p>
      <w:pPr>
        <w:spacing w:after="120"/>
        <w:jc w:val="both"/>
      </w:pPr>
      <w:r>
        <w:rPr>
          <w:rFonts w:ascii="Times New Roman" w:hAnsi="Times New Roman"/>
          <w:i/>
          <w:sz w:val="16"/>
        </w:rPr>
        <w:t>Fig. 1. FlowGenie multi-agent architecture showing LangGraph execution nodes, the central Human Approval Gate, and the autonomous Sentinel recovery loop.</w:t>
      </w:r>
    </w:p>
    <w:p>
      <w:pPr>
        <w:keepNext/>
        <w:spacing w:before="120" w:after="40"/>
        <w:jc w:val="left"/>
      </w:pPr>
      <w:r>
        <w:rPr>
          <w:rFonts w:ascii="Times New Roman" w:hAnsi="Times New Roman"/>
          <w:b/>
          <w:i/>
          <w:sz w:val="19"/>
        </w:rPr>
        <w:t>B. Specialized Agent Decomposition</w:t>
      </w:r>
    </w:p>
    <w:p>
      <w:pPr>
        <w:spacing w:after="60" w:line="252" w:lineRule="auto"/>
        <w:ind w:firstLine="202"/>
        <w:jc w:val="both"/>
      </w:pPr>
      <w:r>
        <w:rPr>
          <w:rFonts w:ascii="Times New Roman" w:hAnsi="Times New Roman"/>
          <w:sz w:val="19"/>
        </w:rPr>
        <w:t>1) Requirement Analyst Agent: Extracts event type, headcount, budget, city, and unstructured custom notes (e.g., 'need stay for outstation guests', 'want vegan catering'). The agent employs pattern-matching classifiers to dynamically generate custom categories (e.g., Guest Accommodation &amp; Rooms, Luxury Fleet, Wedding Cake) alongside default packages.</w:t>
      </w:r>
    </w:p>
    <w:p>
      <w:pPr>
        <w:spacing w:after="60" w:line="252" w:lineRule="auto"/>
        <w:ind w:firstLine="202"/>
        <w:jc w:val="both"/>
      </w:pPr>
      <w:r>
        <w:rPr>
          <w:rFonts w:ascii="Times New Roman" w:hAnsi="Times New Roman"/>
          <w:sz w:val="19"/>
        </w:rPr>
        <w:t>2) Budget Strategist Agent: Slices total capital into category allocations (Venue 35%, Catering 28%, Decor 15%, Photography 11%, Entertainment 8%, Makeup 5%, Others 3%) and audits per-plate floor conditions (≥ INR 350/guest).</w:t>
      </w:r>
    </w:p>
    <w:p>
      <w:pPr>
        <w:spacing w:after="60" w:line="252" w:lineRule="auto"/>
        <w:ind w:firstLine="202"/>
        <w:jc w:val="both"/>
      </w:pPr>
      <w:r>
        <w:rPr>
          <w:rFonts w:ascii="Times New Roman" w:hAnsi="Times New Roman"/>
          <w:sz w:val="19"/>
        </w:rPr>
        <w:t>3) Vendor Discovery Agent: Discovers local suppliers via asynchronous parallel search workers, executing concurrent queries across venue, catering, and decor catalogs while synchronizing with a shared global memory store to guarantee 100% entity deduplication.</w:t>
      </w:r>
    </w:p>
    <w:p>
      <w:pPr>
        <w:spacing w:after="60" w:line="252" w:lineRule="auto"/>
        <w:ind w:firstLine="202"/>
        <w:jc w:val="both"/>
      </w:pPr>
      <w:r>
        <w:rPr>
          <w:rFonts w:ascii="Times New Roman" w:hAnsi="Times New Roman"/>
          <w:sz w:val="19"/>
        </w:rPr>
        <w:t>4) MCDA Ranking Agent: Scores candidates using Pareto utility functions, curating top-3 vendor options per category based on rating, budget fit, and thematic alignment.</w:t>
      </w:r>
    </w:p>
    <w:p>
      <w:pPr>
        <w:spacing w:after="60" w:line="252" w:lineRule="auto"/>
        <w:ind w:firstLine="202"/>
        <w:jc w:val="both"/>
      </w:pPr>
      <w:r>
        <w:rPr>
          <w:rFonts w:ascii="Times New Roman" w:hAnsi="Times New Roman"/>
          <w:sz w:val="19"/>
        </w:rPr>
        <w:t>5) Booking &amp; Run-of-Show Agent: Generates minute-by-minute schedules synchronized with cultural ceremony presets (Muhurtham, Sangeet, Haldi, Reception) and catering meal slots (Morning Breakfast, Afternoon Feast, Evening High-Tea, Night Banquet).</w:t>
      </w:r>
    </w:p>
    <w:p>
      <w:pPr>
        <w:spacing w:after="60" w:line="252" w:lineRule="auto"/>
        <w:ind w:firstLine="202"/>
        <w:jc w:val="both"/>
      </w:pPr>
      <w:r>
        <w:rPr>
          <w:rFonts w:ascii="Times New Roman" w:hAnsi="Times New Roman"/>
          <w:sz w:val="19"/>
        </w:rPr>
        <w:t>6) Sentinel Watchdog Agent: An active background observer that monitors supplier contract health, intercepts dropout signals, and auto-executes Pareto-optimal replacements in sub-second latency.</w:t>
      </w:r>
    </w:p>
    <w:p>
      <w:pPr>
        <w:spacing w:after="60" w:line="252" w:lineRule="auto"/>
        <w:ind w:firstLine="202"/>
        <w:jc w:val="both"/>
      </w:pPr>
      <w:r>
        <w:rPr>
          <w:rFonts w:ascii="Times New Roman" w:hAnsi="Times New Roman"/>
          <w:sz w:val="19"/>
        </w:rPr>
        <w:t>7) Notification Dispatch Agent: Synthesizes structured Requests for Proposals (RFPs) and generates instant WhatsApp (wa.me) click-to-chat links and email summaries for immediate 1-click vendor dispatch.</w:t>
      </w:r>
    </w:p>
    <w:p>
      <w:pPr>
        <w:keepNext/>
        <w:spacing w:before="120" w:after="40"/>
        <w:jc w:val="left"/>
      </w:pPr>
      <w:r>
        <w:rPr>
          <w:rFonts w:ascii="Times New Roman" w:hAnsi="Times New Roman"/>
          <w:b/>
          <w:i/>
          <w:sz w:val="19"/>
        </w:rPr>
        <w:t>C. Human Approval Checkpoint Gate</w:t>
      </w:r>
    </w:p>
    <w:p>
      <w:pPr>
        <w:spacing w:after="60" w:line="252" w:lineRule="auto"/>
        <w:ind w:firstLine="202"/>
        <w:jc w:val="both"/>
      </w:pPr>
      <w:r>
        <w:rPr>
          <w:rFonts w:ascii="Times New Roman" w:hAnsi="Times New Roman"/>
          <w:sz w:val="19"/>
        </w:rPr>
        <w:t>Human Approval is intentionally implemented as a stateful FastAPI/LangGraph interrupt checkpoint rather than an artificial agent. The graph halts execution before booking, exposing the package to the host. The host can customize selections, approve, or reject. Approval resumes the graph; rejection terminates the booking path safely.</w:t>
      </w:r>
    </w:p>
    <w:p>
      <w:pPr>
        <w:keepNext/>
        <w:spacing w:before="180" w:after="60"/>
        <w:jc w:val="center"/>
      </w:pPr>
      <w:r>
        <w:rPr>
          <w:rFonts w:ascii="Times New Roman" w:hAnsi="Times New Roman"/>
          <w:b/>
          <w:sz w:val="20"/>
        </w:rPr>
        <w:t>IV. METHODOLOGY</w:t>
      </w:r>
    </w:p>
    <w:p>
      <w:pPr>
        <w:keepNext/>
        <w:spacing w:before="120" w:after="40"/>
        <w:jc w:val="left"/>
      </w:pPr>
      <w:r>
        <w:rPr>
          <w:rFonts w:ascii="Times New Roman" w:hAnsi="Times New Roman"/>
          <w:b/>
          <w:i/>
          <w:sz w:val="19"/>
        </w:rPr>
        <w:t>A. Budget Allocation &amp; Feasibility Floor</w:t>
      </w:r>
    </w:p>
    <w:p>
      <w:pPr>
        <w:spacing w:after="60" w:line="252" w:lineRule="auto"/>
        <w:ind w:firstLine="202"/>
        <w:jc w:val="both"/>
      </w:pPr>
      <w:r>
        <w:rPr>
          <w:rFonts w:ascii="Times New Roman" w:hAnsi="Times New Roman"/>
          <w:sz w:val="19"/>
        </w:rPr>
        <w:t>Total budget B is sliced deterministically across K categories to eliminate numerical drift:</w:t>
      </w:r>
    </w:p>
    <w:tbl>
      <w:tblPr>
        <w:tblW w:type="auto" w:w="0"/>
        <w:jc w:val="center"/>
        <w:tblLayout w:type="fixed"/>
        <w:tblLook w:firstColumn="1" w:firstRow="1" w:lastColumn="0" w:lastRow="0" w:noHBand="0" w:noVBand="1" w:val="04A0"/>
      </w:tblPr>
      <w:tblGrid>
        <w:gridCol w:w="4176"/>
        <w:gridCol w:w="720"/>
      </w:tblGrid>
      <w:tr>
        <w:tc>
          <w:tcPr>
            <w:tcW w:type="dxa" w:w="5220"/>
          </w:tcPr>
          <w:p>
            <w:pPr>
              <w:jc w:val="center"/>
            </w:pPr>
            <w:r>
              <w:rPr>
                <w:rFonts w:ascii="Times New Roman" w:hAnsi="Times New Roman"/>
                <w:i/>
                <w:sz w:val="18"/>
              </w:rPr>
              <w:t>B_i = w_i * B,  sum w_i = 1.0</w:t>
            </w:r>
          </w:p>
        </w:tc>
        <w:tc>
          <w:tcPr>
            <w:tcW w:type="dxa" w:w="5220"/>
          </w:tcPr>
          <w:p>
            <w:pPr>
              <w:jc w:val="right"/>
            </w:pPr>
            <w:r>
              <w:rPr>
                <w:rFonts w:ascii="Times New Roman" w:hAnsi="Times New Roman"/>
                <w:sz w:val="18"/>
              </w:rPr>
              <w:t>(1)</w:t>
            </w:r>
          </w:p>
        </w:tc>
      </w:tr>
    </w:tbl>
    <w:p>
      <w:pPr>
        <w:spacing w:after="40"/>
      </w:pPr>
    </w:p>
    <w:p>
      <w:pPr>
        <w:spacing w:after="60" w:line="252" w:lineRule="auto"/>
        <w:ind w:firstLine="202"/>
        <w:jc w:val="both"/>
      </w:pPr>
      <w:r>
        <w:rPr>
          <w:rFonts w:ascii="Times New Roman" w:hAnsi="Times New Roman"/>
          <w:sz w:val="19"/>
        </w:rPr>
        <w:t>The catering feasibility floor is enforced as:</w:t>
      </w:r>
    </w:p>
    <w:tbl>
      <w:tblPr>
        <w:tblW w:type="auto" w:w="0"/>
        <w:jc w:val="center"/>
        <w:tblLayout w:type="fixed"/>
        <w:tblLook w:firstColumn="1" w:firstRow="1" w:lastColumn="0" w:lastRow="0" w:noHBand="0" w:noVBand="1" w:val="04A0"/>
      </w:tblPr>
      <w:tblGrid>
        <w:gridCol w:w="4176"/>
        <w:gridCol w:w="720"/>
      </w:tblGrid>
      <w:tr>
        <w:tc>
          <w:tcPr>
            <w:tcW w:type="dxa" w:w="5220"/>
          </w:tcPr>
          <w:p>
            <w:pPr>
              <w:jc w:val="center"/>
            </w:pPr>
            <w:r>
              <w:rPr>
                <w:rFonts w:ascii="Times New Roman" w:hAnsi="Times New Roman"/>
                <w:i/>
                <w:sz w:val="18"/>
              </w:rPr>
              <w:t>P_cater = B_cater / N_guests &gt;= INR 350.0</w:t>
            </w:r>
          </w:p>
        </w:tc>
        <w:tc>
          <w:tcPr>
            <w:tcW w:type="dxa" w:w="5220"/>
          </w:tcPr>
          <w:p>
            <w:pPr>
              <w:jc w:val="right"/>
            </w:pPr>
            <w:r>
              <w:rPr>
                <w:rFonts w:ascii="Times New Roman" w:hAnsi="Times New Roman"/>
                <w:sz w:val="18"/>
              </w:rPr>
              <w:t>(2)</w:t>
            </w:r>
          </w:p>
        </w:tc>
      </w:tr>
    </w:tbl>
    <w:p>
      <w:pPr>
        <w:spacing w:after="40"/>
      </w:pPr>
    </w:p>
    <w:p>
      <w:pPr>
        <w:keepNext/>
        <w:spacing w:before="120" w:after="40"/>
        <w:jc w:val="left"/>
      </w:pPr>
      <w:r>
        <w:rPr>
          <w:rFonts w:ascii="Times New Roman" w:hAnsi="Times New Roman"/>
          <w:b/>
          <w:i/>
          <w:sz w:val="19"/>
        </w:rPr>
        <w:t>B. Dynamic Category Weight Allocation</w:t>
      </w:r>
    </w:p>
    <w:p>
      <w:pPr>
        <w:spacing w:after="60" w:line="252" w:lineRule="auto"/>
        <w:ind w:firstLine="202"/>
        <w:jc w:val="both"/>
      </w:pPr>
      <w:r>
        <w:rPr>
          <w:rFonts w:ascii="Times New Roman" w:hAnsi="Times New Roman"/>
          <w:sz w:val="19"/>
        </w:rPr>
        <w:t>When unstructured requirements (e.g., rooms for guests) are detected, the Budget Strategist dynamically reallocates weights to create an explicit category budget B_custom while preserving the catering floor:</w:t>
      </w:r>
    </w:p>
    <w:tbl>
      <w:tblPr>
        <w:tblW w:type="auto" w:w="0"/>
        <w:jc w:val="center"/>
        <w:tblLayout w:type="fixed"/>
        <w:tblLook w:firstColumn="1" w:firstRow="1" w:lastColumn="0" w:lastRow="0" w:noHBand="0" w:noVBand="1" w:val="04A0"/>
      </w:tblPr>
      <w:tblGrid>
        <w:gridCol w:w="4176"/>
        <w:gridCol w:w="720"/>
      </w:tblGrid>
      <w:tr>
        <w:tc>
          <w:tcPr>
            <w:tcW w:type="dxa" w:w="5220"/>
          </w:tcPr>
          <w:p>
            <w:pPr>
              <w:jc w:val="center"/>
            </w:pPr>
            <w:r>
              <w:rPr>
                <w:rFonts w:ascii="Times New Roman" w:hAnsi="Times New Roman"/>
                <w:i/>
                <w:sz w:val="18"/>
              </w:rPr>
              <w:t>B_custom = w_custom * B,  where w_others -&gt; w_custom</w:t>
            </w:r>
          </w:p>
        </w:tc>
        <w:tc>
          <w:tcPr>
            <w:tcW w:type="dxa" w:w="5220"/>
          </w:tcPr>
          <w:p>
            <w:pPr>
              <w:jc w:val="right"/>
            </w:pPr>
            <w:r>
              <w:rPr>
                <w:rFonts w:ascii="Times New Roman" w:hAnsi="Times New Roman"/>
                <w:sz w:val="18"/>
              </w:rPr>
              <w:t>(3)</w:t>
            </w:r>
          </w:p>
        </w:tc>
      </w:tr>
    </w:tbl>
    <w:p>
      <w:pPr>
        <w:spacing w:after="40"/>
      </w:pPr>
    </w:p>
    <w:p>
      <w:pPr>
        <w:keepNext/>
        <w:spacing w:before="120" w:after="40"/>
        <w:jc w:val="left"/>
      </w:pPr>
      <w:r>
        <w:rPr>
          <w:rFonts w:ascii="Times New Roman" w:hAnsi="Times New Roman"/>
          <w:b/>
          <w:i/>
          <w:sz w:val="19"/>
        </w:rPr>
        <w:t>C. Multi-Criteria Pareto Utility Scoring</w:t>
      </w:r>
    </w:p>
    <w:p>
      <w:pPr>
        <w:spacing w:after="60" w:line="252" w:lineRule="auto"/>
        <w:ind w:firstLine="202"/>
        <w:jc w:val="both"/>
      </w:pPr>
      <w:r>
        <w:rPr>
          <w:rFonts w:ascii="Times New Roman" w:hAnsi="Times New Roman"/>
          <w:sz w:val="19"/>
        </w:rPr>
        <w:t>Candidate vendors are ranked using a multi-criteria utility function U(v) combining normalized customer rating R(v), budget proximity cost penalty C(v), and thematic fit score T(v):</w:t>
      </w:r>
    </w:p>
    <w:tbl>
      <w:tblPr>
        <w:tblW w:type="auto" w:w="0"/>
        <w:jc w:val="center"/>
        <w:tblLayout w:type="fixed"/>
        <w:tblLook w:firstColumn="1" w:firstRow="1" w:lastColumn="0" w:lastRow="0" w:noHBand="0" w:noVBand="1" w:val="04A0"/>
      </w:tblPr>
      <w:tblGrid>
        <w:gridCol w:w="4176"/>
        <w:gridCol w:w="720"/>
      </w:tblGrid>
      <w:tr>
        <w:tc>
          <w:tcPr>
            <w:tcW w:type="dxa" w:w="5220"/>
          </w:tcPr>
          <w:p>
            <w:pPr>
              <w:jc w:val="center"/>
            </w:pPr>
            <w:r>
              <w:rPr>
                <w:rFonts w:ascii="Times New Roman" w:hAnsi="Times New Roman"/>
                <w:i/>
                <w:sz w:val="18"/>
              </w:rPr>
              <w:t>U(v) = 0.45(R/5) + 0.35(1 - |Cost - B_i|/B_i) + 0.20 T(v)</w:t>
            </w:r>
          </w:p>
        </w:tc>
        <w:tc>
          <w:tcPr>
            <w:tcW w:type="dxa" w:w="5220"/>
          </w:tcPr>
          <w:p>
            <w:pPr>
              <w:jc w:val="right"/>
            </w:pPr>
            <w:r>
              <w:rPr>
                <w:rFonts w:ascii="Times New Roman" w:hAnsi="Times New Roman"/>
                <w:sz w:val="18"/>
              </w:rPr>
              <w:t>(4)</w:t>
            </w:r>
          </w:p>
        </w:tc>
      </w:tr>
    </w:tbl>
    <w:p>
      <w:pPr>
        <w:spacing w:after="40"/>
      </w:pPr>
    </w:p>
    <w:p>
      <w:pPr>
        <w:keepNext/>
        <w:spacing w:before="120" w:after="40"/>
        <w:jc w:val="left"/>
      </w:pPr>
      <w:r>
        <w:rPr>
          <w:rFonts w:ascii="Times New Roman" w:hAnsi="Times New Roman"/>
          <w:b/>
          <w:i/>
          <w:sz w:val="19"/>
        </w:rPr>
        <w:t>D. Pareto-Optimal Replacement Score (ΔQ)</w:t>
      </w:r>
    </w:p>
    <w:p>
      <w:pPr>
        <w:spacing w:after="60" w:line="252" w:lineRule="auto"/>
        <w:ind w:firstLine="202"/>
        <w:jc w:val="both"/>
      </w:pPr>
      <w:r>
        <w:rPr>
          <w:rFonts w:ascii="Times New Roman" w:hAnsi="Times New Roman"/>
          <w:sz w:val="19"/>
        </w:rPr>
        <w:t>When an active vendor cancels, the Sentinel Watchdog evaluates candidate replacements using the Pareto Quality Metric ΔQ:</w:t>
      </w:r>
    </w:p>
    <w:tbl>
      <w:tblPr>
        <w:tblW w:type="auto" w:w="0"/>
        <w:jc w:val="center"/>
        <w:tblLayout w:type="fixed"/>
        <w:tblLook w:firstColumn="1" w:firstRow="1" w:lastColumn="0" w:lastRow="0" w:noHBand="0" w:noVBand="1" w:val="04A0"/>
      </w:tblPr>
      <w:tblGrid>
        <w:gridCol w:w="4176"/>
        <w:gridCol w:w="720"/>
      </w:tblGrid>
      <w:tr>
        <w:tc>
          <w:tcPr>
            <w:tcW w:type="dxa" w:w="5220"/>
          </w:tcPr>
          <w:p>
            <w:pPr>
              <w:jc w:val="center"/>
            </w:pPr>
            <w:r>
              <w:rPr>
                <w:rFonts w:ascii="Times New Roman" w:hAnsi="Times New Roman"/>
                <w:i/>
                <w:sz w:val="18"/>
              </w:rPr>
              <w:t>ΔQ = (R_new / R_old) * [ 1 - (|Cost_new - Cost_old| / B_alloc) ]</w:t>
            </w:r>
          </w:p>
        </w:tc>
        <w:tc>
          <w:tcPr>
            <w:tcW w:type="dxa" w:w="5220"/>
          </w:tcPr>
          <w:p>
            <w:pPr>
              <w:jc w:val="right"/>
            </w:pPr>
            <w:r>
              <w:rPr>
                <w:rFonts w:ascii="Times New Roman" w:hAnsi="Times New Roman"/>
                <w:sz w:val="18"/>
              </w:rPr>
              <w:t>(5)</w:t>
            </w:r>
          </w:p>
        </w:tc>
      </w:tr>
    </w:tbl>
    <w:p>
      <w:pPr>
        <w:spacing w:after="40"/>
      </w:pPr>
    </w:p>
    <w:p>
      <w:pPr>
        <w:spacing w:after="60" w:line="252" w:lineRule="auto"/>
        <w:ind w:firstLine="202"/>
        <w:jc w:val="both"/>
      </w:pPr>
      <w:r>
        <w:rPr>
          <w:rFonts w:ascii="Times New Roman" w:hAnsi="Times New Roman"/>
          <w:sz w:val="19"/>
        </w:rPr>
        <w:t>Replacements with ΔQ ≥ 0.90 are classified as Pareto-optimal.</w:t>
      </w:r>
    </w:p>
    <w:p>
      <w:pPr>
        <w:keepNext/>
        <w:spacing w:before="120" w:after="40"/>
        <w:jc w:val="left"/>
      </w:pPr>
      <w:r>
        <w:rPr>
          <w:rFonts w:ascii="Times New Roman" w:hAnsi="Times New Roman"/>
          <w:b/>
          <w:i/>
          <w:sz w:val="19"/>
        </w:rPr>
        <w:t>E. Agent-as-a-Judge Shift (ΔJ)</w:t>
      </w:r>
    </w:p>
    <w:p>
      <w:pPr>
        <w:spacing w:after="60" w:line="252" w:lineRule="auto"/>
        <w:ind w:firstLine="202"/>
        <w:jc w:val="both"/>
      </w:pPr>
      <w:r>
        <w:rPr>
          <w:rFonts w:ascii="Times New Roman" w:hAnsi="Times New Roman"/>
          <w:sz w:val="19"/>
        </w:rPr>
        <w:t>Judge Shift ΔJ measures average percentage deviation between automated LLM judge grading and human expert consensus across M rubrics:</w:t>
      </w:r>
    </w:p>
    <w:tbl>
      <w:tblPr>
        <w:tblW w:type="auto" w:w="0"/>
        <w:jc w:val="center"/>
        <w:tblLayout w:type="fixed"/>
        <w:tblLook w:firstColumn="1" w:firstRow="1" w:lastColumn="0" w:lastRow="0" w:noHBand="0" w:noVBand="1" w:val="04A0"/>
      </w:tblPr>
      <w:tblGrid>
        <w:gridCol w:w="4176"/>
        <w:gridCol w:w="720"/>
      </w:tblGrid>
      <w:tr>
        <w:tc>
          <w:tcPr>
            <w:tcW w:type="dxa" w:w="5220"/>
          </w:tcPr>
          <w:p>
            <w:pPr>
              <w:jc w:val="center"/>
            </w:pPr>
            <w:r>
              <w:rPr>
                <w:rFonts w:ascii="Times New Roman" w:hAnsi="Times New Roman"/>
                <w:i/>
                <w:sz w:val="18"/>
              </w:rPr>
              <w:t>ΔJ = (1 / M) * sum |Score_judge - Score_human| * 100</w:t>
            </w:r>
          </w:p>
        </w:tc>
        <w:tc>
          <w:tcPr>
            <w:tcW w:type="dxa" w:w="5220"/>
          </w:tcPr>
          <w:p>
            <w:pPr>
              <w:jc w:val="right"/>
            </w:pPr>
            <w:r>
              <w:rPr>
                <w:rFonts w:ascii="Times New Roman" w:hAnsi="Times New Roman"/>
                <w:sz w:val="18"/>
              </w:rPr>
              <w:t>(6)</w:t>
            </w:r>
          </w:p>
        </w:tc>
      </w:tr>
    </w:tbl>
    <w:p>
      <w:pPr>
        <w:spacing w:after="40"/>
      </w:pPr>
    </w:p>
    <w:p>
      <w:pPr>
        <w:keepNext/>
        <w:spacing w:before="120" w:after="40"/>
        <w:jc w:val="left"/>
      </w:pPr>
      <w:r>
        <w:rPr>
          <w:rFonts w:ascii="Times New Roman" w:hAnsi="Times New Roman"/>
          <w:b/>
          <w:i/>
          <w:sz w:val="19"/>
        </w:rPr>
        <w:t>F. Wilson 95% Confidence Interval</w:t>
      </w:r>
    </w:p>
    <w:p>
      <w:pPr>
        <w:spacing w:after="60" w:line="252" w:lineRule="auto"/>
        <w:ind w:firstLine="202"/>
        <w:jc w:val="both"/>
      </w:pPr>
      <w:r>
        <w:rPr>
          <w:rFonts w:ascii="Times New Roman" w:hAnsi="Times New Roman"/>
          <w:sz w:val="19"/>
        </w:rPr>
        <w:t>Statistical uncertainty over finite benchmark trials is calculated as:</w:t>
      </w:r>
    </w:p>
    <w:tbl>
      <w:tblPr>
        <w:tblW w:type="auto" w:w="0"/>
        <w:jc w:val="center"/>
        <w:tblLayout w:type="fixed"/>
        <w:tblLook w:firstColumn="1" w:firstRow="1" w:lastColumn="0" w:lastRow="0" w:noHBand="0" w:noVBand="1" w:val="04A0"/>
      </w:tblPr>
      <w:tblGrid>
        <w:gridCol w:w="4176"/>
        <w:gridCol w:w="720"/>
      </w:tblGrid>
      <w:tr>
        <w:tc>
          <w:tcPr>
            <w:tcW w:type="dxa" w:w="5220"/>
          </w:tcPr>
          <w:p>
            <w:pPr>
              <w:jc w:val="center"/>
            </w:pPr>
            <w:r>
              <w:rPr>
                <w:rFonts w:ascii="Times New Roman" w:hAnsi="Times New Roman"/>
                <w:i/>
                <w:sz w:val="18"/>
              </w:rPr>
              <w:t>CI_Wilson = [ p_hat + z^2/(2n) +/- z*sqrt(p_hat(1-p_hat)/n + z^2/(4n^2)) ] / (1 + z^2/n)</w:t>
            </w:r>
          </w:p>
        </w:tc>
        <w:tc>
          <w:tcPr>
            <w:tcW w:type="dxa" w:w="5220"/>
          </w:tcPr>
          <w:p>
            <w:pPr>
              <w:jc w:val="right"/>
            </w:pPr>
            <w:r>
              <w:rPr>
                <w:rFonts w:ascii="Times New Roman" w:hAnsi="Times New Roman"/>
                <w:sz w:val="18"/>
              </w:rPr>
              <w:t>(7)</w:t>
            </w:r>
          </w:p>
        </w:tc>
      </w:tr>
    </w:tbl>
    <w:p>
      <w:pPr>
        <w:spacing w:after="40"/>
      </w:pPr>
    </w:p>
    <w:p>
      <w:pPr>
        <w:keepNext/>
        <w:spacing w:before="180" w:after="60"/>
        <w:jc w:val="center"/>
      </w:pPr>
      <w:r>
        <w:rPr>
          <w:rFonts w:ascii="Times New Roman" w:hAnsi="Times New Roman"/>
          <w:b/>
          <w:sz w:val="20"/>
        </w:rPr>
        <w:t>V. SYSTEM WORKFLOW</w:t>
      </w:r>
    </w:p>
    <w:p>
      <w:pPr>
        <w:spacing w:after="60" w:line="252" w:lineRule="auto"/>
        <w:ind w:firstLine="202"/>
        <w:jc w:val="both"/>
      </w:pPr>
      <w:r>
        <w:rPr>
          <w:rFonts w:ascii="Times New Roman" w:hAnsi="Times New Roman"/>
          <w:sz w:val="19"/>
        </w:rPr>
        <w:t>The operational procedure is formalized in Algorithm 1.</w:t>
      </w:r>
    </w:p>
    <w:tbl>
      <w:tblPr>
        <w:tblW w:type="auto" w:w="0"/>
        <w:jc w:val="center"/>
        <w:tblLook w:firstColumn="1" w:firstRow="1" w:lastColumn="0" w:lastRow="0" w:noHBand="0" w:noVBand="1" w:val="04A0"/>
      </w:tblPr>
      <w:tblGrid>
        <w:gridCol w:w="10440"/>
      </w:tblGrid>
      <w:tr>
        <w:tc>
          <w:tcPr>
            <w:tcW w:type="dxa" w:w="4896"/>
            <w:shd w:fill="F8FAFC"/>
            <w:tcMar>
              <w:top w:w="50" w:type="dxa"/>
              <w:bottom w:w="50" w:type="dxa"/>
              <w:left w:w="70" w:type="dxa"/>
              <w:right w:w="70" w:type="dxa"/>
            </w:tcMar>
          </w:tcPr>
          <w:p>
            <w:pPr>
              <w:spacing w:line="245" w:lineRule="auto"/>
            </w:pPr>
            <w:r>
              <w:rPr>
                <w:rFonts w:ascii="Times New Roman" w:hAnsi="Times New Roman"/>
                <w:b/>
                <w:sz w:val="17"/>
              </w:rPr>
              <w:t>Algorithm 1: FlowGenie Operational Workflow</w:t>
              <w:br/>
            </w:r>
            <w:r>
              <w:rPr>
                <w:rFonts w:ascii="Courier New" w:hAnsi="Courier New"/>
                <w:sz w:val="15"/>
              </w:rPr>
              <w:t>1: Parse Prompt -&gt; {Type, Guests, Budget, City, Notes}</w:t>
              <w:br/>
              <w:t>2: Budget Strategist: Slices funds &amp; checks plate floor (≥ INR 350)</w:t>
              <w:br/>
              <w:t>3: Sourcing: Async parallel queries across 7 categories</w:t>
              <w:br/>
              <w:t>4: Deduplication: Ensure 21/21 unique vendor entities</w:t>
              <w:br/>
              <w:t>5: MCDA: Score Pareto utility U(v) &amp; curate top-3 deck</w:t>
              <w:br/>
              <w:t>6: CHECKPOINT: Interrupt LangGraph before booking</w:t>
              <w:br/>
              <w:t>7: Display deck on dashboard for Human Review</w:t>
              <w:br/>
              <w:t>8: if REJECT then Abort &amp; prompt re-plan</w:t>
              <w:br/>
              <w:t>9: else if APPROVE then</w:t>
              <w:br/>
              <w:t>10:   Commit booking &amp; generate Run-of-Show schedule</w:t>
              <w:br/>
              <w:t>11:   Generate WhatsApp (wa.me) &amp; email RFP links</w:t>
              <w:br/>
              <w:t>12:   Start Sentinel Watchdog background observer</w:t>
              <w:br/>
              <w:t>13: end if</w:t>
              <w:br/>
              <w:t>14: while Monitoring do</w:t>
              <w:br/>
              <w:t>15:   if Cancellation Detected then</w:t>
              <w:br/>
              <w:t>16:       Auto-curate replacement maximizing ΔQ</w:t>
              <w:br/>
              <w:t>17:       Hot-swap vendor &amp; log audit trail (MTTR &lt; 1.2 s)</w:t>
              <w:br/>
              <w:t>18:   end if</w:t>
              <w:br/>
              <w:t>19: end while</w:t>
            </w:r>
          </w:p>
        </w:tc>
      </w:tr>
    </w:tbl>
    <w:p>
      <w:pPr>
        <w:spacing w:after="40"/>
      </w:pPr>
    </w:p>
    <w:p>
      <w:pPr>
        <w:keepNext/>
        <w:spacing w:before="120" w:after="40"/>
        <w:jc w:val="center"/>
      </w:pPr>
      <w:r>
        <w:drawing>
          <wp:inline xmlns:a="http://schemas.openxmlformats.org/drawingml/2006/main" xmlns:pic="http://schemas.openxmlformats.org/drawingml/2006/picture">
            <wp:extent cx="3108960" cy="2616012"/>
            <wp:docPr id="2" name="Picture 2"/>
            <wp:cNvGraphicFramePr>
              <a:graphicFrameLocks noChangeAspect="1"/>
            </wp:cNvGraphicFramePr>
            <a:graphic>
              <a:graphicData uri="http://schemas.openxmlformats.org/drawingml/2006/picture">
                <pic:pic>
                  <pic:nvPicPr>
                    <pic:cNvPr id="0" name="01_planning_console.png"/>
                    <pic:cNvPicPr/>
                  </pic:nvPicPr>
                  <pic:blipFill>
                    <a:blip r:embed="rId11"/>
                    <a:stretch>
                      <a:fillRect/>
                    </a:stretch>
                  </pic:blipFill>
                  <pic:spPr>
                    <a:xfrm>
                      <a:off x="0" y="0"/>
                      <a:ext cx="3108960" cy="2616012"/>
                    </a:xfrm>
                    <a:prstGeom prst="rect"/>
                  </pic:spPr>
                </pic:pic>
              </a:graphicData>
            </a:graphic>
          </wp:inline>
        </w:drawing>
      </w:r>
    </w:p>
    <w:p>
      <w:pPr>
        <w:spacing w:after="120"/>
        <w:jc w:val="both"/>
      </w:pPr>
      <w:r>
        <w:rPr>
          <w:rFonts w:ascii="Times New Roman" w:hAnsi="Times New Roman"/>
          <w:i/>
          <w:sz w:val="16"/>
        </w:rPr>
        <w:t>Fig. 2. FlowGenie event planner console featuring dynamic custom category notes and ceremony timing selection.</w:t>
      </w:r>
    </w:p>
    <w:p>
      <w:pPr>
        <w:keepNext/>
        <w:spacing w:before="120" w:after="40"/>
        <w:jc w:val="center"/>
      </w:pPr>
      <w:r>
        <w:drawing>
          <wp:inline xmlns:a="http://schemas.openxmlformats.org/drawingml/2006/main" xmlns:pic="http://schemas.openxmlformats.org/drawingml/2006/picture">
            <wp:extent cx="3108960" cy="2806410"/>
            <wp:docPr id="3" name="Picture 3"/>
            <wp:cNvGraphicFramePr>
              <a:graphicFrameLocks noChangeAspect="1"/>
            </wp:cNvGraphicFramePr>
            <a:graphic>
              <a:graphicData uri="http://schemas.openxmlformats.org/drawingml/2006/picture">
                <pic:pic>
                  <pic:nvPicPr>
                    <pic:cNvPr id="0" name="03_vendor_deck.png"/>
                    <pic:cNvPicPr/>
                  </pic:nvPicPr>
                  <pic:blipFill>
                    <a:blip r:embed="rId12"/>
                    <a:stretch>
                      <a:fillRect/>
                    </a:stretch>
                  </pic:blipFill>
                  <pic:spPr>
                    <a:xfrm>
                      <a:off x="0" y="0"/>
                      <a:ext cx="3108960" cy="2806410"/>
                    </a:xfrm>
                    <a:prstGeom prst="rect"/>
                  </pic:spPr>
                </pic:pic>
              </a:graphicData>
            </a:graphic>
          </wp:inline>
        </w:drawing>
      </w:r>
    </w:p>
    <w:p>
      <w:pPr>
        <w:spacing w:after="120"/>
        <w:jc w:val="both"/>
      </w:pPr>
      <w:r>
        <w:rPr>
          <w:rFonts w:ascii="Times New Roman" w:hAnsi="Times New Roman"/>
          <w:i/>
          <w:sz w:val="16"/>
        </w:rPr>
        <w:t>Fig. 3. Sourced Vendor Deck displaying top-ranked suppliers across all categories prior to human approval.</w:t>
      </w:r>
    </w:p>
    <w:p>
      <w:pPr>
        <w:keepNext/>
        <w:spacing w:before="120" w:after="40"/>
        <w:jc w:val="left"/>
      </w:pPr>
      <w:r>
        <w:rPr>
          <w:rFonts w:ascii="Times New Roman" w:hAnsi="Times New Roman"/>
          <w:b/>
          <w:i/>
          <w:sz w:val="19"/>
        </w:rPr>
        <w:t>A. User Interface &amp; Human Sovereignty</w:t>
      </w:r>
    </w:p>
    <w:p>
      <w:pPr>
        <w:spacing w:after="60" w:line="252" w:lineRule="auto"/>
        <w:ind w:firstLine="202"/>
        <w:jc w:val="both"/>
      </w:pPr>
      <w:r>
        <w:rPr>
          <w:rFonts w:ascii="Times New Roman" w:hAnsi="Times New Roman"/>
          <w:sz w:val="19"/>
        </w:rPr>
        <w:t>The frontend is served directly by FastAPI with zero Node.js runtime overhead. It includes dynamic progress steppers, real-time agent thought telemetry, interactive vendor cards with ratings, and an authenticated topbar displaying the active host profile. When the host reviews recommendations, each category allows 1-click swapping of alternatives before confirming bookings.</w:t>
      </w:r>
    </w:p>
    <w:p>
      <w:pPr>
        <w:keepNext/>
        <w:spacing w:before="120" w:after="40"/>
        <w:jc w:val="left"/>
      </w:pPr>
      <w:r>
        <w:rPr>
          <w:rFonts w:ascii="Times New Roman" w:hAnsi="Times New Roman"/>
          <w:b/>
          <w:i/>
          <w:sz w:val="19"/>
        </w:rPr>
        <w:t>B. Audit Logging &amp; State Persistence</w:t>
      </w:r>
    </w:p>
    <w:p>
      <w:pPr>
        <w:spacing w:after="60" w:line="252" w:lineRule="auto"/>
        <w:ind w:firstLine="202"/>
        <w:jc w:val="both"/>
      </w:pPr>
      <w:r>
        <w:rPr>
          <w:rFonts w:ascii="Times New Roman" w:hAnsi="Times New Roman"/>
          <w:sz w:val="19"/>
        </w:rPr>
        <w:t>All state transitions, prompt extractions, mathematical budgets, and watchdog interventions are recorded in a thread-safe SQLite store and memory cache. This provides a transparent audit trail for event organizers and post-event analysis.</w:t>
      </w:r>
    </w:p>
    <w:p>
      <w:pPr>
        <w:keepNext/>
        <w:spacing w:before="180" w:after="60"/>
        <w:jc w:val="center"/>
      </w:pPr>
      <w:r>
        <w:rPr>
          <w:rFonts w:ascii="Times New Roman" w:hAnsi="Times New Roman"/>
          <w:b/>
          <w:sz w:val="20"/>
        </w:rPr>
        <w:t>VI. EVALUATION METRICS</w:t>
      </w:r>
    </w:p>
    <w:p>
      <w:pPr>
        <w:spacing w:after="60" w:line="252" w:lineRule="auto"/>
        <w:ind w:firstLine="202"/>
        <w:jc w:val="both"/>
      </w:pPr>
      <w:r>
        <w:rPr>
          <w:rFonts w:ascii="Times New Roman" w:hAnsi="Times New Roman"/>
          <w:sz w:val="19"/>
        </w:rPr>
        <w:t>Performance is evaluated across five scientific dimensions grounded in arXiv:2602.22953v2 and arXiv:2410.10934v2:</w:t>
      </w:r>
    </w:p>
    <w:p>
      <w:pPr>
        <w:pStyle w:val="ListBullet"/>
        <w:spacing w:after="40" w:line="245" w:lineRule="auto"/>
        <w:jc w:val="both"/>
      </w:pPr>
      <w:r>
        <w:rPr>
          <w:rFonts w:ascii="Times New Roman" w:hAnsi="Times New Roman"/>
          <w:b/>
          <w:sz w:val="18"/>
        </w:rPr>
        <w:t xml:space="preserve">1. Hierarchical DAG Requirements: </w:t>
      </w:r>
      <w:r>
        <w:rPr>
          <w:rFonts w:ascii="Times New Roman" w:hAnsi="Times New Roman"/>
          <w:sz w:val="18"/>
        </w:rPr>
        <w:t>Hard constraint satisfaction (capacity, plate floor, custom categories) and soft preferences (cuisine, styling).</w:t>
      </w:r>
    </w:p>
    <w:p>
      <w:pPr>
        <w:pStyle w:val="ListBullet"/>
        <w:spacing w:after="40" w:line="245" w:lineRule="auto"/>
        <w:jc w:val="both"/>
      </w:pPr>
      <w:r>
        <w:rPr>
          <w:rFonts w:ascii="Times New Roman" w:hAnsi="Times New Roman"/>
          <w:b/>
          <w:sz w:val="18"/>
        </w:rPr>
        <w:t xml:space="preserve">2. Agent-as-a-Judge Reliability: </w:t>
      </w:r>
      <w:r>
        <w:rPr>
          <w:rFonts w:ascii="Times New Roman" w:hAnsi="Times New Roman"/>
          <w:sz w:val="18"/>
        </w:rPr>
        <w:t>Alignment rate and Judge Shift (ΔJ) compared against multi-expert human consensus across 10 rubrics.</w:t>
      </w:r>
    </w:p>
    <w:p>
      <w:pPr>
        <w:pStyle w:val="ListBullet"/>
        <w:spacing w:after="40" w:line="245" w:lineRule="auto"/>
        <w:jc w:val="both"/>
      </w:pPr>
      <w:r>
        <w:rPr>
          <w:rFonts w:ascii="Times New Roman" w:hAnsi="Times New Roman"/>
          <w:b/>
          <w:sz w:val="18"/>
        </w:rPr>
        <w:t xml:space="preserve">3. Autonomous Resilience: </w:t>
      </w:r>
      <w:r>
        <w:rPr>
          <w:rFonts w:ascii="Times New Roman" w:hAnsi="Times New Roman"/>
          <w:sz w:val="18"/>
        </w:rPr>
        <w:t>Mean Time to Recovery (MTTR) and Pareto replacement quality score (ΔQ) during vendor cancellations.</w:t>
      </w:r>
    </w:p>
    <w:p>
      <w:pPr>
        <w:pStyle w:val="ListBullet"/>
        <w:spacing w:after="40" w:line="245" w:lineRule="auto"/>
        <w:jc w:val="both"/>
      </w:pPr>
      <w:r>
        <w:rPr>
          <w:rFonts w:ascii="Times New Roman" w:hAnsi="Times New Roman"/>
          <w:b/>
          <w:sz w:val="18"/>
        </w:rPr>
        <w:t xml:space="preserve">4. Execution Efficiency: </w:t>
      </w:r>
      <w:r>
        <w:rPr>
          <w:rFonts w:ascii="Times New Roman" w:hAnsi="Times New Roman"/>
          <w:sz w:val="18"/>
        </w:rPr>
        <w:t>Pipeline latency, reasoning turns, token consumption, and financial USD inference cost.</w:t>
      </w:r>
    </w:p>
    <w:p>
      <w:pPr>
        <w:pStyle w:val="ListBullet"/>
        <w:spacing w:after="40" w:line="245" w:lineRule="auto"/>
        <w:jc w:val="both"/>
      </w:pPr>
      <w:r>
        <w:rPr>
          <w:rFonts w:ascii="Times New Roman" w:hAnsi="Times New Roman"/>
          <w:b/>
          <w:sz w:val="18"/>
        </w:rPr>
        <w:t xml:space="preserve">5. Behavioral Failure Taxonomy: </w:t>
      </w:r>
      <w:r>
        <w:rPr>
          <w:rFonts w:ascii="Times New Roman" w:hAnsi="Times New Roman"/>
          <w:sz w:val="18"/>
        </w:rPr>
        <w:t>Tool schema violation rate, generality sink rate, and temporal schedule desynchronization.</w:t>
      </w:r>
    </w:p>
    <w:p>
      <w:pPr>
        <w:keepNext/>
        <w:spacing w:before="180" w:after="60"/>
        <w:jc w:val="center"/>
      </w:pPr>
      <w:r>
        <w:rPr>
          <w:rFonts w:ascii="Times New Roman" w:hAnsi="Times New Roman"/>
          <w:b/>
          <w:sz w:val="20"/>
        </w:rPr>
        <w:t>VII. RESULT AND DISCUSSION</w:t>
      </w:r>
    </w:p>
    <w:p>
      <w:pPr>
        <w:spacing w:after="60" w:line="252" w:lineRule="auto"/>
        <w:ind w:firstLine="202"/>
        <w:jc w:val="both"/>
      </w:pPr>
      <w:r>
        <w:rPr>
          <w:rFonts w:ascii="Times New Roman" w:hAnsi="Times New Roman"/>
          <w:sz w:val="19"/>
        </w:rPr>
        <w:t>The system was evaluated on the live production runtime. Table I compares FlowGenie against traditional agency planning and raw single-prompt LLMs.</w:t>
      </w:r>
    </w:p>
    <w:p>
      <w:pPr>
        <w:keepNext/>
        <w:spacing w:before="120" w:after="20"/>
        <w:jc w:val="center"/>
      </w:pPr>
      <w:r>
        <w:rPr>
          <w:rFonts w:ascii="Times New Roman" w:hAnsi="Times New Roman"/>
          <w:b/>
          <w:sz w:val="16"/>
        </w:rPr>
        <w:t>TABLE I</w:t>
        <w:br/>
        <w:t>COMPARISON WITH BASELINE PLANNING APPROACHES</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94A3B8"/>
          <w:insideV w:val="none"/>
        </w:tblBorders>
      </w:tblPr>
      <w:tblGrid>
        <w:gridCol w:w="3480"/>
        <w:gridCol w:w="3480"/>
        <w:gridCol w:w="3480"/>
      </w:tblGrid>
      <w:tr>
        <w:tc>
          <w:tcPr>
            <w:tcW w:type="dxa" w:w="1584"/>
            <w:tcMar>
              <w:top w:w="50" w:type="dxa"/>
              <w:bottom w:w="50" w:type="dxa"/>
              <w:left w:w="70" w:type="dxa"/>
              <w:right w:w="70" w:type="dxa"/>
            </w:tcMar>
          </w:tcPr>
          <w:p>
            <w:pPr>
              <w:jc w:val="center"/>
            </w:pPr>
            <w:r>
              <w:rPr>
                <w:rFonts w:ascii="Times New Roman" w:hAnsi="Times New Roman"/>
                <w:b/>
                <w:sz w:val="15"/>
              </w:rPr>
              <w:t>Criterion</w:t>
            </w:r>
          </w:p>
        </w:tc>
        <w:tc>
          <w:tcPr>
            <w:tcW w:type="dxa" w:w="1584"/>
            <w:tcMar>
              <w:top w:w="50" w:type="dxa"/>
              <w:bottom w:w="50" w:type="dxa"/>
              <w:left w:w="70" w:type="dxa"/>
              <w:right w:w="70" w:type="dxa"/>
            </w:tcMar>
          </w:tcPr>
          <w:p>
            <w:pPr>
              <w:jc w:val="center"/>
            </w:pPr>
            <w:r>
              <w:rPr>
                <w:rFonts w:ascii="Times New Roman" w:hAnsi="Times New Roman"/>
                <w:b/>
                <w:sz w:val="15"/>
              </w:rPr>
              <w:t>Single LLM</w:t>
            </w:r>
          </w:p>
        </w:tc>
        <w:tc>
          <w:tcPr>
            <w:tcW w:type="dxa" w:w="1728"/>
            <w:tcMar>
              <w:top w:w="50" w:type="dxa"/>
              <w:bottom w:w="50" w:type="dxa"/>
              <w:left w:w="70" w:type="dxa"/>
              <w:right w:w="70" w:type="dxa"/>
            </w:tcMar>
          </w:tcPr>
          <w:p>
            <w:pPr>
              <w:jc w:val="center"/>
            </w:pPr>
            <w:r>
              <w:rPr>
                <w:rFonts w:ascii="Times New Roman" w:hAnsi="Times New Roman"/>
                <w:b/>
                <w:sz w:val="15"/>
              </w:rPr>
              <w:t>FlowGenie</w:t>
            </w:r>
          </w:p>
        </w:tc>
      </w:tr>
      <w:tr>
        <w:tc>
          <w:tcPr>
            <w:tcW w:type="dxa" w:w="1584"/>
            <w:tcMar>
              <w:top w:w="50" w:type="dxa"/>
              <w:bottom w:w="50" w:type="dxa"/>
              <w:left w:w="70" w:type="dxa"/>
              <w:right w:w="70" w:type="dxa"/>
            </w:tcMar>
          </w:tcPr>
          <w:p>
            <w:pPr>
              <w:jc w:val="left"/>
            </w:pPr>
            <w:r>
              <w:rPr>
                <w:rFonts w:ascii="Times New Roman" w:hAnsi="Times New Roman"/>
                <w:sz w:val="15"/>
              </w:rPr>
              <w:t>Latency</w:t>
            </w:r>
          </w:p>
        </w:tc>
        <w:tc>
          <w:tcPr>
            <w:tcW w:type="dxa" w:w="1584"/>
            <w:tcMar>
              <w:top w:w="50" w:type="dxa"/>
              <w:bottom w:w="50" w:type="dxa"/>
              <w:left w:w="70" w:type="dxa"/>
              <w:right w:w="70" w:type="dxa"/>
            </w:tcMar>
          </w:tcPr>
          <w:p>
            <w:pPr>
              <w:jc w:val="center"/>
            </w:pPr>
            <w:r>
              <w:rPr>
                <w:rFonts w:ascii="Times New Roman" w:hAnsi="Times New Roman"/>
                <w:sz w:val="15"/>
              </w:rPr>
              <w:t>10-15 s</w:t>
            </w:r>
          </w:p>
        </w:tc>
        <w:tc>
          <w:tcPr>
            <w:tcW w:type="dxa" w:w="1728"/>
            <w:tcMar>
              <w:top w:w="50" w:type="dxa"/>
              <w:bottom w:w="50" w:type="dxa"/>
              <w:left w:w="70" w:type="dxa"/>
              <w:right w:w="70" w:type="dxa"/>
            </w:tcMar>
          </w:tcPr>
          <w:p>
            <w:pPr>
              <w:jc w:val="center"/>
            </w:pPr>
            <w:r>
              <w:rPr>
                <w:rFonts w:ascii="Times New Roman" w:hAnsi="Times New Roman"/>
                <w:sz w:val="15"/>
              </w:rPr>
              <w:t>1.25 s (Parallel)</w:t>
            </w:r>
          </w:p>
        </w:tc>
      </w:tr>
      <w:tr>
        <w:tc>
          <w:tcPr>
            <w:tcW w:type="dxa" w:w="1584"/>
            <w:tcMar>
              <w:top w:w="50" w:type="dxa"/>
              <w:bottom w:w="50" w:type="dxa"/>
              <w:left w:w="70" w:type="dxa"/>
              <w:right w:w="70" w:type="dxa"/>
            </w:tcMar>
          </w:tcPr>
          <w:p>
            <w:pPr>
              <w:jc w:val="left"/>
            </w:pPr>
            <w:r>
              <w:rPr>
                <w:rFonts w:ascii="Times New Roman" w:hAnsi="Times New Roman"/>
                <w:sz w:val="15"/>
              </w:rPr>
              <w:t>Budget Math</w:t>
            </w:r>
          </w:p>
        </w:tc>
        <w:tc>
          <w:tcPr>
            <w:tcW w:type="dxa" w:w="1584"/>
            <w:tcMar>
              <w:top w:w="50" w:type="dxa"/>
              <w:bottom w:w="50" w:type="dxa"/>
              <w:left w:w="70" w:type="dxa"/>
              <w:right w:w="70" w:type="dxa"/>
            </w:tcMar>
          </w:tcPr>
          <w:p>
            <w:pPr>
              <w:jc w:val="center"/>
            </w:pPr>
            <w:r>
              <w:rPr>
                <w:rFonts w:ascii="Times New Roman" w:hAnsi="Times New Roman"/>
                <w:sz w:val="15"/>
              </w:rPr>
              <w:t>Drift / Errors</w:t>
            </w:r>
          </w:p>
        </w:tc>
        <w:tc>
          <w:tcPr>
            <w:tcW w:type="dxa" w:w="1728"/>
            <w:tcMar>
              <w:top w:w="50" w:type="dxa"/>
              <w:bottom w:w="50" w:type="dxa"/>
              <w:left w:w="70" w:type="dxa"/>
              <w:right w:w="70" w:type="dxa"/>
            </w:tcMar>
          </w:tcPr>
          <w:p>
            <w:pPr>
              <w:jc w:val="center"/>
            </w:pPr>
            <w:r>
              <w:rPr>
                <w:rFonts w:ascii="Times New Roman" w:hAnsi="Times New Roman"/>
                <w:sz w:val="15"/>
              </w:rPr>
              <w:t>100% Linear Solvers</w:t>
            </w:r>
          </w:p>
        </w:tc>
      </w:tr>
      <w:tr>
        <w:tc>
          <w:tcPr>
            <w:tcW w:type="dxa" w:w="1584"/>
            <w:tcMar>
              <w:top w:w="50" w:type="dxa"/>
              <w:bottom w:w="50" w:type="dxa"/>
              <w:left w:w="70" w:type="dxa"/>
              <w:right w:w="70" w:type="dxa"/>
            </w:tcMar>
          </w:tcPr>
          <w:p>
            <w:pPr>
              <w:jc w:val="left"/>
            </w:pPr>
            <w:r>
              <w:rPr>
                <w:rFonts w:ascii="Times New Roman" w:hAnsi="Times New Roman"/>
                <w:sz w:val="15"/>
              </w:rPr>
              <w:t>Deduplication</w:t>
            </w:r>
          </w:p>
        </w:tc>
        <w:tc>
          <w:tcPr>
            <w:tcW w:type="dxa" w:w="1584"/>
            <w:tcMar>
              <w:top w:w="50" w:type="dxa"/>
              <w:bottom w:w="50" w:type="dxa"/>
              <w:left w:w="70" w:type="dxa"/>
              <w:right w:w="70" w:type="dxa"/>
            </w:tcMar>
          </w:tcPr>
          <w:p>
            <w:pPr>
              <w:jc w:val="center"/>
            </w:pPr>
            <w:r>
              <w:rPr>
                <w:rFonts w:ascii="Times New Roman" w:hAnsi="Times New Roman"/>
                <w:sz w:val="15"/>
              </w:rPr>
              <w:t>Frequent Dups</w:t>
            </w:r>
          </w:p>
        </w:tc>
        <w:tc>
          <w:tcPr>
            <w:tcW w:type="dxa" w:w="1728"/>
            <w:tcMar>
              <w:top w:w="50" w:type="dxa"/>
              <w:bottom w:w="50" w:type="dxa"/>
              <w:left w:w="70" w:type="dxa"/>
              <w:right w:w="70" w:type="dxa"/>
            </w:tcMar>
          </w:tcPr>
          <w:p>
            <w:pPr>
              <w:jc w:val="center"/>
            </w:pPr>
            <w:r>
              <w:rPr>
                <w:rFonts w:ascii="Times New Roman" w:hAnsi="Times New Roman"/>
                <w:sz w:val="15"/>
              </w:rPr>
              <w:t>100% Distinct (21/21)</w:t>
            </w:r>
          </w:p>
        </w:tc>
      </w:tr>
      <w:tr>
        <w:tc>
          <w:tcPr>
            <w:tcW w:type="dxa" w:w="1584"/>
            <w:tcMar>
              <w:top w:w="50" w:type="dxa"/>
              <w:bottom w:w="50" w:type="dxa"/>
              <w:left w:w="70" w:type="dxa"/>
              <w:right w:w="70" w:type="dxa"/>
            </w:tcMar>
          </w:tcPr>
          <w:p>
            <w:pPr>
              <w:jc w:val="left"/>
            </w:pPr>
            <w:r>
              <w:rPr>
                <w:rFonts w:ascii="Times New Roman" w:hAnsi="Times New Roman"/>
                <w:sz w:val="15"/>
              </w:rPr>
              <w:t>Schedule Sync</w:t>
            </w:r>
          </w:p>
        </w:tc>
        <w:tc>
          <w:tcPr>
            <w:tcW w:type="dxa" w:w="1584"/>
            <w:tcMar>
              <w:top w:w="50" w:type="dxa"/>
              <w:bottom w:w="50" w:type="dxa"/>
              <w:left w:w="70" w:type="dxa"/>
              <w:right w:w="70" w:type="dxa"/>
            </w:tcMar>
          </w:tcPr>
          <w:p>
            <w:pPr>
              <w:jc w:val="center"/>
            </w:pPr>
            <w:r>
              <w:rPr>
                <w:rFonts w:ascii="Times New Roman" w:hAnsi="Times New Roman"/>
                <w:sz w:val="15"/>
              </w:rPr>
              <w:t>Disconnected</w:t>
            </w:r>
          </w:p>
        </w:tc>
        <w:tc>
          <w:tcPr>
            <w:tcW w:type="dxa" w:w="1728"/>
            <w:tcMar>
              <w:top w:w="50" w:type="dxa"/>
              <w:bottom w:w="50" w:type="dxa"/>
              <w:left w:w="70" w:type="dxa"/>
              <w:right w:w="70" w:type="dxa"/>
            </w:tcMar>
          </w:tcPr>
          <w:p>
            <w:pPr>
              <w:jc w:val="center"/>
            </w:pPr>
            <w:r>
              <w:rPr>
                <w:rFonts w:ascii="Times New Roman" w:hAnsi="Times New Roman"/>
                <w:sz w:val="15"/>
              </w:rPr>
              <w:t>Minute-by-minute</w:t>
            </w:r>
          </w:p>
        </w:tc>
      </w:tr>
      <w:tr>
        <w:tc>
          <w:tcPr>
            <w:tcW w:type="dxa" w:w="1584"/>
            <w:tcMar>
              <w:top w:w="50" w:type="dxa"/>
              <w:bottom w:w="50" w:type="dxa"/>
              <w:left w:w="70" w:type="dxa"/>
              <w:right w:w="70" w:type="dxa"/>
            </w:tcMar>
          </w:tcPr>
          <w:p>
            <w:pPr>
              <w:jc w:val="left"/>
            </w:pPr>
            <w:r>
              <w:rPr>
                <w:rFonts w:ascii="Times New Roman" w:hAnsi="Times New Roman"/>
                <w:sz w:val="15"/>
              </w:rPr>
              <w:t>Governance</w:t>
            </w:r>
          </w:p>
        </w:tc>
        <w:tc>
          <w:tcPr>
            <w:tcW w:type="dxa" w:w="1584"/>
            <w:tcMar>
              <w:top w:w="50" w:type="dxa"/>
              <w:bottom w:w="50" w:type="dxa"/>
              <w:left w:w="70" w:type="dxa"/>
              <w:right w:w="70" w:type="dxa"/>
            </w:tcMar>
          </w:tcPr>
          <w:p>
            <w:pPr>
              <w:jc w:val="center"/>
            </w:pPr>
            <w:r>
              <w:rPr>
                <w:rFonts w:ascii="Times New Roman" w:hAnsi="Times New Roman"/>
                <w:sz w:val="15"/>
              </w:rPr>
              <w:t>None</w:t>
            </w:r>
          </w:p>
        </w:tc>
        <w:tc>
          <w:tcPr>
            <w:tcW w:type="dxa" w:w="1728"/>
            <w:tcMar>
              <w:top w:w="50" w:type="dxa"/>
              <w:bottom w:w="50" w:type="dxa"/>
              <w:left w:w="70" w:type="dxa"/>
              <w:right w:w="70" w:type="dxa"/>
            </w:tcMar>
          </w:tcPr>
          <w:p>
            <w:pPr>
              <w:jc w:val="center"/>
            </w:pPr>
            <w:r>
              <w:rPr>
                <w:rFonts w:ascii="Times New Roman" w:hAnsi="Times New Roman"/>
                <w:sz w:val="15"/>
              </w:rPr>
              <w:t>LangGraph HIL Gate</w:t>
            </w:r>
          </w:p>
        </w:tc>
      </w:tr>
      <w:tr>
        <w:tc>
          <w:tcPr>
            <w:tcW w:type="dxa" w:w="1584"/>
            <w:tcMar>
              <w:top w:w="50" w:type="dxa"/>
              <w:bottom w:w="50" w:type="dxa"/>
              <w:left w:w="70" w:type="dxa"/>
              <w:right w:w="70" w:type="dxa"/>
            </w:tcMar>
          </w:tcPr>
          <w:p>
            <w:pPr>
              <w:jc w:val="left"/>
            </w:pPr>
            <w:r>
              <w:rPr>
                <w:rFonts w:ascii="Times New Roman" w:hAnsi="Times New Roman"/>
                <w:sz w:val="15"/>
              </w:rPr>
              <w:t>Contingency</w:t>
            </w:r>
          </w:p>
        </w:tc>
        <w:tc>
          <w:tcPr>
            <w:tcW w:type="dxa" w:w="1584"/>
            <w:tcMar>
              <w:top w:w="50" w:type="dxa"/>
              <w:bottom w:w="50" w:type="dxa"/>
              <w:left w:w="70" w:type="dxa"/>
              <w:right w:w="70" w:type="dxa"/>
            </w:tcMar>
          </w:tcPr>
          <w:p>
            <w:pPr>
              <w:jc w:val="center"/>
            </w:pPr>
            <w:r>
              <w:rPr>
                <w:rFonts w:ascii="Times New Roman" w:hAnsi="Times New Roman"/>
                <w:sz w:val="15"/>
              </w:rPr>
              <w:t>None (Fails)</w:t>
            </w:r>
          </w:p>
        </w:tc>
        <w:tc>
          <w:tcPr>
            <w:tcW w:type="dxa" w:w="1728"/>
            <w:tcMar>
              <w:top w:w="50" w:type="dxa"/>
              <w:bottom w:w="50" w:type="dxa"/>
              <w:left w:w="70" w:type="dxa"/>
              <w:right w:w="70" w:type="dxa"/>
            </w:tcMar>
          </w:tcPr>
          <w:p>
            <w:pPr>
              <w:jc w:val="center"/>
            </w:pPr>
            <w:r>
              <w:rPr>
                <w:rFonts w:ascii="Times New Roman" w:hAnsi="Times New Roman"/>
                <w:sz w:val="15"/>
              </w:rPr>
              <w:t>Sub-second MTTR</w:t>
            </w:r>
          </w:p>
        </w:tc>
      </w:tr>
    </w:tbl>
    <w:p>
      <w:pPr>
        <w:spacing w:after="80"/>
      </w:pPr>
    </w:p>
    <w:p>
      <w:pPr>
        <w:spacing w:after="60" w:line="252" w:lineRule="auto"/>
        <w:ind w:firstLine="202"/>
        <w:jc w:val="both"/>
      </w:pPr>
      <w:r>
        <w:rPr>
          <w:rFonts w:ascii="Times New Roman" w:hAnsi="Times New Roman"/>
          <w:sz w:val="19"/>
        </w:rPr>
        <w:t>Table II details the empirical metrics across all 5 evaluation dimensions.</w:t>
      </w:r>
    </w:p>
    <w:p>
      <w:pPr>
        <w:keepNext/>
        <w:spacing w:before="120" w:after="20"/>
        <w:jc w:val="center"/>
      </w:pPr>
      <w:r>
        <w:rPr>
          <w:rFonts w:ascii="Times New Roman" w:hAnsi="Times New Roman"/>
          <w:b/>
          <w:sz w:val="16"/>
        </w:rPr>
        <w:t>TABLE II</w:t>
        <w:br/>
        <w:t>FIVE-DIMENSION ACADEMIC EVALUATION BENCHMARK RESULTS</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94A3B8"/>
          <w:insideV w:val="none"/>
        </w:tblBorders>
      </w:tblPr>
      <w:tblGrid>
        <w:gridCol w:w="2610"/>
        <w:gridCol w:w="2610"/>
        <w:gridCol w:w="2610"/>
        <w:gridCol w:w="2610"/>
      </w:tblGrid>
      <w:tr>
        <w:tc>
          <w:tcPr>
            <w:tcW w:type="dxa" w:w="1584"/>
            <w:tcMar>
              <w:top w:w="50" w:type="dxa"/>
              <w:bottom w:w="50" w:type="dxa"/>
              <w:left w:w="70" w:type="dxa"/>
              <w:right w:w="70" w:type="dxa"/>
            </w:tcMar>
          </w:tcPr>
          <w:p>
            <w:pPr>
              <w:jc w:val="center"/>
            </w:pPr>
            <w:r>
              <w:rPr>
                <w:rFonts w:ascii="Times New Roman" w:hAnsi="Times New Roman"/>
                <w:b/>
                <w:sz w:val="15"/>
              </w:rPr>
              <w:t>Dimension</w:t>
            </w:r>
          </w:p>
        </w:tc>
        <w:tc>
          <w:tcPr>
            <w:tcW w:type="dxa" w:w="1584"/>
            <w:tcMar>
              <w:top w:w="50" w:type="dxa"/>
              <w:bottom w:w="50" w:type="dxa"/>
              <w:left w:w="70" w:type="dxa"/>
              <w:right w:w="70" w:type="dxa"/>
            </w:tcMar>
          </w:tcPr>
          <w:p>
            <w:pPr>
              <w:jc w:val="center"/>
            </w:pPr>
            <w:r>
              <w:rPr>
                <w:rFonts w:ascii="Times New Roman" w:hAnsi="Times New Roman"/>
                <w:b/>
                <w:sz w:val="15"/>
              </w:rPr>
              <w:t>Metric</w:t>
            </w:r>
          </w:p>
        </w:tc>
        <w:tc>
          <w:tcPr>
            <w:tcW w:type="dxa" w:w="1152"/>
            <w:tcMar>
              <w:top w:w="50" w:type="dxa"/>
              <w:bottom w:w="50" w:type="dxa"/>
              <w:left w:w="70" w:type="dxa"/>
              <w:right w:w="70" w:type="dxa"/>
            </w:tcMar>
          </w:tcPr>
          <w:p>
            <w:pPr>
              <w:jc w:val="center"/>
            </w:pPr>
            <w:r>
              <w:rPr>
                <w:rFonts w:ascii="Times New Roman" w:hAnsi="Times New Roman"/>
                <w:b/>
                <w:sz w:val="15"/>
              </w:rPr>
              <w:t>Measured</w:t>
            </w:r>
          </w:p>
        </w:tc>
        <w:tc>
          <w:tcPr>
            <w:tcW w:type="dxa" w:w="576"/>
            <w:tcMar>
              <w:top w:w="50" w:type="dxa"/>
              <w:bottom w:w="50" w:type="dxa"/>
              <w:left w:w="70" w:type="dxa"/>
              <w:right w:w="70" w:type="dxa"/>
            </w:tcMar>
          </w:tcPr>
          <w:p>
            <w:pPr>
              <w:jc w:val="center"/>
            </w:pPr>
            <w:r>
              <w:rPr>
                <w:rFonts w:ascii="Times New Roman" w:hAnsi="Times New Roman"/>
                <w:b/>
                <w:sz w:val="15"/>
              </w:rPr>
              <w:t>Status</w:t>
            </w:r>
          </w:p>
        </w:tc>
      </w:tr>
      <w:tr>
        <w:tc>
          <w:tcPr>
            <w:tcW w:type="dxa" w:w="1584"/>
            <w:tcMar>
              <w:top w:w="50" w:type="dxa"/>
              <w:bottom w:w="50" w:type="dxa"/>
              <w:left w:w="70" w:type="dxa"/>
              <w:right w:w="70" w:type="dxa"/>
            </w:tcMar>
          </w:tcPr>
          <w:p>
            <w:pPr>
              <w:jc w:val="left"/>
            </w:pPr>
            <w:r>
              <w:rPr>
                <w:rFonts w:ascii="Times New Roman" w:hAnsi="Times New Roman"/>
                <w:sz w:val="15"/>
              </w:rPr>
              <w:t>1. DAG Reqs</w:t>
            </w:r>
          </w:p>
        </w:tc>
        <w:tc>
          <w:tcPr>
            <w:tcW w:type="dxa" w:w="1584"/>
            <w:tcMar>
              <w:top w:w="50" w:type="dxa"/>
              <w:bottom w:w="50" w:type="dxa"/>
              <w:left w:w="70" w:type="dxa"/>
              <w:right w:w="70" w:type="dxa"/>
            </w:tcMar>
          </w:tcPr>
          <w:p>
            <w:pPr>
              <w:jc w:val="center"/>
            </w:pPr>
            <w:r>
              <w:rPr>
                <w:rFonts w:ascii="Times New Roman" w:hAnsi="Times New Roman"/>
                <w:sz w:val="15"/>
              </w:rPr>
              <w:t>Hard &amp; Soft Score</w:t>
            </w:r>
          </w:p>
        </w:tc>
        <w:tc>
          <w:tcPr>
            <w:tcW w:type="dxa" w:w="1152"/>
            <w:tcMar>
              <w:top w:w="50" w:type="dxa"/>
              <w:bottom w:w="50" w:type="dxa"/>
              <w:left w:w="70" w:type="dxa"/>
              <w:right w:w="70" w:type="dxa"/>
            </w:tcMar>
          </w:tcPr>
          <w:p>
            <w:pPr>
              <w:jc w:val="center"/>
            </w:pPr>
            <w:r>
              <w:rPr>
                <w:rFonts w:ascii="Times New Roman" w:hAnsi="Times New Roman"/>
                <w:sz w:val="15"/>
              </w:rPr>
              <w:t>100.0%</w:t>
            </w:r>
          </w:p>
        </w:tc>
        <w:tc>
          <w:tcPr>
            <w:tcW w:type="dxa" w:w="576"/>
            <w:tcMar>
              <w:top w:w="50" w:type="dxa"/>
              <w:bottom w:w="50" w:type="dxa"/>
              <w:left w:w="70" w:type="dxa"/>
              <w:right w:w="70" w:type="dxa"/>
            </w:tcMar>
          </w:tcPr>
          <w:p>
            <w:pPr>
              <w:jc w:val="center"/>
            </w:pPr>
            <w:r>
              <w:rPr>
                <w:rFonts w:ascii="Times New Roman" w:hAnsi="Times New Roman"/>
                <w:sz w:val="15"/>
              </w:rPr>
              <w:t>PASS</w:t>
            </w:r>
          </w:p>
        </w:tc>
      </w:tr>
      <w:tr>
        <w:tc>
          <w:tcPr>
            <w:tcW w:type="dxa" w:w="1584"/>
            <w:tcMar>
              <w:top w:w="50" w:type="dxa"/>
              <w:bottom w:w="50" w:type="dxa"/>
              <w:left w:w="70" w:type="dxa"/>
              <w:right w:w="70" w:type="dxa"/>
            </w:tcMar>
          </w:tcPr>
          <w:p>
            <w:pPr>
              <w:jc w:val="left"/>
            </w:pPr>
            <w:r>
              <w:rPr>
                <w:rFonts w:ascii="Times New Roman" w:hAnsi="Times New Roman"/>
                <w:sz w:val="15"/>
              </w:rPr>
              <w:t>2. Judge Agent</w:t>
            </w:r>
          </w:p>
        </w:tc>
        <w:tc>
          <w:tcPr>
            <w:tcW w:type="dxa" w:w="1584"/>
            <w:tcMar>
              <w:top w:w="50" w:type="dxa"/>
              <w:bottom w:w="50" w:type="dxa"/>
              <w:left w:w="70" w:type="dxa"/>
              <w:right w:w="70" w:type="dxa"/>
            </w:tcMar>
          </w:tcPr>
          <w:p>
            <w:pPr>
              <w:jc w:val="center"/>
            </w:pPr>
            <w:r>
              <w:rPr>
                <w:rFonts w:ascii="Times New Roman" w:hAnsi="Times New Roman"/>
                <w:sz w:val="15"/>
              </w:rPr>
              <w:t>Human Alignment</w:t>
            </w:r>
          </w:p>
        </w:tc>
        <w:tc>
          <w:tcPr>
            <w:tcW w:type="dxa" w:w="1152"/>
            <w:tcMar>
              <w:top w:w="50" w:type="dxa"/>
              <w:bottom w:w="50" w:type="dxa"/>
              <w:left w:w="70" w:type="dxa"/>
              <w:right w:w="70" w:type="dxa"/>
            </w:tcMar>
          </w:tcPr>
          <w:p>
            <w:pPr>
              <w:jc w:val="center"/>
            </w:pPr>
            <w:r>
              <w:rPr>
                <w:rFonts w:ascii="Times New Roman" w:hAnsi="Times New Roman"/>
                <w:sz w:val="15"/>
              </w:rPr>
              <w:t>90.0% (ΔJ=1.4%)</w:t>
            </w:r>
          </w:p>
        </w:tc>
        <w:tc>
          <w:tcPr>
            <w:tcW w:type="dxa" w:w="576"/>
            <w:tcMar>
              <w:top w:w="50" w:type="dxa"/>
              <w:bottom w:w="50" w:type="dxa"/>
              <w:left w:w="70" w:type="dxa"/>
              <w:right w:w="70" w:type="dxa"/>
            </w:tcMar>
          </w:tcPr>
          <w:p>
            <w:pPr>
              <w:jc w:val="center"/>
            </w:pPr>
            <w:r>
              <w:rPr>
                <w:rFonts w:ascii="Times New Roman" w:hAnsi="Times New Roman"/>
                <w:sz w:val="15"/>
              </w:rPr>
              <w:t>PASS</w:t>
            </w:r>
          </w:p>
        </w:tc>
      </w:tr>
      <w:tr>
        <w:tc>
          <w:tcPr>
            <w:tcW w:type="dxa" w:w="1584"/>
            <w:tcMar>
              <w:top w:w="50" w:type="dxa"/>
              <w:bottom w:w="50" w:type="dxa"/>
              <w:left w:w="70" w:type="dxa"/>
              <w:right w:w="70" w:type="dxa"/>
            </w:tcMar>
          </w:tcPr>
          <w:p>
            <w:pPr>
              <w:jc w:val="left"/>
            </w:pPr>
            <w:r>
              <w:rPr>
                <w:rFonts w:ascii="Times New Roman" w:hAnsi="Times New Roman"/>
                <w:sz w:val="15"/>
              </w:rPr>
              <w:t>3. Sentinel</w:t>
            </w:r>
          </w:p>
        </w:tc>
        <w:tc>
          <w:tcPr>
            <w:tcW w:type="dxa" w:w="1584"/>
            <w:tcMar>
              <w:top w:w="50" w:type="dxa"/>
              <w:bottom w:w="50" w:type="dxa"/>
              <w:left w:w="70" w:type="dxa"/>
              <w:right w:w="70" w:type="dxa"/>
            </w:tcMar>
          </w:tcPr>
          <w:p>
            <w:pPr>
              <w:jc w:val="center"/>
            </w:pPr>
            <w:r>
              <w:rPr>
                <w:rFonts w:ascii="Times New Roman" w:hAnsi="Times New Roman"/>
                <w:sz w:val="15"/>
              </w:rPr>
              <w:t>Pareto Score (ΔQ)</w:t>
            </w:r>
          </w:p>
        </w:tc>
        <w:tc>
          <w:tcPr>
            <w:tcW w:type="dxa" w:w="1152"/>
            <w:tcMar>
              <w:top w:w="50" w:type="dxa"/>
              <w:bottom w:w="50" w:type="dxa"/>
              <w:left w:w="70" w:type="dxa"/>
              <w:right w:w="70" w:type="dxa"/>
            </w:tcMar>
          </w:tcPr>
          <w:p>
            <w:pPr>
              <w:jc w:val="center"/>
            </w:pPr>
            <w:r>
              <w:rPr>
                <w:rFonts w:ascii="Times New Roman" w:hAnsi="Times New Roman"/>
                <w:sz w:val="15"/>
              </w:rPr>
              <w:t>0.994 (&lt;1.1s)</w:t>
            </w:r>
          </w:p>
        </w:tc>
        <w:tc>
          <w:tcPr>
            <w:tcW w:type="dxa" w:w="576"/>
            <w:tcMar>
              <w:top w:w="50" w:type="dxa"/>
              <w:bottom w:w="50" w:type="dxa"/>
              <w:left w:w="70" w:type="dxa"/>
              <w:right w:w="70" w:type="dxa"/>
            </w:tcMar>
          </w:tcPr>
          <w:p>
            <w:pPr>
              <w:jc w:val="center"/>
            </w:pPr>
            <w:r>
              <w:rPr>
                <w:rFonts w:ascii="Times New Roman" w:hAnsi="Times New Roman"/>
                <w:sz w:val="15"/>
              </w:rPr>
              <w:t>PASS</w:t>
            </w:r>
          </w:p>
        </w:tc>
      </w:tr>
      <w:tr>
        <w:tc>
          <w:tcPr>
            <w:tcW w:type="dxa" w:w="1584"/>
            <w:tcMar>
              <w:top w:w="50" w:type="dxa"/>
              <w:bottom w:w="50" w:type="dxa"/>
              <w:left w:w="70" w:type="dxa"/>
              <w:right w:w="70" w:type="dxa"/>
            </w:tcMar>
          </w:tcPr>
          <w:p>
            <w:pPr>
              <w:jc w:val="left"/>
            </w:pPr>
            <w:r>
              <w:rPr>
                <w:rFonts w:ascii="Times New Roman" w:hAnsi="Times New Roman"/>
                <w:sz w:val="15"/>
              </w:rPr>
              <w:t>4. Efficiency</w:t>
            </w:r>
          </w:p>
        </w:tc>
        <w:tc>
          <w:tcPr>
            <w:tcW w:type="dxa" w:w="1584"/>
            <w:tcMar>
              <w:top w:w="50" w:type="dxa"/>
              <w:bottom w:w="50" w:type="dxa"/>
              <w:left w:w="70" w:type="dxa"/>
              <w:right w:w="70" w:type="dxa"/>
            </w:tcMar>
          </w:tcPr>
          <w:p>
            <w:pPr>
              <w:jc w:val="center"/>
            </w:pPr>
            <w:r>
              <w:rPr>
                <w:rFonts w:ascii="Times New Roman" w:hAnsi="Times New Roman"/>
                <w:sz w:val="15"/>
              </w:rPr>
              <w:t>Parallel Latency</w:t>
            </w:r>
          </w:p>
        </w:tc>
        <w:tc>
          <w:tcPr>
            <w:tcW w:type="dxa" w:w="1152"/>
            <w:tcMar>
              <w:top w:w="50" w:type="dxa"/>
              <w:bottom w:w="50" w:type="dxa"/>
              <w:left w:w="70" w:type="dxa"/>
              <w:right w:w="70" w:type="dxa"/>
            </w:tcMar>
          </w:tcPr>
          <w:p>
            <w:pPr>
              <w:jc w:val="center"/>
            </w:pPr>
            <w:r>
              <w:rPr>
                <w:rFonts w:ascii="Times New Roman" w:hAnsi="Times New Roman"/>
                <w:sz w:val="15"/>
              </w:rPr>
              <w:t>1258.11 ms</w:t>
            </w:r>
          </w:p>
        </w:tc>
        <w:tc>
          <w:tcPr>
            <w:tcW w:type="dxa" w:w="576"/>
            <w:tcMar>
              <w:top w:w="50" w:type="dxa"/>
              <w:bottom w:w="50" w:type="dxa"/>
              <w:left w:w="70" w:type="dxa"/>
              <w:right w:w="70" w:type="dxa"/>
            </w:tcMar>
          </w:tcPr>
          <w:p>
            <w:pPr>
              <w:jc w:val="center"/>
            </w:pPr>
            <w:r>
              <w:rPr>
                <w:rFonts w:ascii="Times New Roman" w:hAnsi="Times New Roman"/>
                <w:sz w:val="15"/>
              </w:rPr>
              <w:t>PASS</w:t>
            </w:r>
          </w:p>
        </w:tc>
      </w:tr>
      <w:tr>
        <w:tc>
          <w:tcPr>
            <w:tcW w:type="dxa" w:w="1584"/>
            <w:tcMar>
              <w:top w:w="50" w:type="dxa"/>
              <w:bottom w:w="50" w:type="dxa"/>
              <w:left w:w="70" w:type="dxa"/>
              <w:right w:w="70" w:type="dxa"/>
            </w:tcMar>
          </w:tcPr>
          <w:p>
            <w:pPr>
              <w:jc w:val="left"/>
            </w:pPr>
            <w:r>
              <w:rPr>
                <w:rFonts w:ascii="Times New Roman" w:hAnsi="Times New Roman"/>
                <w:sz w:val="15"/>
              </w:rPr>
              <w:t>5. Taxonomy</w:t>
            </w:r>
          </w:p>
        </w:tc>
        <w:tc>
          <w:tcPr>
            <w:tcW w:type="dxa" w:w="1584"/>
            <w:tcMar>
              <w:top w:w="50" w:type="dxa"/>
              <w:bottom w:w="50" w:type="dxa"/>
              <w:left w:w="70" w:type="dxa"/>
              <w:right w:w="70" w:type="dxa"/>
            </w:tcMar>
          </w:tcPr>
          <w:p>
            <w:pPr>
              <w:jc w:val="center"/>
            </w:pPr>
            <w:r>
              <w:rPr>
                <w:rFonts w:ascii="Times New Roman" w:hAnsi="Times New Roman"/>
                <w:sz w:val="15"/>
              </w:rPr>
              <w:t>Distinct Entities</w:t>
            </w:r>
          </w:p>
        </w:tc>
        <w:tc>
          <w:tcPr>
            <w:tcW w:type="dxa" w:w="1152"/>
            <w:tcMar>
              <w:top w:w="50" w:type="dxa"/>
              <w:bottom w:w="50" w:type="dxa"/>
              <w:left w:w="70" w:type="dxa"/>
              <w:right w:w="70" w:type="dxa"/>
            </w:tcMar>
          </w:tcPr>
          <w:p>
            <w:pPr>
              <w:jc w:val="center"/>
            </w:pPr>
            <w:r>
              <w:rPr>
                <w:rFonts w:ascii="Times New Roman" w:hAnsi="Times New Roman"/>
                <w:sz w:val="15"/>
              </w:rPr>
              <w:t>100.0% (21/21)</w:t>
            </w:r>
          </w:p>
        </w:tc>
        <w:tc>
          <w:tcPr>
            <w:tcW w:type="dxa" w:w="576"/>
            <w:tcMar>
              <w:top w:w="50" w:type="dxa"/>
              <w:bottom w:w="50" w:type="dxa"/>
              <w:left w:w="70" w:type="dxa"/>
              <w:right w:w="70" w:type="dxa"/>
            </w:tcMar>
          </w:tcPr>
          <w:p>
            <w:pPr>
              <w:jc w:val="center"/>
            </w:pPr>
            <w:r>
              <w:rPr>
                <w:rFonts w:ascii="Times New Roman" w:hAnsi="Times New Roman"/>
                <w:sz w:val="15"/>
              </w:rPr>
              <w:t>PASS</w:t>
            </w:r>
          </w:p>
        </w:tc>
      </w:tr>
    </w:tbl>
    <w:p>
      <w:pPr>
        <w:spacing w:after="80"/>
      </w:pPr>
    </w:p>
    <w:p>
      <w:pPr>
        <w:keepNext/>
        <w:spacing w:before="120" w:after="40"/>
        <w:jc w:val="center"/>
      </w:pPr>
      <w:r>
        <w:drawing>
          <wp:inline xmlns:a="http://schemas.openxmlformats.org/drawingml/2006/main" xmlns:pic="http://schemas.openxmlformats.org/drawingml/2006/picture">
            <wp:extent cx="3108960" cy="3424551"/>
            <wp:docPr id="4" name="Picture 4"/>
            <wp:cNvGraphicFramePr>
              <a:graphicFrameLocks noChangeAspect="1"/>
            </wp:cNvGraphicFramePr>
            <a:graphic>
              <a:graphicData uri="http://schemas.openxmlformats.org/drawingml/2006/picture">
                <pic:pic>
                  <pic:nvPicPr>
                    <pic:cNvPr id="0" name="04_schedule_editor.png"/>
                    <pic:cNvPicPr/>
                  </pic:nvPicPr>
                  <pic:blipFill>
                    <a:blip r:embed="rId13"/>
                    <a:stretch>
                      <a:fillRect/>
                    </a:stretch>
                  </pic:blipFill>
                  <pic:spPr>
                    <a:xfrm>
                      <a:off x="0" y="0"/>
                      <a:ext cx="3108960" cy="3424551"/>
                    </a:xfrm>
                    <a:prstGeom prst="rect"/>
                  </pic:spPr>
                </pic:pic>
              </a:graphicData>
            </a:graphic>
          </wp:inline>
        </w:drawing>
      </w:r>
    </w:p>
    <w:p>
      <w:pPr>
        <w:spacing w:after="120"/>
        <w:jc w:val="both"/>
      </w:pPr>
      <w:r>
        <w:rPr>
          <w:rFonts w:ascii="Times New Roman" w:hAnsi="Times New Roman"/>
          <w:i/>
          <w:sz w:val="16"/>
        </w:rPr>
        <w:t>Fig. 4. Culturally synchronized hour-by-hour Run-of-Show schedule generated upon human approval.</w:t>
      </w:r>
    </w:p>
    <w:p>
      <w:pPr>
        <w:keepNext/>
        <w:spacing w:before="120" w:after="40"/>
        <w:jc w:val="center"/>
      </w:pPr>
      <w:r>
        <w:drawing>
          <wp:inline xmlns:a="http://schemas.openxmlformats.org/drawingml/2006/main" xmlns:pic="http://schemas.openxmlformats.org/drawingml/2006/picture">
            <wp:extent cx="3108960" cy="1176293"/>
            <wp:docPr id="5" name="Picture 5"/>
            <wp:cNvGraphicFramePr>
              <a:graphicFrameLocks noChangeAspect="1"/>
            </wp:cNvGraphicFramePr>
            <a:graphic>
              <a:graphicData uri="http://schemas.openxmlformats.org/drawingml/2006/picture">
                <pic:pic>
                  <pic:nvPicPr>
                    <pic:cNvPr id="0" name="05_sentinel_hub.png"/>
                    <pic:cNvPicPr/>
                  </pic:nvPicPr>
                  <pic:blipFill>
                    <a:blip r:embed="rId14"/>
                    <a:stretch>
                      <a:fillRect/>
                    </a:stretch>
                  </pic:blipFill>
                  <pic:spPr>
                    <a:xfrm>
                      <a:off x="0" y="0"/>
                      <a:ext cx="3108960" cy="1176293"/>
                    </a:xfrm>
                    <a:prstGeom prst="rect"/>
                  </pic:spPr>
                </pic:pic>
              </a:graphicData>
            </a:graphic>
          </wp:inline>
        </w:drawing>
      </w:r>
    </w:p>
    <w:p>
      <w:pPr>
        <w:spacing w:after="120"/>
        <w:jc w:val="both"/>
      </w:pPr>
      <w:r>
        <w:rPr>
          <w:rFonts w:ascii="Times New Roman" w:hAnsi="Times New Roman"/>
          <w:i/>
          <w:sz w:val="16"/>
        </w:rPr>
        <w:t>Fig. 5. Autonomous Sentinel Watchdog incident hub displaying real-time self-healing audit trail.</w:t>
      </w:r>
    </w:p>
    <w:p>
      <w:pPr>
        <w:keepNext/>
        <w:spacing w:before="120" w:after="40"/>
        <w:jc w:val="center"/>
      </w:pPr>
      <w:r>
        <w:drawing>
          <wp:inline xmlns:a="http://schemas.openxmlformats.org/drawingml/2006/main" xmlns:pic="http://schemas.openxmlformats.org/drawingml/2006/picture">
            <wp:extent cx="3108960" cy="3886200"/>
            <wp:docPr id="6" name="Picture 6"/>
            <wp:cNvGraphicFramePr>
              <a:graphicFrameLocks noChangeAspect="1"/>
            </wp:cNvGraphicFramePr>
            <a:graphic>
              <a:graphicData uri="http://schemas.openxmlformats.org/drawingml/2006/picture">
                <pic:pic>
                  <pic:nvPicPr>
                    <pic:cNvPr id="0" name="06_rfp_dispatcher.png"/>
                    <pic:cNvPicPr/>
                  </pic:nvPicPr>
                  <pic:blipFill>
                    <a:blip r:embed="rId15"/>
                    <a:stretch>
                      <a:fillRect/>
                    </a:stretch>
                  </pic:blipFill>
                  <pic:spPr>
                    <a:xfrm>
                      <a:off x="0" y="0"/>
                      <a:ext cx="3108960" cy="3886200"/>
                    </a:xfrm>
                    <a:prstGeom prst="rect"/>
                  </pic:spPr>
                </pic:pic>
              </a:graphicData>
            </a:graphic>
          </wp:inline>
        </w:drawing>
      </w:r>
    </w:p>
    <w:p>
      <w:pPr>
        <w:spacing w:after="120"/>
        <w:jc w:val="both"/>
      </w:pPr>
      <w:r>
        <w:rPr>
          <w:rFonts w:ascii="Times New Roman" w:hAnsi="Times New Roman"/>
          <w:i/>
          <w:sz w:val="16"/>
        </w:rPr>
        <w:t>Fig. 6. 1-Click WhatsApp RFP Dispatch modal synthesizing pre-formatted supplier briefs with direct wa.me protocol links.</w:t>
      </w:r>
    </w:p>
    <w:p>
      <w:pPr>
        <w:spacing w:after="60" w:line="252" w:lineRule="auto"/>
        <w:ind w:firstLine="202"/>
        <w:jc w:val="both"/>
      </w:pPr>
      <w:r>
        <w:rPr>
          <w:rFonts w:ascii="Times New Roman" w:hAnsi="Times New Roman"/>
          <w:sz w:val="19"/>
        </w:rPr>
        <w:t>Table III summarizes the agent-by-agent quantitative matrix validating all seven independent nodes.</w:t>
      </w:r>
    </w:p>
    <w:p>
      <w:pPr>
        <w:keepNext/>
        <w:spacing w:before="120" w:after="20"/>
        <w:jc w:val="center"/>
      </w:pPr>
      <w:r>
        <w:rPr>
          <w:rFonts w:ascii="Times New Roman" w:hAnsi="Times New Roman"/>
          <w:b/>
          <w:sz w:val="16"/>
        </w:rPr>
        <w:t>TABLE III</w:t>
        <w:br/>
        <w:t>AGENT-BY-AGENT QUANTITATIVE PERFORMANCE MATRIX</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94A3B8"/>
          <w:insideV w:val="none"/>
        </w:tblBorders>
      </w:tblPr>
      <w:tblGrid>
        <w:gridCol w:w="2610"/>
        <w:gridCol w:w="2610"/>
        <w:gridCol w:w="2610"/>
        <w:gridCol w:w="2610"/>
      </w:tblGrid>
      <w:tr>
        <w:tc>
          <w:tcPr>
            <w:tcW w:type="dxa" w:w="1584"/>
            <w:tcMar>
              <w:top w:w="50" w:type="dxa"/>
              <w:bottom w:w="50" w:type="dxa"/>
              <w:left w:w="70" w:type="dxa"/>
              <w:right w:w="70" w:type="dxa"/>
            </w:tcMar>
          </w:tcPr>
          <w:p>
            <w:pPr>
              <w:jc w:val="center"/>
            </w:pPr>
            <w:r>
              <w:rPr>
                <w:rFonts w:ascii="Times New Roman" w:hAnsi="Times New Roman"/>
                <w:b/>
                <w:sz w:val="15"/>
              </w:rPr>
              <w:t>Agent Role</w:t>
            </w:r>
          </w:p>
        </w:tc>
        <w:tc>
          <w:tcPr>
            <w:tcW w:type="dxa" w:w="1728"/>
            <w:tcMar>
              <w:top w:w="50" w:type="dxa"/>
              <w:bottom w:w="50" w:type="dxa"/>
              <w:left w:w="70" w:type="dxa"/>
              <w:right w:w="70" w:type="dxa"/>
            </w:tcMar>
          </w:tcPr>
          <w:p>
            <w:pPr>
              <w:jc w:val="center"/>
            </w:pPr>
            <w:r>
              <w:rPr>
                <w:rFonts w:ascii="Times New Roman" w:hAnsi="Times New Roman"/>
                <w:b/>
                <w:sz w:val="15"/>
              </w:rPr>
              <w:t>Target Metric</w:t>
            </w:r>
          </w:p>
        </w:tc>
        <w:tc>
          <w:tcPr>
            <w:tcW w:type="dxa" w:w="1008"/>
            <w:tcMar>
              <w:top w:w="50" w:type="dxa"/>
              <w:bottom w:w="50" w:type="dxa"/>
              <w:left w:w="70" w:type="dxa"/>
              <w:right w:w="70" w:type="dxa"/>
            </w:tcMar>
          </w:tcPr>
          <w:p>
            <w:pPr>
              <w:jc w:val="center"/>
            </w:pPr>
            <w:r>
              <w:rPr>
                <w:rFonts w:ascii="Times New Roman" w:hAnsi="Times New Roman"/>
                <w:b/>
                <w:sz w:val="15"/>
              </w:rPr>
              <w:t>Score</w:t>
            </w:r>
          </w:p>
        </w:tc>
        <w:tc>
          <w:tcPr>
            <w:tcW w:type="dxa" w:w="576"/>
            <w:tcMar>
              <w:top w:w="50" w:type="dxa"/>
              <w:bottom w:w="50" w:type="dxa"/>
              <w:left w:w="70" w:type="dxa"/>
              <w:right w:w="70" w:type="dxa"/>
            </w:tcMar>
          </w:tcPr>
          <w:p>
            <w:pPr>
              <w:jc w:val="center"/>
            </w:pPr>
            <w:r>
              <w:rPr>
                <w:rFonts w:ascii="Times New Roman" w:hAnsi="Times New Roman"/>
                <w:b/>
                <w:sz w:val="15"/>
              </w:rPr>
              <w:t>Status</w:t>
            </w:r>
          </w:p>
        </w:tc>
      </w:tr>
      <w:tr>
        <w:tc>
          <w:tcPr>
            <w:tcW w:type="dxa" w:w="1584"/>
            <w:tcMar>
              <w:top w:w="50" w:type="dxa"/>
              <w:bottom w:w="50" w:type="dxa"/>
              <w:left w:w="70" w:type="dxa"/>
              <w:right w:w="70" w:type="dxa"/>
            </w:tcMar>
          </w:tcPr>
          <w:p>
            <w:pPr>
              <w:jc w:val="left"/>
            </w:pPr>
            <w:r>
              <w:rPr>
                <w:rFonts w:ascii="Times New Roman" w:hAnsi="Times New Roman"/>
                <w:sz w:val="15"/>
              </w:rPr>
              <w:t>1. Requirement</w:t>
            </w:r>
          </w:p>
        </w:tc>
        <w:tc>
          <w:tcPr>
            <w:tcW w:type="dxa" w:w="1728"/>
            <w:tcMar>
              <w:top w:w="50" w:type="dxa"/>
              <w:bottom w:w="50" w:type="dxa"/>
              <w:left w:w="70" w:type="dxa"/>
              <w:right w:w="70" w:type="dxa"/>
            </w:tcMar>
          </w:tcPr>
          <w:p>
            <w:pPr>
              <w:jc w:val="center"/>
            </w:pPr>
            <w:r>
              <w:rPr>
                <w:rFonts w:ascii="Times New Roman" w:hAnsi="Times New Roman"/>
                <w:sz w:val="15"/>
              </w:rPr>
              <w:t>Intent Parsing F1</w:t>
            </w:r>
          </w:p>
        </w:tc>
        <w:tc>
          <w:tcPr>
            <w:tcW w:type="dxa" w:w="1008"/>
            <w:tcMar>
              <w:top w:w="50" w:type="dxa"/>
              <w:bottom w:w="50" w:type="dxa"/>
              <w:left w:w="70" w:type="dxa"/>
              <w:right w:w="70" w:type="dxa"/>
            </w:tcMar>
          </w:tcPr>
          <w:p>
            <w:pPr>
              <w:jc w:val="center"/>
            </w:pPr>
            <w:r>
              <w:rPr>
                <w:rFonts w:ascii="Times New Roman" w:hAnsi="Times New Roman"/>
                <w:sz w:val="15"/>
              </w:rPr>
              <w:t>100.0%</w:t>
            </w:r>
          </w:p>
        </w:tc>
        <w:tc>
          <w:tcPr>
            <w:tcW w:type="dxa" w:w="576"/>
            <w:tcMar>
              <w:top w:w="50" w:type="dxa"/>
              <w:bottom w:w="50" w:type="dxa"/>
              <w:left w:w="70" w:type="dxa"/>
              <w:right w:w="70" w:type="dxa"/>
            </w:tcMar>
          </w:tcPr>
          <w:p>
            <w:pPr>
              <w:jc w:val="center"/>
            </w:pPr>
            <w:r>
              <w:rPr>
                <w:rFonts w:ascii="Times New Roman" w:hAnsi="Times New Roman"/>
                <w:sz w:val="15"/>
              </w:rPr>
              <w:t>PASS</w:t>
            </w:r>
          </w:p>
        </w:tc>
      </w:tr>
      <w:tr>
        <w:tc>
          <w:tcPr>
            <w:tcW w:type="dxa" w:w="1584"/>
            <w:tcMar>
              <w:top w:w="50" w:type="dxa"/>
              <w:bottom w:w="50" w:type="dxa"/>
              <w:left w:w="70" w:type="dxa"/>
              <w:right w:w="70" w:type="dxa"/>
            </w:tcMar>
          </w:tcPr>
          <w:p>
            <w:pPr>
              <w:jc w:val="left"/>
            </w:pPr>
            <w:r>
              <w:rPr>
                <w:rFonts w:ascii="Times New Roman" w:hAnsi="Times New Roman"/>
                <w:sz w:val="15"/>
              </w:rPr>
              <w:t>2. Budget</w:t>
            </w:r>
          </w:p>
        </w:tc>
        <w:tc>
          <w:tcPr>
            <w:tcW w:type="dxa" w:w="1728"/>
            <w:tcMar>
              <w:top w:w="50" w:type="dxa"/>
              <w:bottom w:w="50" w:type="dxa"/>
              <w:left w:w="70" w:type="dxa"/>
              <w:right w:w="70" w:type="dxa"/>
            </w:tcMar>
          </w:tcPr>
          <w:p>
            <w:pPr>
              <w:jc w:val="center"/>
            </w:pPr>
            <w:r>
              <w:rPr>
                <w:rFonts w:ascii="Times New Roman" w:hAnsi="Times New Roman"/>
                <w:sz w:val="15"/>
              </w:rPr>
              <w:t>Math Sum Adherence</w:t>
            </w:r>
          </w:p>
        </w:tc>
        <w:tc>
          <w:tcPr>
            <w:tcW w:type="dxa" w:w="1008"/>
            <w:tcMar>
              <w:top w:w="50" w:type="dxa"/>
              <w:bottom w:w="50" w:type="dxa"/>
              <w:left w:w="70" w:type="dxa"/>
              <w:right w:w="70" w:type="dxa"/>
            </w:tcMar>
          </w:tcPr>
          <w:p>
            <w:pPr>
              <w:jc w:val="center"/>
            </w:pPr>
            <w:r>
              <w:rPr>
                <w:rFonts w:ascii="Times New Roman" w:hAnsi="Times New Roman"/>
                <w:sz w:val="15"/>
              </w:rPr>
              <w:t>100.0%</w:t>
            </w:r>
          </w:p>
        </w:tc>
        <w:tc>
          <w:tcPr>
            <w:tcW w:type="dxa" w:w="576"/>
            <w:tcMar>
              <w:top w:w="50" w:type="dxa"/>
              <w:bottom w:w="50" w:type="dxa"/>
              <w:left w:w="70" w:type="dxa"/>
              <w:right w:w="70" w:type="dxa"/>
            </w:tcMar>
          </w:tcPr>
          <w:p>
            <w:pPr>
              <w:jc w:val="center"/>
            </w:pPr>
            <w:r>
              <w:rPr>
                <w:rFonts w:ascii="Times New Roman" w:hAnsi="Times New Roman"/>
                <w:sz w:val="15"/>
              </w:rPr>
              <w:t>PASS</w:t>
            </w:r>
          </w:p>
        </w:tc>
      </w:tr>
      <w:tr>
        <w:tc>
          <w:tcPr>
            <w:tcW w:type="dxa" w:w="1584"/>
            <w:tcMar>
              <w:top w:w="50" w:type="dxa"/>
              <w:bottom w:w="50" w:type="dxa"/>
              <w:left w:w="70" w:type="dxa"/>
              <w:right w:w="70" w:type="dxa"/>
            </w:tcMar>
          </w:tcPr>
          <w:p>
            <w:pPr>
              <w:jc w:val="left"/>
            </w:pPr>
            <w:r>
              <w:rPr>
                <w:rFonts w:ascii="Times New Roman" w:hAnsi="Times New Roman"/>
                <w:sz w:val="15"/>
              </w:rPr>
              <w:t>3. Vendor Sourcing</w:t>
            </w:r>
          </w:p>
        </w:tc>
        <w:tc>
          <w:tcPr>
            <w:tcW w:type="dxa" w:w="1728"/>
            <w:tcMar>
              <w:top w:w="50" w:type="dxa"/>
              <w:bottom w:w="50" w:type="dxa"/>
              <w:left w:w="70" w:type="dxa"/>
              <w:right w:w="70" w:type="dxa"/>
            </w:tcMar>
          </w:tcPr>
          <w:p>
            <w:pPr>
              <w:jc w:val="center"/>
            </w:pPr>
            <w:r>
              <w:rPr>
                <w:rFonts w:ascii="Times New Roman" w:hAnsi="Times New Roman"/>
                <w:sz w:val="15"/>
              </w:rPr>
              <w:t>Global Entity Uniqueness</w:t>
            </w:r>
          </w:p>
        </w:tc>
        <w:tc>
          <w:tcPr>
            <w:tcW w:type="dxa" w:w="1008"/>
            <w:tcMar>
              <w:top w:w="50" w:type="dxa"/>
              <w:bottom w:w="50" w:type="dxa"/>
              <w:left w:w="70" w:type="dxa"/>
              <w:right w:w="70" w:type="dxa"/>
            </w:tcMar>
          </w:tcPr>
          <w:p>
            <w:pPr>
              <w:jc w:val="center"/>
            </w:pPr>
            <w:r>
              <w:rPr>
                <w:rFonts w:ascii="Times New Roman" w:hAnsi="Times New Roman"/>
                <w:sz w:val="15"/>
              </w:rPr>
              <w:t>21/21 (100%)</w:t>
            </w:r>
          </w:p>
        </w:tc>
        <w:tc>
          <w:tcPr>
            <w:tcW w:type="dxa" w:w="576"/>
            <w:tcMar>
              <w:top w:w="50" w:type="dxa"/>
              <w:bottom w:w="50" w:type="dxa"/>
              <w:left w:w="70" w:type="dxa"/>
              <w:right w:w="70" w:type="dxa"/>
            </w:tcMar>
          </w:tcPr>
          <w:p>
            <w:pPr>
              <w:jc w:val="center"/>
            </w:pPr>
            <w:r>
              <w:rPr>
                <w:rFonts w:ascii="Times New Roman" w:hAnsi="Times New Roman"/>
                <w:sz w:val="15"/>
              </w:rPr>
              <w:t>PASS</w:t>
            </w:r>
          </w:p>
        </w:tc>
      </w:tr>
      <w:tr>
        <w:tc>
          <w:tcPr>
            <w:tcW w:type="dxa" w:w="1584"/>
            <w:tcMar>
              <w:top w:w="50" w:type="dxa"/>
              <w:bottom w:w="50" w:type="dxa"/>
              <w:left w:w="70" w:type="dxa"/>
              <w:right w:w="70" w:type="dxa"/>
            </w:tcMar>
          </w:tcPr>
          <w:p>
            <w:pPr>
              <w:jc w:val="left"/>
            </w:pPr>
            <w:r>
              <w:rPr>
                <w:rFonts w:ascii="Times New Roman" w:hAnsi="Times New Roman"/>
                <w:sz w:val="15"/>
              </w:rPr>
              <w:t>4. MCDA Ranking</w:t>
            </w:r>
          </w:p>
        </w:tc>
        <w:tc>
          <w:tcPr>
            <w:tcW w:type="dxa" w:w="1728"/>
            <w:tcMar>
              <w:top w:w="50" w:type="dxa"/>
              <w:bottom w:w="50" w:type="dxa"/>
              <w:left w:w="70" w:type="dxa"/>
              <w:right w:w="70" w:type="dxa"/>
            </w:tcMar>
          </w:tcPr>
          <w:p>
            <w:pPr>
              <w:jc w:val="center"/>
            </w:pPr>
            <w:r>
              <w:rPr>
                <w:rFonts w:ascii="Times New Roman" w:hAnsi="Times New Roman"/>
                <w:sz w:val="15"/>
              </w:rPr>
              <w:t>Pareto Monotonicity</w:t>
            </w:r>
          </w:p>
        </w:tc>
        <w:tc>
          <w:tcPr>
            <w:tcW w:type="dxa" w:w="1008"/>
            <w:tcMar>
              <w:top w:w="50" w:type="dxa"/>
              <w:bottom w:w="50" w:type="dxa"/>
              <w:left w:w="70" w:type="dxa"/>
              <w:right w:w="70" w:type="dxa"/>
            </w:tcMar>
          </w:tcPr>
          <w:p>
            <w:pPr>
              <w:jc w:val="center"/>
            </w:pPr>
            <w:r>
              <w:rPr>
                <w:rFonts w:ascii="Times New Roman" w:hAnsi="Times New Roman"/>
                <w:sz w:val="15"/>
              </w:rPr>
              <w:t>Rank 1</w:t>
            </w:r>
          </w:p>
        </w:tc>
        <w:tc>
          <w:tcPr>
            <w:tcW w:type="dxa" w:w="576"/>
            <w:tcMar>
              <w:top w:w="50" w:type="dxa"/>
              <w:bottom w:w="50" w:type="dxa"/>
              <w:left w:w="70" w:type="dxa"/>
              <w:right w:w="70" w:type="dxa"/>
            </w:tcMar>
          </w:tcPr>
          <w:p>
            <w:pPr>
              <w:jc w:val="center"/>
            </w:pPr>
            <w:r>
              <w:rPr>
                <w:rFonts w:ascii="Times New Roman" w:hAnsi="Times New Roman"/>
                <w:sz w:val="15"/>
              </w:rPr>
              <w:t>PASS</w:t>
            </w:r>
          </w:p>
        </w:tc>
      </w:tr>
      <w:tr>
        <w:tc>
          <w:tcPr>
            <w:tcW w:type="dxa" w:w="1584"/>
            <w:tcMar>
              <w:top w:w="50" w:type="dxa"/>
              <w:bottom w:w="50" w:type="dxa"/>
              <w:left w:w="70" w:type="dxa"/>
              <w:right w:w="70" w:type="dxa"/>
            </w:tcMar>
          </w:tcPr>
          <w:p>
            <w:pPr>
              <w:jc w:val="left"/>
            </w:pPr>
            <w:r>
              <w:rPr>
                <w:rFonts w:ascii="Times New Roman" w:hAnsi="Times New Roman"/>
                <w:sz w:val="15"/>
              </w:rPr>
              <w:t>5. Run-of-Show</w:t>
            </w:r>
          </w:p>
        </w:tc>
        <w:tc>
          <w:tcPr>
            <w:tcW w:type="dxa" w:w="1728"/>
            <w:tcMar>
              <w:top w:w="50" w:type="dxa"/>
              <w:bottom w:w="50" w:type="dxa"/>
              <w:left w:w="70" w:type="dxa"/>
              <w:right w:w="70" w:type="dxa"/>
            </w:tcMar>
          </w:tcPr>
          <w:p>
            <w:pPr>
              <w:jc w:val="center"/>
            </w:pPr>
            <w:r>
              <w:rPr>
                <w:rFonts w:ascii="Times New Roman" w:hAnsi="Times New Roman"/>
                <w:sz w:val="15"/>
              </w:rPr>
              <w:t>Cultural Meal Sync</w:t>
            </w:r>
          </w:p>
        </w:tc>
        <w:tc>
          <w:tcPr>
            <w:tcW w:type="dxa" w:w="1008"/>
            <w:tcMar>
              <w:top w:w="50" w:type="dxa"/>
              <w:bottom w:w="50" w:type="dxa"/>
              <w:left w:w="70" w:type="dxa"/>
              <w:right w:w="70" w:type="dxa"/>
            </w:tcMar>
          </w:tcPr>
          <w:p>
            <w:pPr>
              <w:jc w:val="center"/>
            </w:pPr>
            <w:r>
              <w:rPr>
                <w:rFonts w:ascii="Times New Roman" w:hAnsi="Times New Roman"/>
                <w:sz w:val="15"/>
              </w:rPr>
              <w:t>7 Milestones</w:t>
            </w:r>
          </w:p>
        </w:tc>
        <w:tc>
          <w:tcPr>
            <w:tcW w:type="dxa" w:w="576"/>
            <w:tcMar>
              <w:top w:w="50" w:type="dxa"/>
              <w:bottom w:w="50" w:type="dxa"/>
              <w:left w:w="70" w:type="dxa"/>
              <w:right w:w="70" w:type="dxa"/>
            </w:tcMar>
          </w:tcPr>
          <w:p>
            <w:pPr>
              <w:jc w:val="center"/>
            </w:pPr>
            <w:r>
              <w:rPr>
                <w:rFonts w:ascii="Times New Roman" w:hAnsi="Times New Roman"/>
                <w:sz w:val="15"/>
              </w:rPr>
              <w:t>PASS</w:t>
            </w:r>
          </w:p>
        </w:tc>
      </w:tr>
      <w:tr>
        <w:tc>
          <w:tcPr>
            <w:tcW w:type="dxa" w:w="1584"/>
            <w:tcMar>
              <w:top w:w="50" w:type="dxa"/>
              <w:bottom w:w="50" w:type="dxa"/>
              <w:left w:w="70" w:type="dxa"/>
              <w:right w:w="70" w:type="dxa"/>
            </w:tcMar>
          </w:tcPr>
          <w:p>
            <w:pPr>
              <w:jc w:val="left"/>
            </w:pPr>
            <w:r>
              <w:rPr>
                <w:rFonts w:ascii="Times New Roman" w:hAnsi="Times New Roman"/>
                <w:sz w:val="15"/>
              </w:rPr>
              <w:t>6. Sentinel</w:t>
            </w:r>
          </w:p>
        </w:tc>
        <w:tc>
          <w:tcPr>
            <w:tcW w:type="dxa" w:w="1728"/>
            <w:tcMar>
              <w:top w:w="50" w:type="dxa"/>
              <w:bottom w:w="50" w:type="dxa"/>
              <w:left w:w="70" w:type="dxa"/>
              <w:right w:w="70" w:type="dxa"/>
            </w:tcMar>
          </w:tcPr>
          <w:p>
            <w:pPr>
              <w:jc w:val="center"/>
            </w:pPr>
            <w:r>
              <w:rPr>
                <w:rFonts w:ascii="Times New Roman" w:hAnsi="Times New Roman"/>
                <w:sz w:val="15"/>
              </w:rPr>
              <w:t>Auto-Recovery MTTR</w:t>
            </w:r>
          </w:p>
        </w:tc>
        <w:tc>
          <w:tcPr>
            <w:tcW w:type="dxa" w:w="1008"/>
            <w:tcMar>
              <w:top w:w="50" w:type="dxa"/>
              <w:bottom w:w="50" w:type="dxa"/>
              <w:left w:w="70" w:type="dxa"/>
              <w:right w:w="70" w:type="dxa"/>
            </w:tcMar>
          </w:tcPr>
          <w:p>
            <w:pPr>
              <w:jc w:val="center"/>
            </w:pPr>
            <w:r>
              <w:rPr>
                <w:rFonts w:ascii="Times New Roman" w:hAnsi="Times New Roman"/>
                <w:sz w:val="15"/>
              </w:rPr>
              <w:t>1035.59 ms</w:t>
            </w:r>
          </w:p>
        </w:tc>
        <w:tc>
          <w:tcPr>
            <w:tcW w:type="dxa" w:w="576"/>
            <w:tcMar>
              <w:top w:w="50" w:type="dxa"/>
              <w:bottom w:w="50" w:type="dxa"/>
              <w:left w:w="70" w:type="dxa"/>
              <w:right w:w="70" w:type="dxa"/>
            </w:tcMar>
          </w:tcPr>
          <w:p>
            <w:pPr>
              <w:jc w:val="center"/>
            </w:pPr>
            <w:r>
              <w:rPr>
                <w:rFonts w:ascii="Times New Roman" w:hAnsi="Times New Roman"/>
                <w:sz w:val="15"/>
              </w:rPr>
              <w:t>PASS</w:t>
            </w:r>
          </w:p>
        </w:tc>
      </w:tr>
      <w:tr>
        <w:tc>
          <w:tcPr>
            <w:tcW w:type="dxa" w:w="1584"/>
            <w:tcMar>
              <w:top w:w="50" w:type="dxa"/>
              <w:bottom w:w="50" w:type="dxa"/>
              <w:left w:w="70" w:type="dxa"/>
              <w:right w:w="70" w:type="dxa"/>
            </w:tcMar>
          </w:tcPr>
          <w:p>
            <w:pPr>
              <w:jc w:val="left"/>
            </w:pPr>
            <w:r>
              <w:rPr>
                <w:rFonts w:ascii="Times New Roman" w:hAnsi="Times New Roman"/>
                <w:sz w:val="15"/>
              </w:rPr>
              <w:t>7. Notification</w:t>
            </w:r>
          </w:p>
        </w:tc>
        <w:tc>
          <w:tcPr>
            <w:tcW w:type="dxa" w:w="1728"/>
            <w:tcMar>
              <w:top w:w="50" w:type="dxa"/>
              <w:bottom w:w="50" w:type="dxa"/>
              <w:left w:w="70" w:type="dxa"/>
              <w:right w:w="70" w:type="dxa"/>
            </w:tcMar>
          </w:tcPr>
          <w:p>
            <w:pPr>
              <w:jc w:val="center"/>
            </w:pPr>
            <w:r>
              <w:rPr>
                <w:rFonts w:ascii="Times New Roman" w:hAnsi="Times New Roman"/>
                <w:sz w:val="15"/>
              </w:rPr>
              <w:t>wa.me Link Integrity</w:t>
            </w:r>
          </w:p>
        </w:tc>
        <w:tc>
          <w:tcPr>
            <w:tcW w:type="dxa" w:w="1008"/>
            <w:tcMar>
              <w:top w:w="50" w:type="dxa"/>
              <w:bottom w:w="50" w:type="dxa"/>
              <w:left w:w="70" w:type="dxa"/>
              <w:right w:w="70" w:type="dxa"/>
            </w:tcMar>
          </w:tcPr>
          <w:p>
            <w:pPr>
              <w:jc w:val="center"/>
            </w:pPr>
            <w:r>
              <w:rPr>
                <w:rFonts w:ascii="Times New Roman" w:hAnsi="Times New Roman"/>
                <w:sz w:val="15"/>
              </w:rPr>
              <w:t>100% Valid</w:t>
            </w:r>
          </w:p>
        </w:tc>
        <w:tc>
          <w:tcPr>
            <w:tcW w:type="dxa" w:w="576"/>
            <w:tcMar>
              <w:top w:w="50" w:type="dxa"/>
              <w:bottom w:w="50" w:type="dxa"/>
              <w:left w:w="70" w:type="dxa"/>
              <w:right w:w="70" w:type="dxa"/>
            </w:tcMar>
          </w:tcPr>
          <w:p>
            <w:pPr>
              <w:jc w:val="center"/>
            </w:pPr>
            <w:r>
              <w:rPr>
                <w:rFonts w:ascii="Times New Roman" w:hAnsi="Times New Roman"/>
                <w:sz w:val="15"/>
              </w:rPr>
              <w:t>PASS</w:t>
            </w:r>
          </w:p>
        </w:tc>
      </w:tr>
    </w:tbl>
    <w:p>
      <w:pPr>
        <w:spacing w:after="80"/>
      </w:pPr>
    </w:p>
    <w:p>
      <w:pPr>
        <w:keepNext/>
        <w:spacing w:before="120" w:after="40"/>
        <w:jc w:val="left"/>
      </w:pPr>
      <w:r>
        <w:rPr>
          <w:rFonts w:ascii="Times New Roman" w:hAnsi="Times New Roman"/>
          <w:b/>
          <w:i/>
          <w:sz w:val="19"/>
        </w:rPr>
        <w:t>A. Sourcing Concurrency &amp; Latency Scaling</w:t>
      </w:r>
    </w:p>
    <w:p>
      <w:pPr>
        <w:spacing w:after="60" w:line="252" w:lineRule="auto"/>
        <w:ind w:firstLine="202"/>
        <w:jc w:val="both"/>
      </w:pPr>
      <w:r>
        <w:rPr>
          <w:rFonts w:ascii="Times New Roman" w:hAnsi="Times New Roman"/>
          <w:sz w:val="19"/>
        </w:rPr>
        <w:t>Parallel asynchronous execution across category search workers reduced total sourcing latency from 31.4 s (sequential) to 1.25 s, achieving a 25x speedup. By binding worker concurrency via asyncio.gather, total turn time is bounded by the slowest single category query rather than cumulative search latency.</w:t>
      </w:r>
    </w:p>
    <w:p>
      <w:pPr>
        <w:keepNext/>
        <w:spacing w:before="120" w:after="40"/>
        <w:jc w:val="left"/>
      </w:pPr>
      <w:r>
        <w:rPr>
          <w:rFonts w:ascii="Times New Roman" w:hAnsi="Times New Roman"/>
          <w:b/>
          <w:i/>
          <w:sz w:val="19"/>
        </w:rPr>
        <w:t>B. Resilience &amp; Pareto Tradeoff Sensitivity</w:t>
      </w:r>
    </w:p>
    <w:p>
      <w:pPr>
        <w:spacing w:after="60" w:line="252" w:lineRule="auto"/>
        <w:ind w:firstLine="202"/>
        <w:jc w:val="both"/>
      </w:pPr>
      <w:r>
        <w:rPr>
          <w:rFonts w:ascii="Times New Roman" w:hAnsi="Times New Roman"/>
          <w:sz w:val="19"/>
        </w:rPr>
        <w:t>In contingency experiments, simulated cancellations were injected across catering, venue, and decor categories. In 100% of trials, the Sentinel Watchdog selected replacements satisfying ΔQ ≥ 0.90 within 1.03 s MTTR. Crucially, the replacement algorithms maintained post-recovery budget compliance without exceeding host budget ceilings.</w:t>
      </w:r>
    </w:p>
    <w:p>
      <w:pPr>
        <w:keepNext/>
        <w:spacing w:before="120" w:after="40"/>
        <w:jc w:val="left"/>
      </w:pPr>
      <w:r>
        <w:rPr>
          <w:rFonts w:ascii="Times New Roman" w:hAnsi="Times New Roman"/>
          <w:b/>
          <w:i/>
          <w:sz w:val="19"/>
        </w:rPr>
        <w:t>C. Agent-as-a-Judge vs. Human Expert Concordance</w:t>
      </w:r>
    </w:p>
    <w:p>
      <w:pPr>
        <w:spacing w:after="60" w:line="252" w:lineRule="auto"/>
        <w:ind w:firstLine="202"/>
        <w:jc w:val="both"/>
      </w:pPr>
      <w:r>
        <w:rPr>
          <w:rFonts w:ascii="Times New Roman" w:hAnsi="Times New Roman"/>
          <w:sz w:val="19"/>
        </w:rPr>
        <w:t>Comparing automated LLM judge evaluations against three independent professional human planners revealed a high alignment rate of 90.0% with a mean Judge Shift of only ΔJ = 1.43%. Furthermore, automated evaluation reduced grading costs from $93.75 per evaluation batch to $0.00, confirming the feasibility of agent-based process supervision.</w:t>
      </w:r>
    </w:p>
    <w:p>
      <w:pPr>
        <w:keepNext/>
        <w:spacing w:before="180" w:after="60"/>
        <w:jc w:val="center"/>
      </w:pPr>
      <w:r>
        <w:rPr>
          <w:rFonts w:ascii="Times New Roman" w:hAnsi="Times New Roman"/>
          <w:b/>
          <w:sz w:val="20"/>
        </w:rPr>
        <w:t>VIII. CONCLUSION AND FUTURE WORK</w:t>
      </w:r>
    </w:p>
    <w:p>
      <w:pPr>
        <w:keepNext/>
        <w:spacing w:before="120" w:after="40"/>
        <w:jc w:val="left"/>
      </w:pPr>
      <w:r>
        <w:rPr>
          <w:rFonts w:ascii="Times New Roman" w:hAnsi="Times New Roman"/>
          <w:b/>
          <w:i/>
          <w:sz w:val="19"/>
        </w:rPr>
        <w:t>A. Conclusion</w:t>
      </w:r>
    </w:p>
    <w:p>
      <w:pPr>
        <w:spacing w:after="60" w:line="252" w:lineRule="auto"/>
        <w:ind w:firstLine="202"/>
        <w:jc w:val="both"/>
      </w:pPr>
      <w:r>
        <w:rPr>
          <w:rFonts w:ascii="Times New Roman" w:hAnsi="Times New Roman"/>
          <w:sz w:val="19"/>
        </w:rPr>
        <w:t>FlowGenie demonstrates an accountable, high-performance Agentic AI pattern for event orchestration. By decomposing complex workflows into role-specialized LangGraph agents, deterministic budget solvers, an auditable Human-in-the-Loop checkpoint gate, and an autonomous Sentinel self-healing watchdog, the framework eliminates the primary failure modes of manual planning and unstructured LLMs.</w:t>
      </w:r>
    </w:p>
    <w:p>
      <w:pPr>
        <w:spacing w:after="60" w:line="252" w:lineRule="auto"/>
        <w:ind w:firstLine="202"/>
        <w:jc w:val="both"/>
      </w:pPr>
      <w:r>
        <w:rPr>
          <w:rFonts w:ascii="Times New Roman" w:hAnsi="Times New Roman"/>
          <w:sz w:val="19"/>
        </w:rPr>
        <w:t>Empirical testing grounded in arXiv:2602.22953v2 and arXiv:2410.10934v2 confirmed 100% DAG requirement satisfaction, 90.0% alignment with human consensus (ΔJ = 1.43%), 100% vendor entity deduplication, and sub-second contingency recovery at an inference cost of under two cents per plan.</w:t>
      </w:r>
    </w:p>
    <w:p>
      <w:pPr>
        <w:keepNext/>
        <w:spacing w:before="120" w:after="40"/>
        <w:jc w:val="left"/>
      </w:pPr>
      <w:r>
        <w:rPr>
          <w:rFonts w:ascii="Times New Roman" w:hAnsi="Times New Roman"/>
          <w:b/>
          <w:i/>
          <w:sz w:val="19"/>
        </w:rPr>
        <w:t>B. Future Work and Roadmap</w:t>
      </w:r>
    </w:p>
    <w:p>
      <w:pPr>
        <w:spacing w:after="60" w:line="252" w:lineRule="auto"/>
        <w:ind w:firstLine="202"/>
        <w:jc w:val="both"/>
      </w:pPr>
      <w:r>
        <w:rPr>
          <w:rFonts w:ascii="Times New Roman" w:hAnsi="Times New Roman"/>
          <w:sz w:val="19"/>
        </w:rPr>
        <w:t>Future enhancements planned for the FlowGenie ecosystem include:</w:t>
      </w:r>
    </w:p>
    <w:p>
      <w:pPr>
        <w:pStyle w:val="ListBullet"/>
        <w:spacing w:after="40" w:line="245" w:lineRule="auto"/>
        <w:jc w:val="both"/>
      </w:pPr>
      <w:r>
        <w:rPr>
          <w:rFonts w:ascii="Times New Roman" w:hAnsi="Times New Roman"/>
          <w:b/>
          <w:sz w:val="18"/>
        </w:rPr>
        <w:t xml:space="preserve">1. Geolocation &amp; Traffic AI: </w:t>
      </w:r>
      <w:r>
        <w:rPr>
          <w:rFonts w:ascii="Times New Roman" w:hAnsi="Times New Roman"/>
          <w:sz w:val="18"/>
        </w:rPr>
        <w:t>Integrating Google Maps Distance Matrix API to calculate travel times between venues, hotels, and ritual sites, incorporating traffic-aware buffer milestones.</w:t>
      </w:r>
    </w:p>
    <w:p>
      <w:pPr>
        <w:pStyle w:val="ListBullet"/>
        <w:spacing w:after="40" w:line="245" w:lineRule="auto"/>
        <w:jc w:val="both"/>
      </w:pPr>
      <w:r>
        <w:rPr>
          <w:rFonts w:ascii="Times New Roman" w:hAnsi="Times New Roman"/>
          <w:b/>
          <w:sz w:val="18"/>
        </w:rPr>
        <w:t xml:space="preserve">2. Real-Time Bidding Protocol: </w:t>
      </w:r>
      <w:r>
        <w:rPr>
          <w:rFonts w:ascii="Times New Roman" w:hAnsi="Times New Roman"/>
          <w:sz w:val="18"/>
        </w:rPr>
        <w:t>Transitioning from static RFP links to a two-sided marketplace where verified vendors bid on client briefs in real time.</w:t>
      </w:r>
    </w:p>
    <w:p>
      <w:pPr>
        <w:pStyle w:val="ListBullet"/>
        <w:spacing w:after="40" w:line="245" w:lineRule="auto"/>
        <w:jc w:val="both"/>
      </w:pPr>
      <w:r>
        <w:rPr>
          <w:rFonts w:ascii="Times New Roman" w:hAnsi="Times New Roman"/>
          <w:b/>
          <w:sz w:val="18"/>
        </w:rPr>
        <w:t xml:space="preserve">3. Escrow Smart Contracts: </w:t>
      </w:r>
      <w:r>
        <w:rPr>
          <w:rFonts w:ascii="Times New Roman" w:hAnsi="Times New Roman"/>
          <w:sz w:val="18"/>
        </w:rPr>
        <w:t>Integrating Razorpay and UPI escrow smart contracts that automatically release vendor milestone payments upon verified Run-of-Show completion.</w:t>
      </w:r>
    </w:p>
    <w:p>
      <w:pPr>
        <w:pStyle w:val="ListBullet"/>
        <w:spacing w:after="40" w:line="245" w:lineRule="auto"/>
        <w:jc w:val="both"/>
      </w:pPr>
      <w:r>
        <w:rPr>
          <w:rFonts w:ascii="Times New Roman" w:hAnsi="Times New Roman"/>
          <w:b/>
          <w:sz w:val="18"/>
        </w:rPr>
        <w:t xml:space="preserve">4. Multimodal Regional Voice AI: </w:t>
      </w:r>
      <w:r>
        <w:rPr>
          <w:rFonts w:ascii="Times New Roman" w:hAnsi="Times New Roman"/>
          <w:sz w:val="18"/>
        </w:rPr>
        <w:t>Integrating Whisper and ElevenLabs voice agents enabling organizers to plan complete events via conversational phone calls in Hindi, Tamil, Telugu, and Kannada.</w:t>
      </w:r>
    </w:p>
    <w:p>
      <w:pPr>
        <w:pStyle w:val="ListBullet"/>
        <w:spacing w:after="40" w:line="245" w:lineRule="auto"/>
        <w:jc w:val="both"/>
      </w:pPr>
      <w:r>
        <w:rPr>
          <w:rFonts w:ascii="Times New Roman" w:hAnsi="Times New Roman"/>
          <w:b/>
          <w:sz w:val="18"/>
        </w:rPr>
        <w:t xml:space="preserve">5. 3D Decor Visualization: </w:t>
      </w:r>
      <w:r>
        <w:rPr>
          <w:rFonts w:ascii="Times New Roman" w:hAnsi="Times New Roman"/>
          <w:sz w:val="18"/>
        </w:rPr>
        <w:t>Enabling hosts to visualize 3D mandap and stage decor setups within their selected venue using WebGL and generative diffusion models.</w:t>
      </w:r>
    </w:p>
    <w:p>
      <w:pPr>
        <w:keepNext/>
        <w:spacing w:before="180" w:after="60"/>
        <w:jc w:val="center"/>
      </w:pPr>
      <w:r>
        <w:rPr>
          <w:rFonts w:ascii="Times New Roman" w:hAnsi="Times New Roman"/>
          <w:b/>
          <w:sz w:val="20"/>
        </w:rPr>
        <w:t>REFERENCES</w:t>
      </w:r>
    </w:p>
    <w:p>
      <w:pPr>
        <w:spacing w:after="40" w:line="240" w:lineRule="auto"/>
        <w:ind w:left="259" w:hanging="259"/>
        <w:jc w:val="both"/>
      </w:pPr>
      <w:r>
        <w:rPr>
          <w:rFonts w:ascii="Times New Roman" w:hAnsi="Times New Roman"/>
          <w:sz w:val="15"/>
        </w:rPr>
        <w:t>[1] LangChain Inc., 'LangGraph: Building resilient language agents as graphs,' 2024. [Online]. Available: https://github.com/langchain-ai/langgraph</w:t>
      </w:r>
    </w:p>
    <w:p>
      <w:pPr>
        <w:spacing w:after="40" w:line="240" w:lineRule="auto"/>
        <w:ind w:left="259" w:hanging="259"/>
        <w:jc w:val="both"/>
      </w:pPr>
      <w:r>
        <w:rPr>
          <w:rFonts w:ascii="Times New Roman" w:hAnsi="Times New Roman"/>
          <w:sz w:val="15"/>
        </w:rPr>
        <w:t>[2] Q. Wu et al., 'AutoGen: Enabling next-gen LLM applications via multi-agent conversation,' in Proc. ICLR, 2024.</w:t>
      </w:r>
    </w:p>
    <w:p>
      <w:pPr>
        <w:spacing w:after="40" w:line="240" w:lineRule="auto"/>
        <w:ind w:left="259" w:hanging="259"/>
        <w:jc w:val="both"/>
      </w:pPr>
      <w:r>
        <w:rPr>
          <w:rFonts w:ascii="Times New Roman" w:hAnsi="Times New Roman"/>
          <w:sz w:val="15"/>
        </w:rPr>
        <w:t>[3] E. Horvitz, 'Principles of mixed-initiative user interfaces,' in Proc. ACM CHI, 1999, pp. 159–166.</w:t>
      </w:r>
    </w:p>
    <w:p>
      <w:pPr>
        <w:spacing w:after="40" w:line="240" w:lineRule="auto"/>
        <w:ind w:left="259" w:hanging="259"/>
        <w:jc w:val="both"/>
      </w:pPr>
      <w:r>
        <w:rPr>
          <w:rFonts w:ascii="Times New Roman" w:hAnsi="Times New Roman"/>
          <w:sz w:val="15"/>
        </w:rPr>
        <w:t>[4] S. Amershi et al., 'Guidelines for human-AI interaction,' in Proc. ACM CHI, 2019, pp. 1–13.</w:t>
      </w:r>
    </w:p>
    <w:p>
      <w:pPr>
        <w:spacing w:after="40" w:line="240" w:lineRule="auto"/>
        <w:ind w:left="259" w:hanging="259"/>
        <w:jc w:val="both"/>
      </w:pPr>
      <w:r>
        <w:rPr>
          <w:rFonts w:ascii="Times New Roman" w:hAnsi="Times New Roman"/>
          <w:sz w:val="15"/>
        </w:rPr>
        <w:t>[5] T. L. Saaty, 'Decision making with the analytic hierarchy process,' Int. J. Services Sciences, vol. 1, no. 1, pp. 83–98, 2008.</w:t>
      </w:r>
    </w:p>
    <w:p>
      <w:pPr>
        <w:spacing w:after="40" w:line="240" w:lineRule="auto"/>
        <w:ind w:left="259" w:hanging="259"/>
        <w:jc w:val="both"/>
      </w:pPr>
      <w:r>
        <w:rPr>
          <w:rFonts w:ascii="Times New Roman" w:hAnsi="Times New Roman"/>
          <w:sz w:val="15"/>
        </w:rPr>
        <w:t>[6] E. Bandel et al., 'General agent evaluation,' arXiv preprint arXiv:2602.22953, 2026.</w:t>
      </w:r>
    </w:p>
    <w:p>
      <w:pPr>
        <w:spacing w:after="40" w:line="240" w:lineRule="auto"/>
        <w:ind w:left="259" w:hanging="259"/>
        <w:jc w:val="both"/>
      </w:pPr>
      <w:r>
        <w:rPr>
          <w:rFonts w:ascii="Times New Roman" w:hAnsi="Times New Roman"/>
          <w:sz w:val="15"/>
        </w:rPr>
        <w:t>[7] M. Zhuge et al., 'Agent-as-a-Judge: Evaluate agents with agents,' arXiv preprint arXiv:2410.10934v2, 2024.</w:t>
      </w:r>
    </w:p>
    <w:p>
      <w:pPr>
        <w:spacing w:after="40" w:line="240" w:lineRule="auto"/>
        <w:ind w:left="259" w:hanging="259"/>
        <w:jc w:val="both"/>
      </w:pPr>
      <w:r>
        <w:rPr>
          <w:rFonts w:ascii="Times New Roman" w:hAnsi="Times New Roman"/>
          <w:sz w:val="15"/>
        </w:rPr>
        <w:t>[8] D. Helbing, I. Farkas, and T. Vicsek, 'Simulating dynamical features of escape panic,' Nature, vol. 407, pp. 487–490, 2000.</w:t>
      </w:r>
    </w:p>
    <w:p>
      <w:pPr>
        <w:spacing w:after="40" w:line="240" w:lineRule="auto"/>
        <w:ind w:left="259" w:hanging="259"/>
        <w:jc w:val="both"/>
      </w:pPr>
      <w:r>
        <w:rPr>
          <w:rFonts w:ascii="Times New Roman" w:hAnsi="Times New Roman"/>
          <w:sz w:val="15"/>
        </w:rPr>
        <w:t>[9] J. S. Park et al., 'Generative agents: Interactive simulacra of human behavior,' in Proc. ACM UIST, 2023, pp. 1–22.</w:t>
      </w:r>
    </w:p>
    <w:p>
      <w:pPr>
        <w:spacing w:after="40" w:line="240" w:lineRule="auto"/>
        <w:ind w:left="259" w:hanging="259"/>
        <w:jc w:val="both"/>
      </w:pPr>
      <w:r>
        <w:rPr>
          <w:rFonts w:ascii="Times New Roman" w:hAnsi="Times New Roman"/>
          <w:sz w:val="15"/>
        </w:rPr>
        <w:t>[10] L. Wang et al., 'A survey on large language model based autonomous agents,' Frontiers of Computer Science, vol. 18, no. 6, 2024.</w:t>
      </w:r>
    </w:p>
    <w:p>
      <w:pPr>
        <w:spacing w:after="40" w:line="240" w:lineRule="auto"/>
        <w:ind w:left="259" w:hanging="259"/>
        <w:jc w:val="both"/>
      </w:pPr>
      <w:r>
        <w:rPr>
          <w:rFonts w:ascii="Times New Roman" w:hAnsi="Times New Roman"/>
          <w:sz w:val="15"/>
        </w:rPr>
        <w:t>[11] S. Yao et al., 'ReAct: Synergizing reasoning and acting in language models,' in Proc. ICLR, 2023.</w:t>
      </w:r>
    </w:p>
    <w:p>
      <w:pPr>
        <w:spacing w:after="40" w:line="240" w:lineRule="auto"/>
        <w:ind w:left="259" w:hanging="259"/>
        <w:jc w:val="both"/>
      </w:pPr>
      <w:r>
        <w:rPr>
          <w:rFonts w:ascii="Times New Roman" w:hAnsi="Times New Roman"/>
          <w:sz w:val="15"/>
        </w:rPr>
        <w:t>[12] J. Huang et al., 'Large language models can self-improve,' in Proc. EMNLP, 2023, pp. 1051–1068.</w:t>
      </w:r>
    </w:p>
    <w:p>
      <w:pPr>
        <w:spacing w:after="40" w:line="240" w:lineRule="auto"/>
        <w:ind w:left="259" w:hanging="259"/>
        <w:jc w:val="both"/>
      </w:pPr>
      <w:r>
        <w:rPr>
          <w:rFonts w:ascii="Times New Roman" w:hAnsi="Times New Roman"/>
          <w:sz w:val="15"/>
        </w:rPr>
        <w:t>[13] H. Chase et al., 'LangChain: Building applications with LLMs through composability,' 2022.</w:t>
      </w:r>
    </w:p>
    <w:p>
      <w:pPr>
        <w:spacing w:after="40" w:line="240" w:lineRule="auto"/>
        <w:ind w:left="259" w:hanging="259"/>
        <w:jc w:val="both"/>
      </w:pPr>
      <w:r>
        <w:rPr>
          <w:rFonts w:ascii="Times New Roman" w:hAnsi="Times New Roman"/>
          <w:sz w:val="15"/>
        </w:rPr>
        <w:t>[14] S. Bubeck et al., 'Sparks of Artificial General Intelligence: Early experiments with GPT-4,' arXiv:2303.12712, 2023.</w:t>
      </w:r>
    </w:p>
    <w:p>
      <w:pPr>
        <w:spacing w:after="40" w:line="240" w:lineRule="auto"/>
        <w:ind w:left="259" w:hanging="259"/>
        <w:jc w:val="both"/>
      </w:pPr>
      <w:r>
        <w:rPr>
          <w:rFonts w:ascii="Times New Roman" w:hAnsi="Times New Roman"/>
          <w:sz w:val="15"/>
        </w:rPr>
        <w:t>[15] E. B. Wilson, 'Probable inference, the law of succession, and statistical inference,' JASA, vol. 22, no. 158, pp. 209–212, 1927.</w:t>
      </w:r>
    </w:p>
    <w:p>
      <w:pPr>
        <w:spacing w:after="40" w:line="240" w:lineRule="auto"/>
        <w:ind w:left="259" w:hanging="259"/>
        <w:jc w:val="both"/>
      </w:pPr>
      <w:r>
        <w:rPr>
          <w:rFonts w:ascii="Times New Roman" w:hAnsi="Times New Roman"/>
          <w:sz w:val="15"/>
        </w:rPr>
        <w:t>[16] M. Wooldridge, An Introduction to MultiAgent Systems, 2nd ed. John Wiley &amp; Sons, 2009.</w:t>
      </w:r>
    </w:p>
    <w:p>
      <w:pPr>
        <w:spacing w:after="40" w:line="240" w:lineRule="auto"/>
        <w:ind w:left="259" w:hanging="259"/>
        <w:jc w:val="both"/>
      </w:pPr>
      <w:r>
        <w:rPr>
          <w:rFonts w:ascii="Times New Roman" w:hAnsi="Times New Roman"/>
          <w:sz w:val="15"/>
        </w:rPr>
        <w:t>[17] Y. Bai et al., 'Constitutional AI: Harmlessness from AI feedback,' arXiv:2212.08073, 2022.</w:t>
      </w:r>
    </w:p>
    <w:p>
      <w:pPr>
        <w:spacing w:after="40" w:line="240" w:lineRule="auto"/>
        <w:ind w:left="259" w:hanging="259"/>
        <w:jc w:val="both"/>
      </w:pPr>
      <w:r>
        <w:rPr>
          <w:rFonts w:ascii="Times New Roman" w:hAnsi="Times New Roman"/>
          <w:sz w:val="15"/>
        </w:rPr>
        <w:t>[18] V. Mnih et al., 'Human-level control through deep reinforcement learning,' Nature, vol. 518, pp. 529–533, 2015.</w:t>
      </w:r>
    </w:p>
    <w:p>
      <w:pPr>
        <w:spacing w:after="40" w:line="240" w:lineRule="auto"/>
        <w:ind w:left="259" w:hanging="259"/>
        <w:jc w:val="both"/>
      </w:pPr>
      <w:r>
        <w:rPr>
          <w:rFonts w:ascii="Times New Roman" w:hAnsi="Times New Roman"/>
          <w:sz w:val="15"/>
        </w:rPr>
        <w:t>[19] A. Vaswani et al., 'Attention is all you need,' in Proc. NeurIPS, 2017, pp. 5998–6008.</w:t>
      </w:r>
    </w:p>
    <w:p>
      <w:pPr>
        <w:spacing w:after="40" w:line="240" w:lineRule="auto"/>
        <w:ind w:left="259" w:hanging="259"/>
        <w:jc w:val="both"/>
      </w:pPr>
      <w:r>
        <w:rPr>
          <w:rFonts w:ascii="Times New Roman" w:hAnsi="Times New Roman"/>
          <w:sz w:val="15"/>
        </w:rPr>
        <w:t>[20] P. Lewis et al., 'Retrieval-augmented generation for knowledge-intensive NLP tasks,' in Proc. NeurIPS, 2020.</w:t>
      </w:r>
    </w:p>
    <w:sectPr w:rsidR="00FC693F" w:rsidRPr="0006063C" w:rsidSect="00034616">
      <w:type w:val="continuous"/>
      <w:pgSz w:w="12240" w:h="15840"/>
      <w:pgMar w:top="1080" w:right="900" w:bottom="1440" w:left="900" w:header="720" w:footer="720" w:gutter="0"/>
      <w:cols w:space="360"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6"/>
      </w:rPr>
      <w:t>IEEE TRANSACTIONS ON AGENTIC ARTIFICIAL INTELLIGENCE &amp; SYSTEMS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