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4D456">
      <w:pPr>
        <w:jc w:val="both"/>
        <w:rPr>
          <w:rFonts w:hint="eastAsia" w:ascii="Times New Roman" w:hAnsi="Times New Roman" w:eastAsia="黑体" w:cs="黑体"/>
          <w:b/>
          <w:bCs/>
          <w:sz w:val="28"/>
          <w:szCs w:val="32"/>
        </w:rPr>
      </w:pPr>
      <w:r>
        <w:rPr>
          <w:rFonts w:hint="eastAsia" w:ascii="Times New Roman" w:hAnsi="Times New Roman" w:eastAsia="黑体" w:cs="黑体"/>
          <w:b/>
          <w:bCs/>
          <w:sz w:val="32"/>
          <w:szCs w:val="36"/>
        </w:rPr>
        <w:t>面向机器人研发实验的主动实验设计与具身执行闭环智能体</w:t>
      </w:r>
    </w:p>
    <w:p w14:paraId="7BC03C45">
      <w:pPr>
        <w:rPr>
          <w:rFonts w:hint="eastAsia" w:ascii="Times New Roman" w:hAnsi="Times New Roman" w:eastAsia="黑体" w:cs="黑体"/>
          <w:b/>
          <w:bCs/>
          <w:sz w:val="28"/>
          <w:szCs w:val="32"/>
        </w:rPr>
      </w:pPr>
    </w:p>
    <w:p w14:paraId="577B1796">
      <w:pPr>
        <w:rPr>
          <w:rFonts w:hint="eastAsia" w:ascii="Times New Roman" w:hAnsi="Times New Roman" w:eastAsia="黑体" w:cs="黑体"/>
          <w:b/>
          <w:bCs/>
          <w:sz w:val="28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黑体"/>
          <w:b/>
          <w:bCs/>
          <w:sz w:val="28"/>
          <w:szCs w:val="32"/>
        </w:rPr>
        <w:t>目录</w:t>
      </w:r>
    </w:p>
    <w:p w14:paraId="1FBD03D2">
      <w:pPr>
        <w:spacing w:after="100"/>
        <w:rPr>
          <w:rFonts w:hint="eastAsia" w:ascii="Times New Roman" w:hAnsi="Times New Roman" w:eastAsia="黑体" w:cs="黑体"/>
          <w:b/>
          <w:bCs/>
          <w:sz w:val="28"/>
          <w:szCs w:val="32"/>
        </w:rPr>
      </w:pPr>
      <w:r>
        <w:rPr>
          <w:rFonts w:hint="eastAsia" w:ascii="Times New Roman" w:hAnsi="Times New Roman" w:eastAsia="黑体" w:cs="黑体"/>
          <w:b/>
          <w:bCs/>
          <w:color w:val="000000"/>
          <w:sz w:val="28"/>
          <w:szCs w:val="32"/>
        </w:rPr>
        <w:t>一、任务目标、定位与价值</w:t>
      </w:r>
    </w:p>
    <w:p w14:paraId="710AAC98">
      <w:pPr>
        <w:spacing w:after="100"/>
        <w:rPr>
          <w:rFonts w:hint="eastAsia" w:ascii="Times New Roman" w:hAnsi="Times New Roman" w:eastAsia="黑体" w:cs="黑体"/>
          <w:b/>
          <w:bCs/>
          <w:sz w:val="28"/>
          <w:szCs w:val="32"/>
        </w:rPr>
      </w:pPr>
      <w:r>
        <w:rPr>
          <w:rFonts w:hint="eastAsia" w:ascii="Times New Roman" w:hAnsi="Times New Roman" w:eastAsia="黑体" w:cs="黑体"/>
          <w:b/>
          <w:bCs/>
          <w:color w:val="000000"/>
          <w:sz w:val="28"/>
          <w:szCs w:val="32"/>
        </w:rPr>
        <w:t>二、已完成的核心能力</w:t>
      </w:r>
    </w:p>
    <w:p w14:paraId="21CA207B">
      <w:pPr>
        <w:spacing w:after="100"/>
        <w:rPr>
          <w:rFonts w:hint="eastAsia" w:ascii="Times New Roman" w:hAnsi="Times New Roman" w:eastAsia="黑体" w:cs="黑体"/>
          <w:b/>
          <w:bCs/>
          <w:sz w:val="28"/>
          <w:szCs w:val="32"/>
        </w:rPr>
      </w:pPr>
      <w:r>
        <w:rPr>
          <w:rFonts w:hint="eastAsia" w:ascii="Times New Roman" w:hAnsi="Times New Roman" w:eastAsia="黑体" w:cs="黑体"/>
          <w:b/>
          <w:bCs/>
          <w:color w:val="000000"/>
          <w:sz w:val="28"/>
          <w:szCs w:val="32"/>
        </w:rPr>
        <w:t>三、Demo 输出示例说明</w:t>
      </w:r>
    </w:p>
    <w:p w14:paraId="23A9BC2B">
      <w:pPr>
        <w:spacing w:after="100"/>
        <w:rPr>
          <w:rFonts w:hint="eastAsia" w:ascii="Times New Roman" w:hAnsi="Times New Roman" w:eastAsia="黑体" w:cs="黑体"/>
          <w:b/>
          <w:bCs/>
          <w:sz w:val="28"/>
          <w:szCs w:val="32"/>
        </w:rPr>
      </w:pPr>
      <w:r>
        <w:rPr>
          <w:rFonts w:hint="eastAsia" w:ascii="Times New Roman" w:hAnsi="Times New Roman" w:eastAsia="黑体" w:cs="黑体"/>
          <w:b/>
          <w:bCs/>
          <w:color w:val="000000"/>
          <w:sz w:val="28"/>
          <w:szCs w:val="32"/>
        </w:rPr>
        <w:t>四、核心原理（模型训练与能力构建）</w:t>
      </w:r>
    </w:p>
    <w:p w14:paraId="15C1F620">
      <w:pPr>
        <w:spacing w:after="100"/>
        <w:rPr>
          <w:rFonts w:hint="eastAsia" w:ascii="Times New Roman" w:hAnsi="Times New Roman" w:eastAsia="黑体" w:cs="黑体"/>
          <w:b/>
          <w:bCs/>
          <w:sz w:val="28"/>
          <w:szCs w:val="32"/>
        </w:rPr>
      </w:pPr>
      <w:r>
        <w:rPr>
          <w:rFonts w:hint="eastAsia" w:ascii="Times New Roman" w:hAnsi="Times New Roman" w:eastAsia="黑体" w:cs="黑体"/>
          <w:b/>
          <w:bCs/>
          <w:color w:val="000000"/>
          <w:sz w:val="28"/>
          <w:szCs w:val="32"/>
        </w:rPr>
        <w:t>五、当前 Baseline 的能力边界</w:t>
      </w:r>
    </w:p>
    <w:p w14:paraId="63DB39AE">
      <w:pPr>
        <w:spacing w:after="100"/>
        <w:rPr>
          <w:rFonts w:hint="eastAsia" w:ascii="Times New Roman" w:hAnsi="Times New Roman" w:eastAsia="黑体" w:cs="黑体"/>
          <w:b/>
          <w:bCs/>
          <w:sz w:val="28"/>
          <w:szCs w:val="32"/>
        </w:rPr>
      </w:pPr>
      <w:r>
        <w:rPr>
          <w:rFonts w:hint="eastAsia" w:ascii="Times New Roman" w:hAnsi="Times New Roman" w:eastAsia="黑体" w:cs="黑体"/>
          <w:b/>
          <w:bCs/>
          <w:color w:val="000000"/>
          <w:sz w:val="28"/>
          <w:szCs w:val="32"/>
        </w:rPr>
        <w:t>六、Baseline 的价值与验证结论</w:t>
      </w:r>
    </w:p>
    <w:p w14:paraId="5BA8DAD0">
      <w:pPr>
        <w:spacing w:after="100"/>
        <w:rPr>
          <w:rFonts w:ascii="Times New Roman" w:hAnsi="Times New Roman"/>
        </w:rPr>
      </w:pPr>
      <w:r>
        <w:rPr>
          <w:rFonts w:hint="eastAsia" w:ascii="Times New Roman" w:hAnsi="Times New Roman" w:eastAsia="黑体" w:cs="黑体"/>
          <w:b/>
          <w:bCs/>
          <w:color w:val="000000"/>
          <w:sz w:val="28"/>
          <w:szCs w:val="32"/>
        </w:rPr>
        <w:t>七、下一步可演进方向</w:t>
      </w:r>
      <w:r>
        <w:rPr>
          <w:rFonts w:ascii="Times New Roman" w:hAnsi="Times New Roman"/>
        </w:rPr>
        <w:br w:type="page"/>
      </w:r>
    </w:p>
    <w:p w14:paraId="53A94FA6">
      <w:pPr>
        <w:pStyle w:val="3"/>
        <w:rPr>
          <w:rFonts w:ascii="Times New Roman" w:hAnsi="Times New Roman"/>
        </w:rPr>
      </w:pPr>
      <w:r>
        <w:rPr>
          <w:rFonts w:hint="eastAsia" w:ascii="Times New Roman" w:hAnsi="Times New Roman" w:eastAsia="黑体" w:cs="黑体"/>
          <w:b/>
          <w:bCs/>
          <w:sz w:val="28"/>
          <w:szCs w:val="28"/>
        </w:rPr>
        <w:t>一、任务目标、定位与价值</w:t>
      </w:r>
    </w:p>
    <w:p w14:paraId="064E29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40" w:lineRule="exact"/>
        <w:ind w:firstLine="42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本 Demo 构建一个机器人研发实验智能体的 baseline 原型。用户输入研发目标后，系统自动生成实验假设和变量空间，调用本地MuJoCo API运行批量评测，并输出成功率、失败归因、下一轮实验建议和可视化报告。</w:t>
      </w:r>
    </w:p>
    <w:p w14:paraId="451D99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40" w:lineRule="exact"/>
        <w:ind w:firstLine="420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当前任务聚焦Franka FR3机械臂pick-and-place：在物体位姿扰动、摩擦系数、抓取高度偏差、视觉噪声等条件变化下，分析策略失效边界。Demo的价值不在于训练最优控制策略，而在于验证机器人研发流程能否被组织为可追踪、可复现、可迭代的实验闭环。</w:t>
      </w:r>
    </w:p>
    <w:p w14:paraId="61B25139">
      <w:pPr>
        <w:rPr>
          <w:rFonts w:ascii="Times New Roman" w:hAnsi="Times New Roman"/>
        </w:rPr>
      </w:pPr>
      <w:r>
        <w:rPr>
          <w:rFonts w:hint="eastAsia" w:ascii="Times New Roman" w:hAnsi="Times New Roman" w:eastAsia="黑体" w:cs="黑体"/>
          <w:b/>
          <w:bCs/>
          <w:sz w:val="28"/>
          <w:szCs w:val="28"/>
        </w:rPr>
        <w:t>二、已完成的核心能力</w:t>
      </w:r>
    </w:p>
    <w:p w14:paraId="0936058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1. 研发目标解析与实验假设生成</w:t>
      </w:r>
    </w:p>
    <w:p w14:paraId="57CCC5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40" w:lineRule="exact"/>
        <w:ind w:firstLine="42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系统从自然语言目标中抽取任务对象、目标指标和影响变量，并生成可验证假设。针对“提升机械臂在物体位姿扰动和环境参数变化下</w:t>
      </w: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  <w:lang w:val="en-US" w:eastAsia="zh-CN"/>
        </w:rPr>
        <w:t>的</w:t>
      </w: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pick-and-place成功率”，系统生成以下假设：</w:t>
      </w:r>
    </w:p>
    <w:p w14:paraId="48CA50A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H1 位姿扰动鲁棒性：物体初始位置扰动越大，抓取成功率越低。</w:t>
      </w:r>
    </w:p>
    <w:p w14:paraId="3119BC3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H2 接触参数影响：低摩擦条件下更容易出现滑落。</w:t>
      </w:r>
    </w:p>
    <w:p w14:paraId="75CB8D7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H3 抓取高度偏差：抓取点偏高导致抓空，偏低导致碰撞。</w:t>
      </w:r>
    </w:p>
    <w:p w14:paraId="43FF53A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H4 感知与扰动耦合：视觉噪声会放大抓取点误差。</w:t>
      </w:r>
    </w:p>
    <w:p w14:paraId="7D3323F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2. 实验变量空间与批量评测</w:t>
      </w:r>
    </w:p>
    <w:p w14:paraId="1FD141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40" w:lineRule="exact"/>
        <w:ind w:firstLine="420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当前变量空间包括object_offset、friction、grasp_height_offset、vision_noise 与 control_freq。网页支持小规模27组和完整81组评测。每次运行记录run_id、实验变量、success、failure_type、trajectory_error、collision_count、final_distance 等字段。</w:t>
      </w:r>
    </w:p>
    <w:p w14:paraId="270C511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3. MuJoCo / FR3 执行与轨迹展示</w:t>
      </w:r>
    </w:p>
    <w:p w14:paraId="4198D2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40" w:lineRule="exact"/>
        <w:ind w:firstLine="420"/>
        <w:textAlignment w:val="auto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Demo已接入本地Python API</w:t>
      </w: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  <w:lang w:eastAsia="zh-CN"/>
        </w:rPr>
        <w:t>：</w:t>
      </w:r>
    </w:p>
    <w:p w14:paraId="7C5E4A10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>web_demo/index.html</w:t>
      </w:r>
    </w:p>
    <w:p w14:paraId="68439DCB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-&gt; POST http://127.0.0.1:8765/api/run_experiments</w:t>
      </w:r>
    </w:p>
    <w:p w14:paraId="39549795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-&gt; mujoco_bridge/server.py</w:t>
      </w:r>
    </w:p>
    <w:p w14:paraId="47827ECB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-&gt; mujoco_bridge/runner.py</w:t>
      </w:r>
    </w:p>
    <w:p w14:paraId="64D5A61C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-&gt; mujoco_bridge/fr3_render.py</w:t>
      </w:r>
    </w:p>
    <w:p w14:paraId="54608943">
      <w:pPr>
        <w:rPr>
          <w:rFonts w:ascii="Times New Roman" w:hAnsi="Times New Roman"/>
        </w:rPr>
      </w:pPr>
    </w:p>
    <w:p w14:paraId="0A13D2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40" w:lineRule="exact"/>
        <w:ind w:firstLine="42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网页勾选“使用 MuJoCo API”后，会调用本地 MuJoCo runner，并展示基于 MuJoCo Menagerie franka_fr3 模型渲染的成功/失败双样例回放。</w:t>
      </w:r>
    </w:p>
    <w:p w14:paraId="69FA8DA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4. 失败归因与下一轮实验建议</w:t>
      </w:r>
    </w:p>
    <w:p w14:paraId="3A34C3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40" w:lineRule="exact"/>
        <w:ind w:firstLine="42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系统根据评测日志统计主要失败类型，并输出带置信度的发现和下一轮实验建议。当前支持的失败类型包括 grasp_miss、slip、collision、unreachable、unstable、timeout。</w:t>
      </w:r>
    </w:p>
    <w:p w14:paraId="4611EA20">
      <w:pPr>
        <w:pStyle w:val="3"/>
        <w:rPr>
          <w:rFonts w:ascii="Times New Roman" w:hAnsi="Times New Roman"/>
        </w:rPr>
      </w:pPr>
      <w:r>
        <w:rPr>
          <w:rFonts w:hint="eastAsia" w:ascii="Times New Roman" w:hAnsi="Times New Roman" w:eastAsia="黑体" w:cs="黑体"/>
          <w:b/>
          <w:bCs/>
          <w:sz w:val="28"/>
          <w:szCs w:val="28"/>
        </w:rPr>
        <w:t>三、Demo 输出示例说明</w:t>
      </w:r>
    </w:p>
    <w:p w14:paraId="54268E9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输入</w:t>
      </w:r>
    </w:p>
    <w:p w14:paraId="021719A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研发目标：提升机械臂在物体位姿扰动和环境参数变化下的 pick-and-place 成功率。</w:t>
      </w:r>
    </w:p>
    <w:p w14:paraId="15E4607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运行设置：27 或 81 组实验；可选择是否调用 MuJoCo API。</w:t>
      </w:r>
    </w:p>
    <w:p w14:paraId="4BBD559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输出</w:t>
      </w:r>
    </w:p>
    <w:p w14:paraId="485BE2D8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>{</w:t>
      </w:r>
    </w:p>
    <w:p w14:paraId="5AD696D7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"task": "franka_fr3_pick_and_place",</w:t>
      </w:r>
    </w:p>
    <w:p w14:paraId="4B198E18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"num_runs": 27,</w:t>
      </w:r>
    </w:p>
    <w:p w14:paraId="08245A18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"success_rate": 0.741,</w:t>
      </w:r>
    </w:p>
    <w:p w14:paraId="0CF3A718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"main_failure_type": "slip",</w:t>
      </w:r>
    </w:p>
    <w:p w14:paraId="096374B3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"failure_distribution": {</w:t>
      </w:r>
    </w:p>
    <w:p w14:paraId="64490A5B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  "slip": 0.148,</w:t>
      </w:r>
    </w:p>
    <w:p w14:paraId="2EEA97EF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  "collision": 0.111</w:t>
      </w:r>
    </w:p>
    <w:p w14:paraId="3FACE123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},</w:t>
      </w:r>
    </w:p>
    <w:p w14:paraId="36DF85D5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"findings": [</w:t>
      </w:r>
    </w:p>
    <w:p w14:paraId="57E849C0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  {"claim": "low friction increases slip failures", "confidence": 0.86},</w:t>
      </w:r>
    </w:p>
    <w:p w14:paraId="7FCC98E9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  {"claim": "large offset and heavy vision noise interact", "confidence": 0.78}</w:t>
      </w:r>
    </w:p>
    <w:p w14:paraId="4C903F87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],</w:t>
      </w:r>
    </w:p>
    <w:p w14:paraId="25B7FF54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"next_experiments": [</w:t>
      </w:r>
    </w:p>
    <w:p w14:paraId="683751F9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  "scan object_offset x vision_noise with friction fixed to medium",</w:t>
      </w:r>
    </w:p>
    <w:p w14:paraId="357F8F42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  "add gripper_force and contact_hold_time under low-friction settings",</w:t>
      </w:r>
    </w:p>
    <w:p w14:paraId="4613A088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  "compare single grasp point with multi-candidate grasp resampling"</w:t>
      </w:r>
    </w:p>
    <w:p w14:paraId="35C5765A">
      <w:pPr>
        <w:shd w:val="clear" w:fill="F2F2F2"/>
        <w:spacing w:after="20" w:line="252" w:lineRule="auto"/>
        <w:ind w:left="2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 xml:space="preserve">  ]</w:t>
      </w:r>
    </w:p>
    <w:p w14:paraId="3A19F64E">
      <w:pPr>
        <w:shd w:val="clear" w:fill="F2F2F2"/>
        <w:spacing w:after="20" w:line="252" w:lineRule="auto"/>
        <w:ind w:left="255"/>
        <w:rPr>
          <w:rFonts w:ascii="Times New Roman" w:hAnsi="Times New Roman"/>
        </w:rPr>
      </w:pPr>
      <w:r>
        <w:rPr>
          <w:rFonts w:ascii="Times New Roman" w:hAnsi="Times New Roman" w:eastAsia="微软雅黑"/>
          <w:b w:val="0"/>
          <w:color w:val="2D2D2D"/>
          <w:sz w:val="24"/>
          <w:szCs w:val="24"/>
        </w:rPr>
        <w:t>}</w:t>
      </w:r>
    </w:p>
    <w:p w14:paraId="7C7DB74F">
      <w:pPr>
        <w:rPr>
          <w:rFonts w:ascii="Times New Roman" w:hAnsi="Times New Roman"/>
        </w:rPr>
      </w:pPr>
    </w:p>
    <w:p w14:paraId="1E31BD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40" w:lineRule="exact"/>
        <w:ind w:firstLine="42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网页同时输出指标卡片、失败类型分布、变量影响分析、成功/失败 MuJoCo 回放、Markdown 实验报告和样例实验日志。</w:t>
      </w:r>
    </w:p>
    <w:p w14:paraId="30333029">
      <w:pPr>
        <w:pStyle w:val="3"/>
        <w:rPr>
          <w:rFonts w:hint="eastAsia" w:ascii="Times New Roman" w:hAnsi="Times New Roman" w:eastAsia="黑体" w:cs="黑体"/>
          <w:b/>
          <w:bCs/>
          <w:sz w:val="28"/>
          <w:szCs w:val="28"/>
        </w:rPr>
      </w:pPr>
      <w:r>
        <w:rPr>
          <w:rFonts w:hint="eastAsia" w:ascii="Times New Roman" w:hAnsi="Times New Roman" w:eastAsia="黑体" w:cs="黑体"/>
          <w:b/>
          <w:bCs/>
          <w:sz w:val="28"/>
          <w:szCs w:val="28"/>
        </w:rPr>
        <w:t>四、核心原理（模型训练与能力构建）</w:t>
      </w:r>
    </w:p>
    <w:p w14:paraId="2D553F6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1. 将研发问题转化为实验结构</w:t>
      </w:r>
    </w:p>
    <w:p w14:paraId="6831B6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40" w:lineRule="exact"/>
        <w:ind w:firstLine="42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智能体首先把自然语言目标转化为任务、指标、变量、假设和失败类型。该步骤避免直接给出泛化建议，而是把研发目标转化为可执行实验矩阵。</w:t>
      </w:r>
    </w:p>
    <w:p w14:paraId="6E7A26E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2. 用批量仿真替代人工试错</w:t>
      </w:r>
    </w:p>
    <w:p w14:paraId="6A047B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40" w:lineRule="exact"/>
        <w:ind w:firstLine="42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系统将变量组合发送给 runner。当前 runner 提供 MuJoCo 接口和 deterministic fallback，保证网页 Demo 在无 API 时也可展示核心流程；API 可用时则返回 MuJoCo 评测结果和 FR3 渲染回放。</w:t>
      </w:r>
    </w:p>
    <w:p w14:paraId="1F0415D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3. 用结构化日志支撑失败归因</w:t>
      </w:r>
    </w:p>
    <w:p w14:paraId="73132A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40" w:lineRule="exact"/>
        <w:ind w:firstLine="42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每次实验都写入统一字段，失败归因不依赖主观描述，而根据成功状态、轨迹误差、碰撞次数、终态距离和变量组合进行统计。</w:t>
      </w:r>
    </w:p>
    <w:p w14:paraId="593DC7B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4. 从结果反推下一轮实验</w:t>
      </w:r>
    </w:p>
    <w:p w14:paraId="65E4E0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40" w:lineRule="exact"/>
        <w:ind w:firstLine="420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系统不直接给“最终策略”，而是基于证据推荐下一轮最值得验证的实验变量，形成“评测-解释-再实验”的闭环。</w:t>
      </w:r>
    </w:p>
    <w:p w14:paraId="1974A4D9">
      <w:pPr>
        <w:pStyle w:val="3"/>
        <w:rPr>
          <w:rFonts w:ascii="Times New Roman" w:hAnsi="Times New Roman"/>
        </w:rPr>
      </w:pPr>
      <w:r>
        <w:rPr>
          <w:rFonts w:hint="eastAsia" w:ascii="Times New Roman" w:hAnsi="Times New Roman" w:eastAsia="黑体" w:cs="黑体"/>
          <w:b/>
          <w:bCs/>
          <w:sz w:val="28"/>
          <w:szCs w:val="28"/>
        </w:rPr>
        <w:t>五、当前 Baseline 的能力边界</w:t>
      </w:r>
    </w:p>
    <w:p w14:paraId="5D917CE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当前 Demo 以仿真研发实验为主，不直接接入真实机器人硬件。</w:t>
      </w:r>
    </w:p>
    <w:p w14:paraId="2B938C9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当前重点是实验组织、日志分析和失败归因，不负责训练最优控制策略。</w:t>
      </w:r>
    </w:p>
    <w:p w14:paraId="6F60327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当前 FR3 回放用于展示闭环可行性，末端夹爪为简化二指模型，后续可替换为真实 gripper mesh 与接触控制器。</w:t>
      </w:r>
    </w:p>
    <w:p w14:paraId="48A6F00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当前失败归因以规则指标和结构化日志为主，对复杂接触动力学仍需更细粒度传感与状态序列。</w:t>
      </w:r>
    </w:p>
    <w:p w14:paraId="7D4D8F67">
      <w:pPr>
        <w:pStyle w:val="3"/>
        <w:rPr>
          <w:rFonts w:ascii="Times New Roman" w:hAnsi="Times New Roman"/>
        </w:rPr>
      </w:pPr>
      <w:r>
        <w:rPr>
          <w:rFonts w:hint="eastAsia" w:ascii="Times New Roman" w:hAnsi="Times New Roman" w:eastAsia="黑体" w:cs="黑体"/>
          <w:b/>
          <w:bCs/>
          <w:sz w:val="28"/>
          <w:szCs w:val="28"/>
        </w:rPr>
        <w:t>六、Baseline 的价值与验证结论</w:t>
      </w:r>
    </w:p>
    <w:p w14:paraId="48A6D8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40" w:lineRule="exact"/>
        <w:ind w:firstLine="42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当前 Demo 已验证以下结论：</w:t>
      </w:r>
    </w:p>
    <w:p w14:paraId="6490BB1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机器人研发实验可被拆解为“目标-假设-变量-执行-分析-建议”的闭环流程。</w:t>
      </w:r>
    </w:p>
    <w:p w14:paraId="2F268DA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自然语言研发目标可以转化为可执行实验配置。</w:t>
      </w:r>
    </w:p>
    <w:p w14:paraId="0F0174C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MuJoCo 与网页 Demo 可以形成可操作的在线展示链路。</w:t>
      </w:r>
    </w:p>
    <w:p w14:paraId="144D2C6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成功/失败双样例回放能直观展示变量扰动与失败归因。</w:t>
      </w:r>
    </w:p>
    <w:p w14:paraId="32D2E69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结构化日志和基于证据的下一轮建议，有助于从平均成功率评测转向失效边界发现。</w:t>
      </w:r>
    </w:p>
    <w:p w14:paraId="303ADF16">
      <w:pPr>
        <w:pStyle w:val="3"/>
        <w:rPr>
          <w:rFonts w:hint="eastAsia" w:ascii="Times New Roman" w:hAnsi="Times New Roman" w:eastAsia="黑体" w:cs="黑体"/>
          <w:b/>
          <w:bCs/>
          <w:sz w:val="28"/>
          <w:szCs w:val="28"/>
        </w:rPr>
      </w:pPr>
      <w:r>
        <w:rPr>
          <w:rFonts w:hint="eastAsia" w:ascii="Times New Roman" w:hAnsi="Times New Roman" w:eastAsia="黑体" w:cs="黑体"/>
          <w:b/>
          <w:bCs/>
          <w:sz w:val="28"/>
          <w:szCs w:val="28"/>
        </w:rPr>
        <w:t>七、下一步可演进方向</w:t>
      </w:r>
    </w:p>
    <w:p w14:paraId="21A8E913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扩展变量空间：增加 gripper_force、contact_hold_time、物体形状与质量扰动等实验变量。</w:t>
      </w:r>
    </w:p>
    <w:p w14:paraId="51619C84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增强失败归因：引入更细粒度的接触状态、力/位姿序列和轨迹分段指标。</w:t>
      </w:r>
    </w:p>
    <w:p w14:paraId="2D5C5D1B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ind w:left="425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color w:val="232323"/>
          <w:sz w:val="24"/>
          <w:szCs w:val="24"/>
        </w:rPr>
        <w:t>强化策略对照：比较单抓取点、多候选抓取点重采样、视觉噪声补偿等策略。</w:t>
      </w:r>
    </w:p>
    <w:sectPr>
      <w:headerReference r:id="rId5" w:type="default"/>
      <w:footerReference r:id="rId6" w:type="default"/>
      <w:pgSz w:w="11906" w:h="16838"/>
      <w:pgMar w:top="1361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24E45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50F5B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301CDD"/>
    <w:rsid w:val="23B95E70"/>
    <w:rsid w:val="7B3A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3232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40" w:after="1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1962</Words>
  <Characters>3080</Characters>
  <Lines>0</Lines>
  <Paragraphs>0</Paragraphs>
  <TotalTime>8</TotalTime>
  <ScaleCrop>false</ScaleCrop>
  <LinksUpToDate>false</LinksUpToDate>
  <CharactersWithSpaces>3296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…</cp:lastModifiedBy>
  <dcterms:modified xsi:type="dcterms:W3CDTF">2026-05-01T00:40:30Z</dcterms:modified>
  <dc:subject>机器人研发实验智能体 Demo 提交材料</dc:subject>
  <dc:title>Demo 说明（脱敏版）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eyJoZGlkIjoiOGI2NjYzOTFhZjJkYWU1OGM4ZDgwZDU0ZjMwZTVmOTYiLCJ1c2VySWQiOiIxNTA4NjU3ODA4In0=</vt:lpwstr>
  </property>
  <property fmtid="{D5CDD505-2E9C-101B-9397-08002B2CF9AE}" pid="3" name="KSOProductBuildVer">
    <vt:lpwstr>2052-12.1.0.20305</vt:lpwstr>
  </property>
  <property fmtid="{D5CDD505-2E9C-101B-9397-08002B2CF9AE}" pid="4" name="ICV">
    <vt:lpwstr>767F17FD30484AD0AC0C54A90D7ABF01_12</vt:lpwstr>
  </property>
</Properties>
</file>