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jc w:val="center"/>
        <w:rPr/>
      </w:pPr>
      <w:r>
        <w:rPr>
          <w:b/>
          <w:bCs/>
          <w:color w:val="1b4f72"/>
          <w:sz w:val="28"/>
          <w:szCs w:val="28"/>
        </w:rPr>
        <w:t xml:space="preserve">DR. VISHWANATH KARAD MIT WORLD PEACE UNIVERSITY</w:t>
      </w:r>
      <w:r/>
    </w:p>
    <w:p>
      <w:pPr>
        <w:pBdr/>
        <w:spacing w:after="60" w:before="0"/>
        <w:ind/>
        <w:jc w:val="center"/>
        <w:rPr/>
      </w:pPr>
      <w:r>
        <w:rPr>
          <w:b/>
          <w:bCs/>
          <w:color w:val="1b4f72"/>
          <w:sz w:val="24"/>
          <w:szCs w:val="24"/>
        </w:rPr>
        <w:t xml:space="preserve">School of Engineering &amp; Technology</w:t>
      </w:r>
      <w:r/>
    </w:p>
    <w:p>
      <w:pPr>
        <w:pBdr/>
        <w:spacing w:after="40" w:before="0"/>
        <w:ind/>
        <w:jc w:val="center"/>
        <w:rPr/>
      </w:pPr>
      <w:r>
        <w:rPr>
          <w:b/>
          <w:bCs/>
          <w:sz w:val="22"/>
          <w:szCs w:val="22"/>
        </w:rPr>
        <w:t xml:space="preserve">Department of Electrical &amp; Electronics Engineering</w:t>
      </w:r>
      <w:r/>
    </w:p>
    <w:p>
      <w:pPr>
        <w:pBdr/>
        <w:spacing w:after="160" w:before="0"/>
        <w:ind/>
        <w:jc w:val="center"/>
        <w:rPr/>
      </w:pPr>
      <w:r>
        <w:rPr>
          <w:sz w:val="22"/>
          <w:szCs w:val="22"/>
        </w:rPr>
        <w:t xml:space="preserve">Academic Year: 2025–26</w:t>
      </w:r>
      <w:r/>
    </w:p>
    <w:p>
      <w:pPr>
        <w:pBdr>
          <w:top w:val="single" w:color="1b4f72" w:sz="6" w:space="4"/>
          <w:bottom w:val="single" w:color="1b4f72" w:sz="6" w:space="4"/>
        </w:pBdr>
        <w:spacing w:after="120" w:before="120"/>
        <w:ind/>
        <w:jc w:val="center"/>
        <w:rPr/>
      </w:pPr>
      <w:r>
        <w:rPr>
          <w:b/>
          <w:bCs/>
          <w:color w:val="f5a623"/>
          <w:sz w:val="30"/>
          <w:szCs w:val="30"/>
        </w:rPr>
        <w:t xml:space="preserve">CIRCUIT CONCLAVE HACKATHON 2026</w:t>
      </w:r>
      <w:r/>
    </w:p>
    <w:p>
      <w:pPr>
        <w:pBdr/>
        <w:spacing w:after="80" w:before="80"/>
        <w:ind/>
        <w:jc w:val="center"/>
        <w:rPr/>
      </w:pPr>
      <w:r>
        <w:rPr>
          <w:b/>
          <w:bCs/>
          <w:color w:val="1b4f72"/>
          <w:sz w:val="26"/>
          <w:szCs w:val="26"/>
        </w:rPr>
        <w:t xml:space="preserve">BILL OF MATERIALS (BOM)</w:t>
      </w:r>
      <w:r/>
    </w:p>
    <w:p>
      <w:pPr>
        <w:pBdr/>
        <w:spacing w:after="60" w:before="60"/>
        <w:ind/>
        <w:jc w:val="center"/>
        <w:rPr/>
      </w:pPr>
      <w:r>
        <w:rPr>
          <w:i/>
          <w:iCs/>
          <w:sz w:val="22"/>
          <w:szCs w:val="22"/>
        </w:rPr>
        <w:t xml:space="preserve">4×4 Register File with Read/Write/Clear</w:t>
      </w:r>
      <w:r/>
    </w:p>
    <w:p>
      <w:pPr>
        <w:pBdr/>
        <w:spacing w:after="60" w:before="60"/>
        <w:ind/>
        <w:jc w:val="center"/>
        <w:rPr/>
      </w:pPr>
      <w:r>
        <w:rPr>
          <w:sz w:val="22"/>
          <w:szCs w:val="22"/>
        </w:rPr>
        <w:t xml:space="preserve">Harshvardhan Rathod (PRN: </w:t>
      </w:r>
      <w:r>
        <w:rPr>
          <w:sz w:val="22"/>
          <w:szCs w:val="22"/>
        </w:rPr>
        <w:t xml:space="preserve">—————</w:t>
      </w:r>
      <w:r/>
      <w:r>
        <w:rPr>
          <w:sz w:val="22"/>
          <w:szCs w:val="22"/>
        </w:rPr>
        <w:t xml:space="preserve">)  &amp;  Alok Deep Verma (PRN: —————)  |  FY B.Tech E&amp;CE  |  Div: 23  |  2025–26</w:t>
      </w:r>
      <w:r/>
    </w:p>
    <w:p>
      <w:pPr>
        <w:pBdr/>
        <w:spacing w:after="0" w:before="160"/>
        <w:ind/>
        <w:rPr/>
      </w:pPr>
      <w:r/>
      <w:r/>
    </w:p>
    <w:p>
      <w:pPr>
        <w:pBdr/>
        <w:spacing w:after="60" w:before="60"/>
        <w:ind/>
        <w:rPr/>
      </w:pPr>
      <w:r>
        <w:rPr>
          <w:b/>
          <w:bCs/>
          <w:color w:val="000000"/>
          <w:sz w:val="22"/>
          <w:szCs w:val="22"/>
        </w:rPr>
        <w:t xml:space="preserve">Source: </w:t>
      </w:r>
      <w:r>
        <w:rPr>
          <w:sz w:val="22"/>
          <w:szCs w:val="22"/>
        </w:rPr>
        <w:t xml:space="preserve">RAM-project-001.csv — KiCad BOM export. All ICs are standard 74-series TTL in DIP packages from Texas Instruments, sourced from the project custom library (RAM-project-001-library-footprint).</w:t>
      </w:r>
      <w:r/>
    </w:p>
    <w:p>
      <w:pPr>
        <w:pBdr/>
        <w:spacing w:after="0" w:before="120"/>
        <w:ind/>
        <w:rPr/>
      </w:pPr>
      <w:r/>
      <w:r/>
    </w:p>
    <w:p>
      <w:pPr>
        <w:pBdr>
          <w:bottom w:val="single" w:color="f5a623" w:sz="4" w:space="2"/>
        </w:pBdr>
        <w:spacing w:after="120" w:before="280"/>
        <w:ind/>
        <w:rPr/>
      </w:pPr>
      <w:r>
        <w:rPr>
          <w:b/>
          <w:bCs/>
          <w:color w:val="1b4f72"/>
          <w:sz w:val="26"/>
          <w:szCs w:val="26"/>
        </w:rPr>
        <w:t xml:space="preserve">FULL COMPONENT LIST</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86"/>
        <w:gridCol w:w="1485"/>
        <w:gridCol w:w="2773"/>
        <w:gridCol w:w="594"/>
        <w:gridCol w:w="2476"/>
        <w:gridCol w:w="1188"/>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KiCad Ref</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Part / Value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Specification</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Qty</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Purpose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Cost</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A7408</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SN74LS08N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AND Gate, DIP-14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Write-enable clock gating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B074244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SN74LS244N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Octal 3-State Buffer, DIP-20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Tri-state read bus (Bus 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B174244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SN74LS244N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Octal 3-State Buffer, DIP-20</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Tri-state read bus (Bus 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CC1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Capacitor</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Ceramic Disc, 0.1 µF 50V</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VCC decoupling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CC2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Capacitor</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Ceramic Disc, 0.1 µF 50V</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VCC decoupling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CNE555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NE555P</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555 Timer, DIP-8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0.5 Hz astable clock</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CR1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Resistor</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10 kΩ ¼W Axial</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555 R1 — charge path</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CR2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Resistor</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68 kΩ ¼W Axial</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555 R2 — timing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D74139</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SN74LS139AN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Dual 2-to-4 Decoder, DIP-16</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2-bit address decoding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D074175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SN74LS175N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D Flip-Flop, DIP-16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4-bit register — Row 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D174175</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SN74LS175N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D Flip-Flop, DIP-16</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4-bit register — Row 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D274175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SN74LS175N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D Flip-Flop, DIP-16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4-bit register — Row 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D374175</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SN74LS175N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D Flip-Flop, DIP-16</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4-bit register — Row 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DIS0–DIS3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SW_100SP1T1B4M2QE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E-Switch SPST</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Data input D0–D3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AS0, AS1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SW_100SP1T1B4M2QE</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E-Switch SPST</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Address input A0–A1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N7402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SN7402N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NOR Gate, DIP-14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Row-select clock gating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O7432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SN7432N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Quad OR Gate, DIP-14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Asynchronous clear logic</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OL0–OL3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CQY99</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LED 5mm T-1 3/4, LED_D5.0mm</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Output bus bit indicators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OR0–OR3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Resistor</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220 Ω ¼W Axial</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LED current limiting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SWC1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SW_100SP1T1B4M2QE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E-Switch momentary</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Clear button (→ LOW)</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SWW1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SW_100SP1T1B4M2QE</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E-Switch momentary</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Write/RW button (→ HIGH)</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bl>
    <w:p>
      <w:pPr>
        <w:pBdr/>
        <w:spacing w:after="0" w:before="200"/>
        <w:ind/>
        <w:rPr/>
      </w:pPr>
      <w:r/>
      <w:r/>
    </w:p>
    <w:p>
      <w:pPr>
        <w:pBdr>
          <w:bottom w:val="single" w:color="f5a623" w:sz="4" w:space="2"/>
        </w:pBdr>
        <w:spacing w:after="120" w:before="280"/>
        <w:ind/>
        <w:rPr/>
      </w:pPr>
      <w:r>
        <w:rPr>
          <w:b/>
          <w:bCs/>
          <w:color w:val="1b4f72"/>
          <w:sz w:val="26"/>
          <w:szCs w:val="26"/>
        </w:rPr>
        <w:t xml:space="preserve">COMPONENT SUMMARY</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73"/>
        <w:gridCol w:w="990"/>
        <w:gridCol w:w="4953"/>
        <w:gridCol w:w="1188"/>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Category</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Qty</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KiCad Reference(s)</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Cost</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ICs (7 unique types)</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11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A7408, B074244, B174244, CNE555, D74139, D074175–D374175, N7402, O7432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Switches (E-Switch)</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DIS0–DIS3, AS0, AS1, SWC1, SWW1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LEDs</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OL0–OL3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Resistors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OR0–OR3, CR1, CR2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Capacitors</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CC1, CC2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r>
        <w:trPr/>
        <w:tc>
          <w:tcPr>
            <w:shd w:val="clear" w:color="auto" w:fill="1b4f72"/>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TOTAL</w:t>
            </w:r>
            <w:r/>
          </w:p>
        </w:tc>
        <w:tc>
          <w:tcPr>
            <w:shd w:val="clear" w:color="auto" w:fill="1b4f72"/>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31</w:t>
            </w:r>
            <w:r/>
          </w:p>
        </w:tc>
        <w:tc>
          <w:tcPr>
            <w:shd w:val="clear" w:color="auto" w:fill="1b4f72"/>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t xml:space="preserve">—</w:t>
            </w:r>
            <w:r/>
          </w:p>
        </w:tc>
        <w:tc>
          <w:tcPr>
            <w:shd w:val="clear" w:color="auto" w:fill="1b4f72"/>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20"/>
                <w:szCs w:val="20"/>
              </w:rPr>
            </w:r>
            <w:r/>
          </w:p>
        </w:tc>
      </w:tr>
    </w:tbl>
    <w:p>
      <w:pPr>
        <w:pBdr/>
        <w:spacing w:after="0" w:before="80"/>
        <w:ind/>
        <w:rPr/>
      </w:pPr>
      <w:r/>
      <w:r/>
    </w:p>
    <w:p>
      <w:pPr>
        <w:pBdr/>
        <w:spacing w:after="60" w:before="60"/>
        <w:ind/>
        <w:rPr/>
      </w:pPr>
      <w:r>
        <w:rPr>
          <w:b/>
          <w:bCs/>
          <w:color w:val="000000"/>
          <w:sz w:val="22"/>
          <w:szCs w:val="22"/>
        </w:rPr>
        <w:t xml:space="preserve">Total: 31 components  |  Single +5V supply  |  PCB: KiCad RAM-project-001</w:t>
      </w:r>
      <w:r/>
    </w:p>
    <w:p>
      <w:pPr>
        <w:pBdr/>
        <w:spacing/>
        <w:ind/>
        <w:rPr/>
      </w:pPr>
      <w:r>
        <w:br w:type="page" w:clear="all"/>
      </w:r>
      <w:r/>
    </w:p>
    <w:p>
      <w:pPr>
        <w:pBdr>
          <w:bottom w:val="single" w:color="f5a623" w:sz="4" w:space="2"/>
        </w:pBdr>
        <w:spacing w:after="120" w:before="280"/>
        <w:ind/>
        <w:rPr/>
      </w:pPr>
      <w:r>
        <w:rPr>
          <w:b/>
          <w:bCs/>
          <w:color w:val="1b4f72"/>
          <w:sz w:val="26"/>
          <w:szCs w:val="26"/>
        </w:rPr>
        <w:t xml:space="preserve">PCB LAYOUT — KiCad RAM-project-001</w:t>
      </w:r>
      <w:r/>
    </w:p>
    <w:p>
      <w:pPr>
        <w:pBdr/>
        <w:spacing w:after="60" w:before="60"/>
        <w:ind/>
        <w:rPr/>
      </w:pPr>
      <w:r>
        <w:rPr>
          <w:sz w:val="22"/>
          <w:szCs w:val="22"/>
        </w:rPr>
        <w:t xml:space="preserve">The PCB layout below shows the placement of all 31 components across the memory, allocator, and clock sections.</w:t>
      </w:r>
      <w:r/>
    </w:p>
    <w:p>
      <w:pPr>
        <w:pBdr/>
        <w:spacing w:after="0" w:before="80"/>
        <w:ind/>
        <w:rPr/>
      </w:pPr>
      <w:r/>
      <w:r/>
    </w:p>
    <w:p>
      <w:pPr>
        <w:pBdr/>
        <w:spacing w:after="60" w:before="60"/>
        <w:ind/>
        <w:jc w:val="center"/>
        <w:rPr/>
      </w:pPr>
      <w:r>
        <mc:AlternateContent>
          <mc:Choice Requires="wpg">
            <w:drawing>
              <wp:inline xmlns:wp="http://schemas.openxmlformats.org/drawingml/2006/wordprocessingDrawing" distT="0" distB="0" distL="0" distR="0">
                <wp:extent cx="4762500" cy="47625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4762500" cy="4762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75.00pt;height:375.00pt;mso-wrap-distance-left:0.00pt;mso-wrap-distance-top:0.00pt;mso-wrap-distance-right:0.00pt;mso-wrap-distance-bottom:0.00pt;z-index:1;" stroked="false">
                <v:imagedata r:id="rId9" o:title=""/>
                <o:lock v:ext="edit" rotation="t"/>
              </v:shape>
            </w:pict>
          </mc:Fallback>
        </mc:AlternateContent>
      </w:r>
      <w:r/>
    </w:p>
    <w:p>
      <w:pPr>
        <w:pBdr/>
        <w:spacing w:after="160" w:before="0"/>
        <w:ind/>
        <w:jc w:val="center"/>
        <w:rPr/>
      </w:pPr>
      <w:r>
        <w:rPr>
          <w:i/>
          <w:iCs/>
          <w:sz w:val="20"/>
          <w:szCs w:val="20"/>
        </w:rPr>
        <w:t xml:space="preserve">Figure 1: 4 Row Memory Storage — KiCad PCB (RAM-project-001). Designer: Harshvardhan M Rathod | Teammate: Alok Deep Verma</w:t>
      </w:r>
      <w:r/>
    </w:p>
    <w:p>
      <w:pPr>
        <w:pBdr>
          <w:bottom w:val="single" w:color="f5a623" w:sz="4" w:space="2"/>
        </w:pBdr>
        <w:spacing w:after="120" w:before="280"/>
        <w:ind/>
        <w:rPr/>
      </w:pPr>
      <w:r>
        <w:rPr>
          <w:b/>
          <w:bCs/>
          <w:color w:val="1b4f72"/>
          <w:sz w:val="26"/>
          <w:szCs w:val="26"/>
        </w:rPr>
        <w:t xml:space="preserve">COMPONENT NOTES</w:t>
      </w:r>
      <w:r/>
    </w:p>
    <w:p>
      <w:pPr>
        <w:pBdr/>
        <w:spacing w:after="80" w:before="180"/>
        <w:ind/>
        <w:rPr/>
      </w:pPr>
      <w:r>
        <w:rPr>
          <w:b/>
          <w:bCs/>
          <w:color w:val="1b4f72"/>
          <w:sz w:val="23"/>
          <w:szCs w:val="23"/>
        </w:rPr>
        <w:t xml:space="preserve">1. Integrated Circuits</w:t>
      </w:r>
      <w:r/>
    </w:p>
    <w:p>
      <w:pPr>
        <w:pBdr/>
        <w:spacing w:after="60" w:before="60"/>
        <w:ind/>
        <w:rPr/>
      </w:pPr>
      <w:r>
        <w:rPr>
          <w:sz w:val="22"/>
          <w:szCs w:val="22"/>
        </w:rPr>
        <w:t xml:space="preserve">All ICs are standard 74-series TTL in DIP packages from Texas Instruments. The SN74LS175N (×4) fo</w:t>
      </w:r>
      <w:r>
        <w:rPr>
          <w:sz w:val="22"/>
          <w:szCs w:val="22"/>
        </w:rPr>
        <w:t xml:space="preserve">rms the 4-bit register array. The SN74LS139AN decodes the 2-bit address. The SN74LS244N (×2) provides tri-state bus buffering. NOR (SN7402N) and AND (SN74LS08N) gates form the clock-gating logic. OR gates (SN7432N) implement the asynchronous clear network.</w:t>
      </w:r>
      <w:r/>
    </w:p>
    <w:p>
      <w:pPr>
        <w:pBdr/>
        <w:spacing w:after="80" w:before="180"/>
        <w:ind/>
        <w:rPr/>
      </w:pPr>
      <w:r>
        <w:rPr>
          <w:b/>
          <w:bCs/>
          <w:color w:val="1b4f72"/>
          <w:sz w:val="23"/>
          <w:szCs w:val="23"/>
        </w:rPr>
        <w:t xml:space="preserve">2. Switches</w:t>
      </w:r>
      <w:r/>
    </w:p>
    <w:p>
      <w:pPr>
        <w:pBdr/>
        <w:spacing w:after="60" w:before="60"/>
        <w:ind/>
        <w:rPr/>
      </w:pPr>
      <w:r>
        <w:rPr>
          <w:sz w:val="22"/>
          <w:szCs w:val="22"/>
        </w:rPr>
        <w:t xml:space="preserve">All switch</w:t>
      </w:r>
      <w:r>
        <w:rPr>
          <w:sz w:val="22"/>
          <w:szCs w:val="22"/>
        </w:rPr>
        <w:t xml:space="preserve">es use the E-Switch SW_100SP1T1B4M2QE footprint. Data and address inputs use SPST variants (one per bit); Clear and Write use momentary variants. No separate clock button is placed — clock is generated automatically by the NE555P astable circuit at 0.5 Hz.</w:t>
      </w:r>
      <w:r/>
    </w:p>
    <w:p>
      <w:pPr>
        <w:pBdr/>
        <w:spacing w:after="80" w:before="180"/>
        <w:ind/>
        <w:rPr/>
      </w:pPr>
      <w:r>
        <w:rPr>
          <w:b/>
          <w:bCs/>
          <w:color w:val="1b4f72"/>
          <w:sz w:val="23"/>
          <w:szCs w:val="23"/>
        </w:rPr>
        <w:t xml:space="preserve">3. LEDs &amp; Passives</w:t>
      </w:r>
      <w:r/>
    </w:p>
    <w:p>
      <w:pPr>
        <w:pBdr/>
        <w:spacing w:after="60" w:before="60"/>
        <w:ind/>
        <w:rPr/>
      </w:pPr>
      <w:r>
        <w:rPr>
          <w:sz w:val="22"/>
          <w:szCs w:val="22"/>
        </w:rPr>
        <w:t xml:space="preserve">Four CQY99 LEDs (OL0–OL3) with 220 Ω current-limiting res</w:t>
      </w:r>
      <w:r>
        <w:rPr>
          <w:sz w:val="22"/>
          <w:szCs w:val="22"/>
        </w:rPr>
        <w:t xml:space="preserve">istors display the output bus. The NE555P timing network uses CR1=10 kΩ (R1), CR2=68 kΩ (R2), and a 20 µF electrolytic timing capacitor (add as polarised capacitor CP if not already in schematic). CC1, CC2 are 0.1 µF ceramic disc VCC decoupling capacitors.</w:t>
      </w:r>
      <w:r/>
    </w:p>
    <w:p>
      <w:pPr>
        <w:pBdr/>
        <w:spacing w:after="80" w:before="180"/>
        <w:ind/>
        <w:rPr/>
      </w:pPr>
      <w:r>
        <w:rPr>
          <w:b/>
          <w:bCs/>
          <w:color w:val="1b4f72"/>
          <w:sz w:val="23"/>
          <w:szCs w:val="23"/>
        </w:rPr>
        <w:t xml:space="preserve">4. Cost Column</w:t>
      </w:r>
      <w:r/>
    </w:p>
    <w:p>
      <w:pPr>
        <w:pBdr/>
        <w:spacing w:after="60" w:before="60"/>
        <w:ind/>
        <w:rPr/>
      </w:pPr>
      <w:r>
        <w:rPr>
          <w:sz w:val="22"/>
          <w:szCs w:val="22"/>
        </w:rPr>
        <w:t xml:space="preserve">The Cost column has been left blank as component prices are subject to change. Please refer to current pricing from authorised distributors (e.g., DigiKey, Mouser, Element14) or local suppliers at the time of procurement.</w:t>
      </w:r>
      <w:r/>
    </w:p>
    <w:p>
      <w:pPr>
        <w:pBdr/>
        <w:spacing w:after="0" w:before="200"/>
        <w:ind/>
        <w:rPr/>
      </w:pPr>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53"/>
        <w:gridCol w:w="4953"/>
      </w:tblGrid>
      <w:tr>
        <w:trPr/>
        <w:tc>
          <w:tcPr>
            <w:tcBorders>
              <w:top w:val="single" w:color="aaaaaa" w:sz="1" w:space="0"/>
              <w:left w:val="single" w:color="aaaaaa" w:sz="1" w:space="0"/>
              <w:bottom w:val="single" w:color="aaaaaa" w:sz="1" w:space="0"/>
              <w:right w:val="single" w:color="aaaaaa" w:sz="1" w:space="0"/>
            </w:tcBorders>
            <w:tcMar>
              <w:left w:w="120" w:type="dxa"/>
              <w:top w:w="100" w:type="dxa"/>
              <w:right w:w="120" w:type="dxa"/>
              <w:bottom w:w="100" w:type="dxa"/>
            </w:tcMar>
          </w:tcPr>
          <w:p>
            <w:pPr>
              <w:pBdr/>
              <w:spacing w:after="60" w:before="60"/>
              <w:ind/>
              <w:rPr/>
            </w:pPr>
            <w:r>
              <w:rPr>
                <w:b/>
                <w:bCs/>
                <w:color w:val="000000"/>
                <w:sz w:val="22"/>
                <w:szCs w:val="22"/>
              </w:rPr>
              <w:t xml:space="preserve">Submission Date: </w:t>
            </w:r>
            <w:r>
              <w:rPr>
                <w:sz w:val="22"/>
                <w:szCs w:val="22"/>
              </w:rPr>
              <w:t xml:space="preserve">__________________</w:t>
            </w:r>
            <w:r/>
          </w:p>
          <w:p>
            <w:pPr>
              <w:pBdr/>
              <w:spacing w:after="60" w:before="60"/>
              <w:ind/>
              <w:rPr/>
            </w:pPr>
            <w:r>
              <w:rPr>
                <w:b/>
                <w:bCs/>
                <w:color w:val="000000"/>
                <w:sz w:val="22"/>
                <w:szCs w:val="22"/>
              </w:rPr>
              <w:t xml:space="preserve">Verified by (Faculty Mentor): </w:t>
            </w:r>
            <w:r/>
          </w:p>
          <w:p>
            <w:pPr>
              <w:pBdr/>
              <w:spacing w:after="60" w:before="60"/>
              <w:ind/>
              <w:rPr/>
            </w:pPr>
            <w:r>
              <w:rPr>
                <w:sz w:val="22"/>
                <w:szCs w:val="22"/>
              </w:rPr>
              <w:t xml:space="preserve">__________________________</w:t>
            </w:r>
            <w:r/>
          </w:p>
        </w:tc>
        <w:tc>
          <w:tcPr>
            <w:tcBorders>
              <w:top w:val="single" w:color="aaaaaa" w:sz="1" w:space="0"/>
              <w:left w:val="single" w:color="aaaaaa" w:sz="1" w:space="0"/>
              <w:bottom w:val="single" w:color="aaaaaa" w:sz="1" w:space="0"/>
              <w:right w:val="single" w:color="aaaaaa" w:sz="1" w:space="0"/>
            </w:tcBorders>
            <w:tcMar>
              <w:left w:w="120" w:type="dxa"/>
              <w:top w:w="100" w:type="dxa"/>
              <w:right w:w="120" w:type="dxa"/>
              <w:bottom w:w="100" w:type="dxa"/>
            </w:tcMar>
          </w:tcPr>
          <w:p>
            <w:pPr>
              <w:pBdr/>
              <w:spacing w:after="60" w:before="60"/>
              <w:ind/>
              <w:rPr/>
            </w:pPr>
            <w:r>
              <w:rPr>
                <w:b/>
                <w:bCs/>
                <w:color w:val="000000"/>
                <w:sz w:val="22"/>
                <w:szCs w:val="22"/>
              </w:rPr>
              <w:t xml:space="preserve">Faculty Mentor Signature: </w:t>
            </w:r>
            <w:r/>
          </w:p>
          <w:p>
            <w:pPr>
              <w:pBdr/>
              <w:spacing w:after="60" w:before="60"/>
              <w:ind/>
              <w:rPr/>
            </w:pPr>
            <w:r>
              <w:rPr>
                <w:sz w:val="22"/>
                <w:szCs w:val="22"/>
              </w:rPr>
              <w:t xml:space="preserve">__________________________</w:t>
            </w:r>
            <w:r/>
          </w:p>
          <w:p>
            <w:pPr>
              <w:pBdr/>
              <w:spacing w:after="60" w:before="60"/>
              <w:ind/>
              <w:rPr/>
            </w:pPr>
            <w:r>
              <w:rPr>
                <w:b/>
                <w:bCs/>
                <w:color w:val="000000"/>
                <w:sz w:val="22"/>
                <w:szCs w:val="22"/>
              </w:rPr>
              <w:t xml:space="preserve">Team prismlabs Signature: </w:t>
            </w:r>
            <w:r/>
          </w:p>
          <w:p>
            <w:pPr>
              <w:pBdr/>
              <w:spacing w:after="60" w:before="60"/>
              <w:ind/>
              <w:rPr/>
            </w:pPr>
            <w:r>
              <w:rPr>
                <w:sz w:val="22"/>
                <w:szCs w:val="22"/>
              </w:rPr>
              <w:t xml:space="preserve">__________________________</w:t>
            </w:r>
            <w:r/>
          </w:p>
        </w:tc>
      </w:tr>
    </w:tbl>
    <w:sectPr>
      <w:footnotePr/>
      <w:endnotePr/>
      <w:type w:val="nextPage"/>
      <w:pgSz w:h="16838" w:orient="portrait" w:w="11906"/>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7"/>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8"/>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9"/>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0"/>
    <w:uiPriority w:val="9"/>
    <w:pPr>
      <w:pBdr/>
      <w:spacing/>
      <w:ind/>
    </w:pPr>
    <w:rPr>
      <w:rFonts w:ascii="Arial" w:hAnsi="Arial" w:eastAsia="Arial" w:cs="Arial"/>
      <w:i/>
      <w:iCs/>
      <w:color w:val="0f4761" w:themeColor="accent1" w:themeShade="BF"/>
    </w:rPr>
  </w:style>
  <w:style w:type="character" w:styleId="154">
    <w:name w:val="Heading 5 Char"/>
    <w:basedOn w:val="148"/>
    <w:link w:val="711"/>
    <w:uiPriority w:val="9"/>
    <w:pPr>
      <w:pBdr/>
      <w:spacing/>
      <w:ind/>
    </w:pPr>
    <w:rPr>
      <w:rFonts w:ascii="Arial" w:hAnsi="Arial" w:eastAsia="Arial" w:cs="Arial"/>
      <w:color w:val="0f4761" w:themeColor="accent1" w:themeShade="BF"/>
    </w:rPr>
  </w:style>
  <w:style w:type="character" w:styleId="155">
    <w:name w:val="Heading 6 Char"/>
    <w:basedOn w:val="148"/>
    <w:link w:val="712"/>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6"/>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6">
    <w:name w:val="Title"/>
    <w:qFormat/>
    <w:pPr>
      <w:pBdr/>
      <w:spacing/>
      <w:ind/>
    </w:pPr>
    <w:rPr>
      <w:sz w:val="56"/>
      <w:szCs w:val="56"/>
    </w:rPr>
  </w:style>
  <w:style w:type="paragraph" w:styleId="707">
    <w:name w:val="Heading 1"/>
    <w:qFormat/>
    <w:pPr>
      <w:pBdr/>
      <w:spacing/>
      <w:ind/>
    </w:pPr>
    <w:rPr>
      <w:color w:val="2e74b5"/>
      <w:sz w:val="32"/>
      <w:szCs w:val="32"/>
    </w:rPr>
  </w:style>
  <w:style w:type="paragraph" w:styleId="708">
    <w:name w:val="Heading 2"/>
    <w:qFormat/>
    <w:pPr>
      <w:pBdr/>
      <w:spacing/>
      <w:ind/>
    </w:pPr>
    <w:rPr>
      <w:color w:val="2e74b5"/>
      <w:sz w:val="26"/>
      <w:szCs w:val="26"/>
    </w:rPr>
  </w:style>
  <w:style w:type="paragraph" w:styleId="709">
    <w:name w:val="Heading 3"/>
    <w:qFormat/>
    <w:pPr>
      <w:pBdr/>
      <w:spacing/>
      <w:ind/>
    </w:pPr>
    <w:rPr>
      <w:color w:val="1f4d78"/>
      <w:sz w:val="24"/>
      <w:szCs w:val="24"/>
    </w:rPr>
  </w:style>
  <w:style w:type="paragraph" w:styleId="710">
    <w:name w:val="Heading 4"/>
    <w:qFormat/>
    <w:pPr>
      <w:pBdr/>
      <w:spacing/>
      <w:ind/>
    </w:pPr>
    <w:rPr>
      <w:i/>
      <w:iCs/>
      <w:color w:val="2e74b5"/>
    </w:rPr>
  </w:style>
  <w:style w:type="paragraph" w:styleId="711">
    <w:name w:val="Heading 5"/>
    <w:qFormat/>
    <w:pPr>
      <w:pBdr/>
      <w:spacing/>
      <w:ind/>
    </w:pPr>
    <w:rPr>
      <w:color w:val="2e74b5"/>
    </w:rPr>
  </w:style>
  <w:style w:type="paragraph" w:styleId="712">
    <w:name w:val="Heading 6"/>
    <w:qFormat/>
    <w:pPr>
      <w:pBdr/>
      <w:spacing/>
      <w:ind/>
    </w:pPr>
    <w:rPr>
      <w:color w:val="1f4d78"/>
    </w:rPr>
  </w:style>
  <w:style w:type="paragraph" w:styleId="713">
    <w:name w:val="Strong"/>
    <w:qFormat/>
    <w:pPr>
      <w:pBdr/>
      <w:spacing/>
      <w:ind/>
    </w:pPr>
    <w:rPr>
      <w:b/>
      <w:bCs/>
    </w:rPr>
  </w:style>
  <w:style w:type="paragraph" w:styleId="714">
    <w:name w:val="List Paragraph"/>
    <w:qFormat/>
    <w:pPr>
      <w:pBdr/>
      <w:spacing/>
      <w:ind/>
    </w:pPr>
  </w:style>
  <w:style w:type="character" w:styleId="715">
    <w:name w:val="Hyperlink"/>
    <w:uiPriority w:val="99"/>
    <w:unhideWhenUsed/>
    <w:pPr>
      <w:pBdr/>
      <w:spacing/>
      <w:ind/>
    </w:pPr>
    <w:rPr>
      <w:color w:val="0563c1"/>
      <w:u w:val="single"/>
    </w:rPr>
  </w:style>
  <w:style w:type="character" w:styleId="716">
    <w:name w:val="footnote reference"/>
    <w:uiPriority w:val="99"/>
    <w:semiHidden/>
    <w:unhideWhenUsed/>
    <w:pPr>
      <w:pBdr/>
      <w:spacing/>
      <w:ind/>
    </w:pPr>
    <w:rPr>
      <w:vertAlign w:val="superscript"/>
    </w:rPr>
  </w:style>
  <w:style w:type="paragraph" w:styleId="717">
    <w:name w:val="footnote text"/>
    <w:link w:val="718"/>
    <w:uiPriority w:val="99"/>
    <w:semiHidden/>
    <w:unhideWhenUsed/>
    <w:pPr>
      <w:pBdr/>
      <w:spacing w:after="0" w:line="240" w:lineRule="auto"/>
      <w:ind/>
    </w:pPr>
    <w:rPr>
      <w:sz w:val="20"/>
      <w:szCs w:val="20"/>
    </w:rPr>
  </w:style>
  <w:style w:type="character" w:styleId="718">
    <w:name w:val="Footnote Text Char"/>
    <w:link w:val="717"/>
    <w:uiPriority w:val="99"/>
    <w:semiHidden/>
    <w:unhideWhenUsed/>
    <w:pPr>
      <w:pBdr/>
      <w:spacing/>
      <w:ind/>
    </w:pPr>
    <w:rPr>
      <w:sz w:val="20"/>
      <w:szCs w:val="20"/>
    </w:rPr>
  </w:style>
  <w:style w:type="character" w:styleId="719">
    <w:name w:val="endnote reference"/>
    <w:uiPriority w:val="99"/>
    <w:semiHidden/>
    <w:unhideWhenUsed/>
    <w:pPr>
      <w:pBdr/>
      <w:spacing/>
      <w:ind/>
    </w:pPr>
    <w:rPr>
      <w:vertAlign w:val="superscript"/>
    </w:rPr>
  </w:style>
  <w:style w:type="paragraph" w:styleId="720">
    <w:name w:val="endnote text"/>
    <w:link w:val="721"/>
    <w:uiPriority w:val="99"/>
    <w:semiHidden/>
    <w:unhideWhenUsed/>
    <w:pPr>
      <w:pBdr/>
      <w:spacing w:after="0" w:line="240" w:lineRule="auto"/>
      <w:ind/>
    </w:pPr>
    <w:rPr>
      <w:sz w:val="20"/>
      <w:szCs w:val="20"/>
    </w:rPr>
  </w:style>
  <w:style w:type="character" w:styleId="721">
    <w:name w:val="Endnote Text Char"/>
    <w:link w:val="720"/>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2026-04-20T03:06:25Z</dcterms:created>
  <dcterms:modified xsi:type="dcterms:W3CDTF">2026-04-22T06:53:11Z</dcterms:modified>
</cp:coreProperties>
</file>