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D0A6" w14:textId="2B41F8F5" w:rsidR="002B6D5A" w:rsidRPr="002B6D5A" w:rsidRDefault="00E96D55" w:rsidP="002B6D5A">
      <w:pPr>
        <w:rPr>
          <w:b/>
          <w:bCs/>
        </w:rPr>
      </w:pPr>
      <w:r>
        <w:rPr>
          <w:lang w:val="en-US"/>
        </w:rPr>
        <w:br/>
      </w:r>
      <w:r w:rsidR="002B6D5A" w:rsidRPr="002B6D5A">
        <w:rPr>
          <w:b/>
          <w:bCs/>
        </w:rPr>
        <w:t xml:space="preserve">Fluid Tectonics: The Clinic and Aquatic </w:t>
      </w:r>
      <w:r w:rsidR="00215DEF" w:rsidRPr="002B6D5A">
        <w:rPr>
          <w:b/>
          <w:bCs/>
        </w:rPr>
        <w:t>Centre</w:t>
      </w:r>
    </w:p>
    <w:p w14:paraId="6764DCC4" w14:textId="6B8EDEE9" w:rsidR="002B6D5A" w:rsidRPr="002B6D5A" w:rsidRDefault="002B6D5A" w:rsidP="002B6D5A">
      <w:r w:rsidRPr="002B6D5A">
        <w:t>This project is a rhythmic dialogue between the geometric precision of steel and the organic fluidity of concrete, designed to serve as a wellness anchor within its urban context.</w:t>
      </w:r>
    </w:p>
    <w:p w14:paraId="237646D6" w14:textId="77777777" w:rsidR="002B6D5A" w:rsidRPr="002B6D5A" w:rsidRDefault="002B6D5A" w:rsidP="002B6D5A">
      <w:pPr>
        <w:rPr>
          <w:b/>
          <w:bCs/>
        </w:rPr>
      </w:pPr>
      <w:r w:rsidRPr="002B6D5A">
        <w:rPr>
          <w:b/>
          <w:bCs/>
        </w:rPr>
        <w:t>The Winged Canopy</w:t>
      </w:r>
    </w:p>
    <w:p w14:paraId="0B884E58" w14:textId="77777777" w:rsidR="002B6D5A" w:rsidRPr="002B6D5A" w:rsidRDefault="002B6D5A" w:rsidP="002B6D5A">
      <w:r w:rsidRPr="002B6D5A">
        <w:t>The architectural identity is defined by a dramatic, inverted "butterfly" roof. This soaring steel structure does more than provide shelter; it acts as a functional aperture, drawing in natural light and facilitating passive stack ventilation. The expressive trusses elevate the building’s silhouette, mimicking the mountain backdrop while providing a lightweight counterpoint to the solid masses below.</w:t>
      </w:r>
    </w:p>
    <w:p w14:paraId="07324E34" w14:textId="77777777" w:rsidR="002B6D5A" w:rsidRPr="002B6D5A" w:rsidRDefault="002B6D5A" w:rsidP="002B6D5A">
      <w:pPr>
        <w:rPr>
          <w:b/>
          <w:bCs/>
        </w:rPr>
      </w:pPr>
      <w:r w:rsidRPr="002B6D5A">
        <w:rPr>
          <w:b/>
          <w:bCs/>
        </w:rPr>
        <w:t>Materiality &amp; Form</w:t>
      </w:r>
    </w:p>
    <w:p w14:paraId="2FEED844" w14:textId="77777777" w:rsidR="002B6D5A" w:rsidRPr="002B6D5A" w:rsidRDefault="002B6D5A" w:rsidP="002B6D5A">
      <w:r w:rsidRPr="002B6D5A">
        <w:t>The design employs a sophisticated interplay of textures:</w:t>
      </w:r>
    </w:p>
    <w:p w14:paraId="78EB6518" w14:textId="77777777" w:rsidR="002B6D5A" w:rsidRPr="002B6D5A" w:rsidRDefault="002B6D5A" w:rsidP="002B6D5A">
      <w:r w:rsidRPr="002B6D5A">
        <w:rPr>
          <w:b/>
          <w:bCs/>
        </w:rPr>
        <w:t>Sculptural Concrete:</w:t>
      </w:r>
      <w:r w:rsidRPr="002B6D5A">
        <w:t xml:space="preserve"> Curvilinear, smooth-plastered walls in charcoal and slate tones define the "wet" and "dry" zones. These undulating forms create a sense of movement, echoing the ripples of the adjacent pools.</w:t>
      </w:r>
    </w:p>
    <w:p w14:paraId="799232FD" w14:textId="77777777" w:rsidR="002B6D5A" w:rsidRPr="002B6D5A" w:rsidRDefault="002B6D5A" w:rsidP="002B6D5A">
      <w:r w:rsidRPr="002B6D5A">
        <w:rPr>
          <w:b/>
          <w:bCs/>
        </w:rPr>
        <w:t>Translucent Thresholds:</w:t>
      </w:r>
      <w:r w:rsidRPr="002B6D5A">
        <w:t xml:space="preserve"> The central pavilion features faceted glazing and polycarbonate skins, ensuring the interior remains luminous and welcoming while maintaining patient privacy.</w:t>
      </w:r>
    </w:p>
    <w:p w14:paraId="78BB1C0D" w14:textId="77777777" w:rsidR="002B6D5A" w:rsidRPr="002B6D5A" w:rsidRDefault="002B6D5A" w:rsidP="002B6D5A">
      <w:r w:rsidRPr="002B6D5A">
        <w:rPr>
          <w:b/>
          <w:bCs/>
        </w:rPr>
        <w:t>Tactile Grounding:</w:t>
      </w:r>
      <w:r w:rsidRPr="002B6D5A">
        <w:t xml:space="preserve"> Red clay brick paving provides a warm, durable datum that ties the clinic to the poolside realm, creating a seamless pedestrian experience.</w:t>
      </w:r>
    </w:p>
    <w:p w14:paraId="3D302093" w14:textId="77777777" w:rsidR="002B6D5A" w:rsidRPr="002B6D5A" w:rsidRDefault="002B6D5A" w:rsidP="002B6D5A">
      <w:pPr>
        <w:rPr>
          <w:b/>
          <w:bCs/>
        </w:rPr>
      </w:pPr>
      <w:r w:rsidRPr="002B6D5A">
        <w:rPr>
          <w:b/>
          <w:bCs/>
        </w:rPr>
        <w:t>Spatial Wellness</w:t>
      </w:r>
    </w:p>
    <w:p w14:paraId="7A5E78FF" w14:textId="0C3963BF" w:rsidR="002B6D5A" w:rsidRPr="002B6D5A" w:rsidRDefault="002B6D5A" w:rsidP="002B6D5A">
      <w:r w:rsidRPr="002B6D5A">
        <w:t xml:space="preserve">By integrating a public swimming pool with a healthcare clinic, the design redefines "wellness" as a social, active endeavour. The architecture encourages visibility and "social </w:t>
      </w:r>
      <w:r>
        <w:t>Interconnection</w:t>
      </w:r>
      <w:r w:rsidRPr="002B6D5A">
        <w:t>," with clear sightlines between the healing spaces and the vibrant activity of the precinct.</w:t>
      </w:r>
    </w:p>
    <w:p w14:paraId="6CAE08AD" w14:textId="1554C76D" w:rsidR="00E96D55" w:rsidRPr="00E96D55" w:rsidRDefault="00E96D55" w:rsidP="002B6D5A"/>
    <w:p w14:paraId="1E99AEA1" w14:textId="6B8FB8F3" w:rsidR="00E96D55" w:rsidRPr="00E96D55" w:rsidRDefault="00E96D55">
      <w:pPr>
        <w:rPr>
          <w:lang w:val="en-US"/>
        </w:rPr>
      </w:pPr>
    </w:p>
    <w:sectPr w:rsidR="00E96D55" w:rsidRPr="00E96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5BB8"/>
    <w:multiLevelType w:val="multilevel"/>
    <w:tmpl w:val="F396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93D4B"/>
    <w:multiLevelType w:val="multilevel"/>
    <w:tmpl w:val="436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9D02CA"/>
    <w:multiLevelType w:val="multilevel"/>
    <w:tmpl w:val="559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886916">
    <w:abstractNumId w:val="2"/>
  </w:num>
  <w:num w:numId="2" w16cid:durableId="39869646">
    <w:abstractNumId w:val="1"/>
  </w:num>
  <w:num w:numId="3" w16cid:durableId="191346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55"/>
    <w:rsid w:val="00215DEF"/>
    <w:rsid w:val="002B6D5A"/>
    <w:rsid w:val="004E2607"/>
    <w:rsid w:val="00E9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39BBF"/>
  <w15:chartTrackingRefBased/>
  <w15:docId w15:val="{1AD153E2-BE20-4AE7-8B3C-F30853B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mulweli muofhe</dc:creator>
  <cp:keywords/>
  <dc:description/>
  <cp:lastModifiedBy>mulweli muofhe</cp:lastModifiedBy>
  <cp:revision>2</cp:revision>
  <dcterms:created xsi:type="dcterms:W3CDTF">2026-03-10T17:45:00Z</dcterms:created>
  <dcterms:modified xsi:type="dcterms:W3CDTF">2026-03-10T17:45:00Z</dcterms:modified>
</cp:coreProperties>
</file>