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60"/>
      </w:pPr>
      <w:r>
        <w:t>HireTrack Project Overview and Development Guide</w:t>
      </w:r>
    </w:p>
    <w:p>
      <w:pPr>
        <w:spacing w:after="340"/>
      </w:pPr>
      <w:r>
        <w:rPr>
          <w:color w:val="487058"/>
          <w:sz w:val="28"/>
        </w:rPr>
        <w:t>A practical explanation of the platform, its workflows, and how it was built</w:t>
      </w:r>
    </w:p>
    <w:p>
      <w:r>
        <w:t>Prepared for Hariharan</w:t>
        <w:br/>
        <w:t>BHARATH INSTITUTE OF HIGHER EDUCATION AND RESEARCH</w:t>
      </w:r>
    </w:p>
    <w:p>
      <w:r>
        <w:t>Project type: Campus placement and candidate progress management platform</w:t>
      </w:r>
    </w:p>
    <w:p>
      <w:pPr>
        <w:pStyle w:val="Heading1"/>
        <w:keepNext/>
      </w:pPr>
      <w:r>
        <w:t>Purpose of this guide</w:t>
      </w:r>
    </w:p>
    <w:p>
      <w:r>
        <w:t>This guide explains HireTrack in plain language: the placement problem it addresses, what each account can do, how the main workflows operate, the technology and database behind the website, and the development and deployment process. It is written to help the project owner understand, demonstrate, maintain, and present the application.</w:t>
      </w:r>
    </w:p>
    <w:p>
      <w:pPr>
        <w:pStyle w:val="Heading1"/>
        <w:keepNext/>
      </w:pPr>
      <w:r>
        <w:t>HireTrack at a glance</w:t>
      </w:r>
    </w:p>
    <w:tbl>
      <w:tblPr>
        <w:tblW w:type="auto" w:w="0"/>
        <w:jc w:val="center"/>
        <w:tblLayout w:type="fixed"/>
        <w:tblLook w:firstColumn="1" w:firstRow="1" w:lastColumn="0" w:lastRow="0" w:noHBand="0" w:noVBand="1" w:val="04A0"/>
        <w:tblBorders>
          <w:top w:val="single" w:sz="5" w:color="D9DED9"/>
          <w:left w:val="single" w:sz="5" w:color="D9DED9"/>
          <w:bottom w:val="single" w:sz="5" w:color="D9DED9"/>
          <w:right w:val="single" w:sz="5" w:color="D9DED9"/>
          <w:insideH w:val="single" w:sz="5" w:color="D9DED9"/>
          <w:insideV w:val="single" w:sz="5" w:color="D9DED9"/>
        </w:tblBorders>
      </w:tblPr>
      <w:tblGrid>
        <w:gridCol w:w="2088"/>
        <w:gridCol w:w="7992"/>
      </w:tblGrid>
      <w:tr>
        <w:trPr>
          <w:cantSplit/>
        </w:trPr>
        <w:tc>
          <w:tcPr>
            <w:tcW w:type="dxa" w:w="4997"/>
            <w:shd w:fill="294B3B"/>
            <w:vAlign w:val="center"/>
            <w:tcMar>
              <w:top w:w="110" w:type="dxa"/>
              <w:start w:w="125" w:type="dxa"/>
              <w:bottom w:w="110" w:type="dxa"/>
              <w:end w:w="125" w:type="dxa"/>
            </w:tcMar>
          </w:tcPr>
          <w:p>
            <w:r>
              <w:rPr>
                <w:b/>
                <w:color w:val="FFFFFF"/>
                <w:sz w:val="18"/>
              </w:rPr>
              <w:t>Item</w:t>
            </w:r>
          </w:p>
        </w:tc>
        <w:tc>
          <w:tcPr>
            <w:tcW w:type="dxa" w:w="4997"/>
            <w:shd w:fill="294B3B"/>
            <w:vAlign w:val="center"/>
            <w:tcMar>
              <w:top w:w="110" w:type="dxa"/>
              <w:start w:w="125" w:type="dxa"/>
              <w:bottom w:w="110" w:type="dxa"/>
              <w:end w:w="125" w:type="dxa"/>
            </w:tcMar>
          </w:tcPr>
          <w:p>
            <w:r>
              <w:rPr>
                <w:b/>
                <w:color w:val="FFFFFF"/>
                <w:sz w:val="18"/>
              </w:rPr>
              <w:t>Description</w:t>
            </w:r>
          </w:p>
        </w:tc>
      </w:tr>
      <w:tr>
        <w:trPr>
          <w:cantSplit/>
        </w:trPr>
        <w:tc>
          <w:tcPr>
            <w:tcW w:type="dxa" w:w="2088"/>
            <w:vAlign w:val="center"/>
            <w:tcMar>
              <w:top w:w="90" w:type="dxa"/>
              <w:start w:w="115" w:type="dxa"/>
              <w:bottom w:w="90" w:type="dxa"/>
              <w:end w:w="115" w:type="dxa"/>
            </w:tcMar>
          </w:tcPr>
          <w:p>
            <w:pPr>
              <w:spacing w:after="20"/>
            </w:pPr>
            <w:r>
              <w:rPr>
                <w:sz w:val="18"/>
              </w:rPr>
              <w:t>Purpose</w:t>
            </w:r>
          </w:p>
        </w:tc>
        <w:tc>
          <w:tcPr>
            <w:tcW w:type="dxa" w:w="7992"/>
            <w:vAlign w:val="center"/>
            <w:tcMar>
              <w:top w:w="90" w:type="dxa"/>
              <w:start w:w="115" w:type="dxa"/>
              <w:bottom w:w="90" w:type="dxa"/>
              <w:end w:w="115" w:type="dxa"/>
            </w:tcMar>
          </w:tcPr>
          <w:p>
            <w:pPr>
              <w:spacing w:after="20"/>
            </w:pPr>
            <w:r>
              <w:rPr>
                <w:sz w:val="18"/>
              </w:rPr>
              <w:t>Coordinate campus opportunities, student applications, recruiter access, interviews, messages, and progress history in one web application.</w:t>
            </w:r>
          </w:p>
        </w:tc>
      </w:tr>
      <w:tr>
        <w:trPr>
          <w:cantSplit/>
        </w:trPr>
        <w:tc>
          <w:tcPr>
            <w:tcW w:type="dxa" w:w="2088"/>
            <w:vAlign w:val="center"/>
            <w:tcMar>
              <w:top w:w="90" w:type="dxa"/>
              <w:start w:w="115" w:type="dxa"/>
              <w:bottom w:w="90" w:type="dxa"/>
              <w:end w:w="115" w:type="dxa"/>
            </w:tcMar>
            <w:shd w:fill="F2F6F2"/>
          </w:tcPr>
          <w:p>
            <w:pPr>
              <w:spacing w:after="20"/>
            </w:pPr>
            <w:r>
              <w:rPr>
                <w:sz w:val="18"/>
              </w:rPr>
              <w:t>Main users</w:t>
            </w:r>
          </w:p>
        </w:tc>
        <w:tc>
          <w:tcPr>
            <w:tcW w:type="dxa" w:w="7992"/>
            <w:vAlign w:val="center"/>
            <w:tcMar>
              <w:top w:w="90" w:type="dxa"/>
              <w:start w:w="115" w:type="dxa"/>
              <w:bottom w:w="90" w:type="dxa"/>
              <w:end w:w="115" w:type="dxa"/>
            </w:tcMar>
            <w:shd w:fill="F2F6F2"/>
          </w:tcPr>
          <w:p>
            <w:pPr>
              <w:spacing w:after="20"/>
            </w:pPr>
            <w:r>
              <w:rPr>
                <w:sz w:val="18"/>
              </w:rPr>
              <w:t>Students, placement officers, and company recruiters.</w:t>
            </w:r>
          </w:p>
        </w:tc>
      </w:tr>
      <w:tr>
        <w:trPr>
          <w:cantSplit/>
        </w:trPr>
        <w:tc>
          <w:tcPr>
            <w:tcW w:type="dxa" w:w="2088"/>
            <w:vAlign w:val="center"/>
            <w:tcMar>
              <w:top w:w="90" w:type="dxa"/>
              <w:start w:w="115" w:type="dxa"/>
              <w:bottom w:w="90" w:type="dxa"/>
              <w:end w:w="115" w:type="dxa"/>
            </w:tcMar>
          </w:tcPr>
          <w:p>
            <w:pPr>
              <w:spacing w:after="20"/>
            </w:pPr>
            <w:r>
              <w:rPr>
                <w:sz w:val="18"/>
              </w:rPr>
              <w:t>Website</w:t>
            </w:r>
          </w:p>
        </w:tc>
        <w:tc>
          <w:tcPr>
            <w:tcW w:type="dxa" w:w="7992"/>
            <w:vAlign w:val="center"/>
            <w:tcMar>
              <w:top w:w="90" w:type="dxa"/>
              <w:start w:w="115" w:type="dxa"/>
              <w:bottom w:w="90" w:type="dxa"/>
              <w:end w:w="115" w:type="dxa"/>
            </w:tcMar>
          </w:tcPr>
          <w:p>
            <w:pPr>
              <w:spacing w:after="20"/>
            </w:pPr>
            <w:r>
              <w:rPr>
                <w:sz w:val="18"/>
              </w:rPr>
              <w:t>Next.js and React with TypeScript.</w:t>
            </w:r>
          </w:p>
        </w:tc>
      </w:tr>
      <w:tr>
        <w:trPr>
          <w:cantSplit/>
        </w:trPr>
        <w:tc>
          <w:tcPr>
            <w:tcW w:type="dxa" w:w="2088"/>
            <w:vAlign w:val="center"/>
            <w:tcMar>
              <w:top w:w="90" w:type="dxa"/>
              <w:start w:w="115" w:type="dxa"/>
              <w:bottom w:w="90" w:type="dxa"/>
              <w:end w:w="115" w:type="dxa"/>
            </w:tcMar>
            <w:shd w:fill="F2F6F2"/>
          </w:tcPr>
          <w:p>
            <w:pPr>
              <w:spacing w:after="20"/>
            </w:pPr>
            <w:r>
              <w:rPr>
                <w:sz w:val="18"/>
              </w:rPr>
              <w:t>Data and sign-in</w:t>
            </w:r>
          </w:p>
        </w:tc>
        <w:tc>
          <w:tcPr>
            <w:tcW w:type="dxa" w:w="7992"/>
            <w:vAlign w:val="center"/>
            <w:tcMar>
              <w:top w:w="90" w:type="dxa"/>
              <w:start w:w="115" w:type="dxa"/>
              <w:bottom w:w="90" w:type="dxa"/>
              <w:end w:w="115" w:type="dxa"/>
            </w:tcMar>
            <w:shd w:fill="F2F6F2"/>
          </w:tcPr>
          <w:p>
            <w:pPr>
              <w:spacing w:after="20"/>
            </w:pPr>
            <w:r>
              <w:rPr>
                <w:sz w:val="18"/>
              </w:rPr>
              <w:t>Supabase Authentication and PostgreSQL with row-level security.</w:t>
            </w:r>
          </w:p>
        </w:tc>
      </w:tr>
      <w:tr>
        <w:trPr>
          <w:cantSplit/>
        </w:trPr>
        <w:tc>
          <w:tcPr>
            <w:tcW w:type="dxa" w:w="2088"/>
            <w:vAlign w:val="center"/>
            <w:tcMar>
              <w:top w:w="90" w:type="dxa"/>
              <w:start w:w="115" w:type="dxa"/>
              <w:bottom w:w="90" w:type="dxa"/>
              <w:end w:w="115" w:type="dxa"/>
            </w:tcMar>
          </w:tcPr>
          <w:p>
            <w:pPr>
              <w:spacing w:after="20"/>
            </w:pPr>
            <w:r>
              <w:rPr>
                <w:sz w:val="18"/>
              </w:rPr>
              <w:t>Private files</w:t>
            </w:r>
          </w:p>
        </w:tc>
        <w:tc>
          <w:tcPr>
            <w:tcW w:type="dxa" w:w="7992"/>
            <w:vAlign w:val="center"/>
            <w:tcMar>
              <w:top w:w="90" w:type="dxa"/>
              <w:start w:w="115" w:type="dxa"/>
              <w:bottom w:w="90" w:type="dxa"/>
              <w:end w:w="115" w:type="dxa"/>
            </w:tcMar>
          </w:tcPr>
          <w:p>
            <w:pPr>
              <w:spacing w:after="20"/>
            </w:pPr>
            <w:r>
              <w:rPr>
                <w:sz w:val="18"/>
              </w:rPr>
              <w:t>Supabase Storage stores resumes in a private bucket and provides short-lived authorized downloads.</w:t>
            </w:r>
          </w:p>
        </w:tc>
      </w:tr>
      <w:tr>
        <w:trPr>
          <w:cantSplit/>
        </w:trPr>
        <w:tc>
          <w:tcPr>
            <w:tcW w:type="dxa" w:w="2088"/>
            <w:vAlign w:val="center"/>
            <w:tcMar>
              <w:top w:w="90" w:type="dxa"/>
              <w:start w:w="115" w:type="dxa"/>
              <w:bottom w:w="90" w:type="dxa"/>
              <w:end w:w="115" w:type="dxa"/>
            </w:tcMar>
            <w:shd w:fill="F2F6F2"/>
          </w:tcPr>
          <w:p>
            <w:pPr>
              <w:spacing w:after="20"/>
            </w:pPr>
            <w:r>
              <w:rPr>
                <w:sz w:val="18"/>
              </w:rPr>
              <w:t>Hosting</w:t>
            </w:r>
          </w:p>
        </w:tc>
        <w:tc>
          <w:tcPr>
            <w:tcW w:type="dxa" w:w="7992"/>
            <w:vAlign w:val="center"/>
            <w:tcMar>
              <w:top w:w="90" w:type="dxa"/>
              <w:start w:w="115" w:type="dxa"/>
              <w:bottom w:w="90" w:type="dxa"/>
              <w:end w:w="115" w:type="dxa"/>
            </w:tcMar>
            <w:shd w:fill="F2F6F2"/>
          </w:tcPr>
          <w:p>
            <w:pPr>
              <w:spacing w:after="20"/>
            </w:pPr>
            <w:r>
              <w:rPr>
                <w:sz w:val="18"/>
              </w:rPr>
              <w:t>Vercel can build and host the website and API routes from the connected GitHub repository.</w:t>
            </w:r>
          </w:p>
        </w:tc>
      </w:tr>
    </w:tbl>
    <w:p>
      <w:pPr>
        <w:spacing w:after="20"/>
      </w:pPr>
    </w:p>
    <w:p>
      <w:pPr>
        <w:pStyle w:val="Heading1"/>
        <w:keepNext/>
      </w:pPr>
      <w:r>
        <w:t>1. What the application is</w:t>
      </w:r>
    </w:p>
    <w:p>
      <w:r>
        <w:t>HireTrack is a role-based campus placement workspace. It replaces scattered spreadsheets, email threads, and informal status updates with a shared record of opportunities and applications. Each account receives only the tools and records appropriate to its role.</w:t>
      </w:r>
    </w:p>
    <w:p>
      <w:r>
        <w:t>The central record is an application: a student applies to a published opportunity, then the placement team or the company recruiter tracks that application through its stages. The application history, interview details, and conversation stay connected to the same opportunity and candidate.</w:t>
      </w:r>
    </w:p>
    <w:p>
      <w:pPr>
        <w:pStyle w:val="Heading2"/>
        <w:keepNext/>
      </w:pPr>
      <w:r>
        <w:t>The problem it addresses</w:t>
      </w:r>
    </w:p>
    <w:p>
      <w:r>
        <w:t>A placement team may handle many employers, openings, candidates, interview rounds, and follow-ups at once. Without a common system, it is difficult to know which roles are open, who has applied, what action is due next, and which recruiter is allowed to view a candidate. HireTrack puts those tasks into connected pages and stores the records in a database.</w:t>
      </w:r>
    </w:p>
    <w:p>
      <w:pPr>
        <w:pStyle w:val="Heading1"/>
        <w:keepNext/>
      </w:pPr>
      <w:r>
        <w:t>2. What the website can do</w:t>
      </w:r>
    </w:p>
    <w:tbl>
      <w:tblPr>
        <w:tblW w:type="auto" w:w="0"/>
        <w:jc w:val="center"/>
        <w:tblLayout w:type="fixed"/>
        <w:tblLook w:firstColumn="1" w:firstRow="1" w:lastColumn="0" w:lastRow="0" w:noHBand="0" w:noVBand="1" w:val="04A0"/>
        <w:tblBorders>
          <w:top w:val="single" w:sz="5" w:color="D9DED9"/>
          <w:left w:val="single" w:sz="5" w:color="D9DED9"/>
          <w:bottom w:val="single" w:sz="5" w:color="D9DED9"/>
          <w:right w:val="single" w:sz="5" w:color="D9DED9"/>
          <w:insideH w:val="single" w:sz="5" w:color="D9DED9"/>
          <w:insideV w:val="single" w:sz="5" w:color="D9DED9"/>
        </w:tblBorders>
      </w:tblPr>
      <w:tblGrid>
        <w:gridCol w:w="1944"/>
        <w:gridCol w:w="8136"/>
      </w:tblGrid>
      <w:tr>
        <w:trPr>
          <w:cantSplit/>
        </w:trPr>
        <w:tc>
          <w:tcPr>
            <w:tcW w:type="dxa" w:w="4997"/>
            <w:shd w:fill="294B3B"/>
            <w:vAlign w:val="center"/>
            <w:tcMar>
              <w:top w:w="110" w:type="dxa"/>
              <w:start w:w="125" w:type="dxa"/>
              <w:bottom w:w="110" w:type="dxa"/>
              <w:end w:w="125" w:type="dxa"/>
            </w:tcMar>
          </w:tcPr>
          <w:p>
            <w:r>
              <w:rPr>
                <w:b/>
                <w:color w:val="FFFFFF"/>
                <w:sz w:val="18"/>
              </w:rPr>
              <w:t>User</w:t>
            </w:r>
          </w:p>
        </w:tc>
        <w:tc>
          <w:tcPr>
            <w:tcW w:type="dxa" w:w="4997"/>
            <w:shd w:fill="294B3B"/>
            <w:vAlign w:val="center"/>
            <w:tcMar>
              <w:top w:w="110" w:type="dxa"/>
              <w:start w:w="125" w:type="dxa"/>
              <w:bottom w:w="110" w:type="dxa"/>
              <w:end w:w="125" w:type="dxa"/>
            </w:tcMar>
          </w:tcPr>
          <w:p>
            <w:r>
              <w:rPr>
                <w:b/>
                <w:color w:val="FFFFFF"/>
                <w:sz w:val="18"/>
              </w:rPr>
              <w:t>Main capabilities</w:t>
            </w:r>
          </w:p>
        </w:tc>
      </w:tr>
      <w:tr>
        <w:trPr>
          <w:cantSplit/>
        </w:trPr>
        <w:tc>
          <w:tcPr>
            <w:tcW w:type="dxa" w:w="1944"/>
            <w:vAlign w:val="center"/>
            <w:tcMar>
              <w:top w:w="90" w:type="dxa"/>
              <w:start w:w="115" w:type="dxa"/>
              <w:bottom w:w="90" w:type="dxa"/>
              <w:end w:w="115" w:type="dxa"/>
            </w:tcMar>
          </w:tcPr>
          <w:p>
            <w:pPr>
              <w:spacing w:after="20"/>
            </w:pPr>
            <w:r>
              <w:rPr>
                <w:sz w:val="18"/>
              </w:rPr>
              <w:t>Student</w:t>
            </w:r>
          </w:p>
        </w:tc>
        <w:tc>
          <w:tcPr>
            <w:tcW w:type="dxa" w:w="8136"/>
            <w:vAlign w:val="center"/>
            <w:tcMar>
              <w:top w:w="90" w:type="dxa"/>
              <w:start w:w="115" w:type="dxa"/>
              <w:bottom w:w="90" w:type="dxa"/>
              <w:end w:w="115" w:type="dxa"/>
            </w:tcMar>
          </w:tcPr>
          <w:p>
            <w:pPr>
              <w:spacing w:after="20"/>
            </w:pPr>
            <w:r>
              <w:rPr>
                <w:sz w:val="18"/>
              </w:rPr>
              <w:t>Create an account; complete education and skills profile; browse and filter published roles; apply once to a role; check application progress and interview information; upload, replace, preview, or remove a private resume; add a public GitHub username; message the placement or recruiting team.</w:t>
            </w:r>
          </w:p>
        </w:tc>
      </w:tr>
      <w:tr>
        <w:trPr>
          <w:cantSplit/>
        </w:trPr>
        <w:tc>
          <w:tcPr>
            <w:tcW w:type="dxa" w:w="1944"/>
            <w:vAlign w:val="center"/>
            <w:tcMar>
              <w:top w:w="90" w:type="dxa"/>
              <w:start w:w="115" w:type="dxa"/>
              <w:bottom w:w="90" w:type="dxa"/>
              <w:end w:w="115" w:type="dxa"/>
            </w:tcMar>
            <w:shd w:fill="F2F6F2"/>
          </w:tcPr>
          <w:p>
            <w:pPr>
              <w:spacing w:after="20"/>
            </w:pPr>
            <w:r>
              <w:rPr>
                <w:sz w:val="18"/>
              </w:rPr>
              <w:t>Placement officer</w:t>
            </w:r>
          </w:p>
        </w:tc>
        <w:tc>
          <w:tcPr>
            <w:tcW w:type="dxa" w:w="8136"/>
            <w:vAlign w:val="center"/>
            <w:tcMar>
              <w:top w:w="90" w:type="dxa"/>
              <w:start w:w="115" w:type="dxa"/>
              <w:bottom w:w="90" w:type="dxa"/>
              <w:end w:w="115" w:type="dxa"/>
            </w:tcMar>
            <w:shd w:fill="F2F6F2"/>
          </w:tcPr>
          <w:p>
            <w:pPr>
              <w:spacing w:after="20"/>
            </w:pPr>
            <w:r>
              <w:rPr>
                <w:sz w:val="18"/>
              </w:rPr>
              <w:t>Review applications and candidates across the placement workspace; create and publish opportunities; update application stages; review candidate resumes; manage recruiter access by company; review activity records and coordinate candidate conversations.</w:t>
            </w:r>
          </w:p>
        </w:tc>
      </w:tr>
      <w:tr>
        <w:trPr>
          <w:cantSplit/>
        </w:trPr>
        <w:tc>
          <w:tcPr>
            <w:tcW w:type="dxa" w:w="1944"/>
            <w:vAlign w:val="center"/>
            <w:tcMar>
              <w:top w:w="90" w:type="dxa"/>
              <w:start w:w="115" w:type="dxa"/>
              <w:bottom w:w="90" w:type="dxa"/>
              <w:end w:w="115" w:type="dxa"/>
            </w:tcMar>
          </w:tcPr>
          <w:p>
            <w:pPr>
              <w:spacing w:after="20"/>
            </w:pPr>
            <w:r>
              <w:rPr>
                <w:sz w:val="18"/>
              </w:rPr>
              <w:t>Company recruiter</w:t>
            </w:r>
          </w:p>
        </w:tc>
        <w:tc>
          <w:tcPr>
            <w:tcW w:type="dxa" w:w="8136"/>
            <w:vAlign w:val="center"/>
            <w:tcMar>
              <w:top w:w="90" w:type="dxa"/>
              <w:start w:w="115" w:type="dxa"/>
              <w:bottom w:w="90" w:type="dxa"/>
              <w:end w:w="115" w:type="dxa"/>
            </w:tcMar>
          </w:tcPr>
          <w:p>
            <w:pPr>
              <w:spacing w:after="20"/>
            </w:pPr>
            <w:r>
              <w:rPr>
                <w:sz w:val="18"/>
              </w:rPr>
              <w:t>After registering and being assigned by an officer, see opportunities and applicants for assigned companies; review candidate profiles and authorized resumes; manage assigned-company roles; update application stage; schedule interviews; write private interviewer notes and candidate-facing feedback; message candidates.</w:t>
            </w:r>
          </w:p>
        </w:tc>
      </w:tr>
    </w:tbl>
    <w:p>
      <w:pPr>
        <w:spacing w:after="20"/>
      </w:pPr>
    </w:p>
    <w:p>
      <w:r>
        <w:t>Access is enforced in API routes and database row-level security policies. A recruiter’s company assignment limits which company’s opportunities and candidates are visible. A resume is stored privately and is served through an authenticated, short-lived download link.</w:t>
      </w:r>
    </w:p>
    <w:p>
      <w:pPr>
        <w:pStyle w:val="Heading1"/>
        <w:keepNext/>
      </w:pPr>
      <w:r>
        <w:t>3. How a placement cycle works</w:t>
      </w:r>
    </w:p>
    <w:tbl>
      <w:tblPr>
        <w:tblW w:type="auto" w:w="0"/>
        <w:jc w:val="center"/>
        <w:tblLayout w:type="fixed"/>
        <w:tblLook w:firstColumn="1" w:firstRow="1" w:lastColumn="0" w:lastRow="0" w:noHBand="0" w:noVBand="1" w:val="04A0"/>
        <w:tblBorders>
          <w:top w:val="single" w:sz="5" w:color="D9DED9"/>
          <w:left w:val="single" w:sz="5" w:color="D9DED9"/>
          <w:bottom w:val="single" w:sz="5" w:color="D9DED9"/>
          <w:right w:val="single" w:sz="5" w:color="D9DED9"/>
          <w:insideH w:val="single" w:sz="5" w:color="D9DED9"/>
          <w:insideV w:val="single" w:sz="5" w:color="D9DED9"/>
        </w:tblBorders>
      </w:tblPr>
      <w:tblGrid>
        <w:gridCol w:w="792"/>
        <w:gridCol w:w="9288"/>
      </w:tblGrid>
      <w:tr>
        <w:trPr>
          <w:cantSplit/>
        </w:trPr>
        <w:tc>
          <w:tcPr>
            <w:tcW w:type="dxa" w:w="4997"/>
            <w:shd w:fill="294B3B"/>
            <w:vAlign w:val="center"/>
            <w:tcMar>
              <w:top w:w="110" w:type="dxa"/>
              <w:start w:w="125" w:type="dxa"/>
              <w:bottom w:w="110" w:type="dxa"/>
              <w:end w:w="125" w:type="dxa"/>
            </w:tcMar>
          </w:tcPr>
          <w:p>
            <w:r>
              <w:rPr>
                <w:b/>
                <w:color w:val="FFFFFF"/>
                <w:sz w:val="18"/>
              </w:rPr>
              <w:t>Step</w:t>
            </w:r>
          </w:p>
        </w:tc>
        <w:tc>
          <w:tcPr>
            <w:tcW w:type="dxa" w:w="4997"/>
            <w:shd w:fill="294B3B"/>
            <w:vAlign w:val="center"/>
            <w:tcMar>
              <w:top w:w="110" w:type="dxa"/>
              <w:start w:w="125" w:type="dxa"/>
              <w:bottom w:w="110" w:type="dxa"/>
              <w:end w:w="125" w:type="dxa"/>
            </w:tcMar>
          </w:tcPr>
          <w:p>
            <w:r>
              <w:rPr>
                <w:b/>
                <w:color w:val="FFFFFF"/>
                <w:sz w:val="18"/>
              </w:rPr>
              <w:t>What happens</w:t>
            </w:r>
          </w:p>
        </w:tc>
      </w:tr>
      <w:tr>
        <w:trPr>
          <w:cantSplit/>
        </w:trPr>
        <w:tc>
          <w:tcPr>
            <w:tcW w:type="dxa" w:w="792"/>
            <w:vAlign w:val="center"/>
            <w:tcMar>
              <w:top w:w="90" w:type="dxa"/>
              <w:start w:w="115" w:type="dxa"/>
              <w:bottom w:w="90" w:type="dxa"/>
              <w:end w:w="115" w:type="dxa"/>
            </w:tcMar>
          </w:tcPr>
          <w:p>
            <w:pPr>
              <w:spacing w:after="20"/>
            </w:pPr>
            <w:r>
              <w:rPr>
                <w:sz w:val="18"/>
              </w:rPr>
              <w:t>1. Set up accounts</w:t>
            </w:r>
          </w:p>
        </w:tc>
        <w:tc>
          <w:tcPr>
            <w:tcW w:type="dxa" w:w="9288"/>
            <w:vAlign w:val="center"/>
            <w:tcMar>
              <w:top w:w="90" w:type="dxa"/>
              <w:start w:w="115" w:type="dxa"/>
              <w:bottom w:w="90" w:type="dxa"/>
              <w:end w:w="115" w:type="dxa"/>
            </w:tcMar>
          </w:tcPr>
          <w:p>
            <w:pPr>
              <w:spacing w:after="20"/>
            </w:pPr>
            <w:r>
              <w:rPr>
                <w:sz w:val="18"/>
              </w:rPr>
              <w:t>Students and recruiters register through the sign-in page. A placement officer account is designated by the project administrator.</w:t>
            </w:r>
          </w:p>
        </w:tc>
      </w:tr>
      <w:tr>
        <w:trPr>
          <w:cantSplit/>
        </w:trPr>
        <w:tc>
          <w:tcPr>
            <w:tcW w:type="dxa" w:w="792"/>
            <w:vAlign w:val="center"/>
            <w:tcMar>
              <w:top w:w="90" w:type="dxa"/>
              <w:start w:w="115" w:type="dxa"/>
              <w:bottom w:w="90" w:type="dxa"/>
              <w:end w:w="115" w:type="dxa"/>
            </w:tcMar>
            <w:shd w:fill="F2F6F2"/>
          </w:tcPr>
          <w:p>
            <w:pPr>
              <w:spacing w:after="20"/>
            </w:pPr>
            <w:r>
              <w:rPr>
                <w:sz w:val="18"/>
              </w:rPr>
              <w:t>2. Create a company and role</w:t>
            </w:r>
          </w:p>
        </w:tc>
        <w:tc>
          <w:tcPr>
            <w:tcW w:type="dxa" w:w="9288"/>
            <w:vAlign w:val="center"/>
            <w:tcMar>
              <w:top w:w="90" w:type="dxa"/>
              <w:start w:w="115" w:type="dxa"/>
              <w:bottom w:w="90" w:type="dxa"/>
              <w:end w:w="115" w:type="dxa"/>
            </w:tcMar>
            <w:shd w:fill="F2F6F2"/>
          </w:tcPr>
          <w:p>
            <w:pPr>
              <w:spacing w:after="20"/>
            </w:pPr>
            <w:r>
              <w:rPr>
                <w:sz w:val="18"/>
              </w:rPr>
              <w:t>The officer opens Opportunities and posts a role. Entering a company name creates that company record if it does not already exist.</w:t>
            </w:r>
          </w:p>
        </w:tc>
      </w:tr>
      <w:tr>
        <w:trPr>
          <w:cantSplit/>
        </w:trPr>
        <w:tc>
          <w:tcPr>
            <w:tcW w:type="dxa" w:w="792"/>
            <w:vAlign w:val="center"/>
            <w:tcMar>
              <w:top w:w="90" w:type="dxa"/>
              <w:start w:w="115" w:type="dxa"/>
              <w:bottom w:w="90" w:type="dxa"/>
              <w:end w:w="115" w:type="dxa"/>
            </w:tcMar>
          </w:tcPr>
          <w:p>
            <w:pPr>
              <w:spacing w:after="20"/>
            </w:pPr>
            <w:r>
              <w:rPr>
                <w:sz w:val="18"/>
              </w:rPr>
              <w:t>3. Assign the recruiter</w:t>
            </w:r>
          </w:p>
        </w:tc>
        <w:tc>
          <w:tcPr>
            <w:tcW w:type="dxa" w:w="9288"/>
            <w:vAlign w:val="center"/>
            <w:tcMar>
              <w:top w:w="90" w:type="dxa"/>
              <w:start w:w="115" w:type="dxa"/>
              <w:bottom w:w="90" w:type="dxa"/>
              <w:end w:w="115" w:type="dxa"/>
            </w:tcMar>
          </w:tcPr>
          <w:p>
            <w:pPr>
              <w:spacing w:after="20"/>
            </w:pPr>
            <w:r>
              <w:rPr>
                <w:sz w:val="18"/>
              </w:rPr>
              <w:t>The recruiter first registers. The officer opens Recruiter access, selects the company, enters the recruiter’s registered email, and assigns access.</w:t>
            </w:r>
          </w:p>
        </w:tc>
      </w:tr>
      <w:tr>
        <w:trPr>
          <w:cantSplit/>
        </w:trPr>
        <w:tc>
          <w:tcPr>
            <w:tcW w:type="dxa" w:w="792"/>
            <w:vAlign w:val="center"/>
            <w:tcMar>
              <w:top w:w="90" w:type="dxa"/>
              <w:start w:w="115" w:type="dxa"/>
              <w:bottom w:w="90" w:type="dxa"/>
              <w:end w:w="115" w:type="dxa"/>
            </w:tcMar>
            <w:shd w:fill="F2F6F2"/>
          </w:tcPr>
          <w:p>
            <w:pPr>
              <w:spacing w:after="20"/>
            </w:pPr>
            <w:r>
              <w:rPr>
                <w:sz w:val="18"/>
              </w:rPr>
              <w:t>4. Student applies</w:t>
            </w:r>
          </w:p>
        </w:tc>
        <w:tc>
          <w:tcPr>
            <w:tcW w:type="dxa" w:w="9288"/>
            <w:vAlign w:val="center"/>
            <w:tcMar>
              <w:top w:w="90" w:type="dxa"/>
              <w:start w:w="115" w:type="dxa"/>
              <w:bottom w:w="90" w:type="dxa"/>
              <w:end w:w="115" w:type="dxa"/>
            </w:tcMar>
            <w:shd w:fill="F2F6F2"/>
          </w:tcPr>
          <w:p>
            <w:pPr>
              <w:spacing w:after="20"/>
            </w:pPr>
            <w:r>
              <w:rPr>
                <w:sz w:val="18"/>
              </w:rPr>
              <w:t>The student browses published roles and applies. HireTrack records the application in the database.</w:t>
            </w:r>
          </w:p>
        </w:tc>
      </w:tr>
      <w:tr>
        <w:trPr>
          <w:cantSplit/>
        </w:trPr>
        <w:tc>
          <w:tcPr>
            <w:tcW w:type="dxa" w:w="792"/>
            <w:vAlign w:val="center"/>
            <w:tcMar>
              <w:top w:w="90" w:type="dxa"/>
              <w:start w:w="115" w:type="dxa"/>
              <w:bottom w:w="90" w:type="dxa"/>
              <w:end w:w="115" w:type="dxa"/>
            </w:tcMar>
          </w:tcPr>
          <w:p>
            <w:pPr>
              <w:spacing w:after="20"/>
            </w:pPr>
            <w:r>
              <w:rPr>
                <w:sz w:val="18"/>
              </w:rPr>
              <w:t>5. Manage progress</w:t>
            </w:r>
          </w:p>
        </w:tc>
        <w:tc>
          <w:tcPr>
            <w:tcW w:type="dxa" w:w="9288"/>
            <w:vAlign w:val="center"/>
            <w:tcMar>
              <w:top w:w="90" w:type="dxa"/>
              <w:start w:w="115" w:type="dxa"/>
              <w:bottom w:w="90" w:type="dxa"/>
              <w:end w:w="115" w:type="dxa"/>
            </w:tcMar>
          </w:tcPr>
          <w:p>
            <w:pPr>
              <w:spacing w:after="20"/>
            </w:pPr>
            <w:r>
              <w:rPr>
                <w:sz w:val="18"/>
              </w:rPr>
              <w:t>The officer or assigned recruiter changes the application stage and can schedule interview rounds. Stage changes are recorded in the application history.</w:t>
            </w:r>
          </w:p>
        </w:tc>
      </w:tr>
      <w:tr>
        <w:trPr>
          <w:cantSplit/>
        </w:trPr>
        <w:tc>
          <w:tcPr>
            <w:tcW w:type="dxa" w:w="792"/>
            <w:vAlign w:val="center"/>
            <w:tcMar>
              <w:top w:w="90" w:type="dxa"/>
              <w:start w:w="115" w:type="dxa"/>
              <w:bottom w:w="90" w:type="dxa"/>
              <w:end w:w="115" w:type="dxa"/>
            </w:tcMar>
            <w:shd w:fill="F2F6F2"/>
          </w:tcPr>
          <w:p>
            <w:pPr>
              <w:spacing w:after="20"/>
            </w:pPr>
            <w:r>
              <w:rPr>
                <w:sz w:val="18"/>
              </w:rPr>
              <w:t>6. Communicate and decide</w:t>
            </w:r>
          </w:p>
        </w:tc>
        <w:tc>
          <w:tcPr>
            <w:tcW w:type="dxa" w:w="9288"/>
            <w:vAlign w:val="center"/>
            <w:tcMar>
              <w:top w:w="90" w:type="dxa"/>
              <w:start w:w="115" w:type="dxa"/>
              <w:bottom w:w="90" w:type="dxa"/>
              <w:end w:w="115" w:type="dxa"/>
            </w:tcMar>
            <w:shd w:fill="F2F6F2"/>
          </w:tcPr>
          <w:p>
            <w:pPr>
              <w:spacing w:after="20"/>
            </w:pPr>
            <w:r>
              <w:rPr>
                <w:sz w:val="18"/>
              </w:rPr>
              <w:t>Authorized staff and the student exchange application messages. Interviewers can keep internal notes separate from feedback shown to the candidate.</w:t>
            </w:r>
          </w:p>
        </w:tc>
      </w:tr>
      <w:tr>
        <w:trPr>
          <w:cantSplit/>
        </w:trPr>
        <w:tc>
          <w:tcPr>
            <w:tcW w:type="dxa" w:w="792"/>
            <w:vAlign w:val="center"/>
            <w:tcMar>
              <w:top w:w="90" w:type="dxa"/>
              <w:start w:w="115" w:type="dxa"/>
              <w:bottom w:w="90" w:type="dxa"/>
              <w:end w:w="115" w:type="dxa"/>
            </w:tcMar>
          </w:tcPr>
          <w:p>
            <w:pPr>
              <w:spacing w:after="20"/>
            </w:pPr>
            <w:r>
              <w:rPr>
                <w:sz w:val="18"/>
              </w:rPr>
              <w:t>7. Close the loop</w:t>
            </w:r>
          </w:p>
        </w:tc>
        <w:tc>
          <w:tcPr>
            <w:tcW w:type="dxa" w:w="9288"/>
            <w:vAlign w:val="center"/>
            <w:tcMar>
              <w:top w:w="90" w:type="dxa"/>
              <w:start w:w="115" w:type="dxa"/>
              <w:bottom w:w="90" w:type="dxa"/>
              <w:end w:w="115" w:type="dxa"/>
            </w:tcMar>
          </w:tcPr>
          <w:p>
            <w:pPr>
              <w:spacing w:after="20"/>
            </w:pPr>
            <w:r>
              <w:rPr>
                <w:sz w:val="18"/>
              </w:rPr>
              <w:t>The team records an outcome such as an offer, rejection, or withdrawal. The student can review the visible progress and interview feedback.</w:t>
            </w:r>
          </w:p>
        </w:tc>
      </w:tr>
    </w:tbl>
    <w:p>
      <w:pPr>
        <w:spacing w:after="20"/>
      </w:pPr>
    </w:p>
    <w:p>
      <w:pPr>
        <w:pStyle w:val="Heading1"/>
        <w:keepNext/>
      </w:pPr>
      <w:r>
        <w:t>4. Using Recruiter access</w:t>
      </w:r>
    </w:p>
    <w:p>
      <w:r>
        <w:t>A company must exist before it can appear in the company selector. In the current application flow, creating an officer opportunity also creates its company when the name is new. That is why a newly set up database can show no company options until the officer posts or saves an opportunity.</w:t>
      </w:r>
    </w:p>
    <w:p>
      <w:pPr>
        <w:pStyle w:val="ListNumber"/>
        <w:spacing w:after="80"/>
      </w:pPr>
      <w:r>
        <w:t>As the placement officer, open Opportunities and select Post an opportunity.</w:t>
      </w:r>
    </w:p>
    <w:p>
      <w:pPr>
        <w:pStyle w:val="ListNumber"/>
        <w:spacing w:after="80"/>
      </w:pPr>
      <w:r>
        <w:t>Enter the company name and the required role details. Save as a draft or publish the role. Saving creates the company record.</w:t>
      </w:r>
    </w:p>
    <w:p>
      <w:pPr>
        <w:pStyle w:val="ListNumber"/>
        <w:spacing w:after="80"/>
      </w:pPr>
      <w:r>
        <w:t>Ask the company recruiter to create a HireTrack account using the email address they will use for access.</w:t>
      </w:r>
    </w:p>
    <w:p>
      <w:pPr>
        <w:pStyle w:val="ListNumber"/>
        <w:spacing w:after="80"/>
      </w:pPr>
      <w:r>
        <w:t>Return to Recruiter access. Choose the company, enter that registered email, and select Assign recruiter.</w:t>
      </w:r>
    </w:p>
    <w:p>
      <w:pPr>
        <w:pStyle w:val="ListNumber"/>
        <w:spacing w:after="80"/>
      </w:pPr>
      <w:r>
        <w:t>The recruiter signs in again. Their workspace is scoped to the company assigned by the officer.</w:t>
      </w:r>
    </w:p>
    <w:p>
      <w:pPr>
        <w:pStyle w:val="ListNumber"/>
        <w:spacing w:after="80"/>
      </w:pPr>
      <w:r>
        <w:t>To revoke access later, use Remove access in the company assignments table. This deactivates the assignment while preserving its history.</w:t>
      </w:r>
    </w:p>
    <w:p>
      <w:r>
        <w:t>The recruiter assignment page now uses an explicit database relationship for recruiter profiles, avoiding the ambiguous relationship error shown in the supplied screenshot. If there are still no companies after that query is fixed, follow the company-creation steps above.</w:t>
      </w:r>
    </w:p>
    <w:p>
      <w:pPr>
        <w:pStyle w:val="Heading1"/>
        <w:keepNext/>
      </w:pPr>
      <w:r>
        <w:t>5. How the system is organized</w:t>
      </w:r>
    </w:p>
    <w:tbl>
      <w:tblPr>
        <w:tblW w:type="auto" w:w="0"/>
        <w:jc w:val="center"/>
        <w:tblLayout w:type="fixed"/>
        <w:tblLook w:firstColumn="1" w:firstRow="1" w:lastColumn="0" w:lastRow="0" w:noHBand="0" w:noVBand="1" w:val="04A0"/>
        <w:tblBorders>
          <w:top w:val="single" w:sz="5" w:color="D9DED9"/>
          <w:left w:val="single" w:sz="5" w:color="D9DED9"/>
          <w:bottom w:val="single" w:sz="5" w:color="D9DED9"/>
          <w:right w:val="single" w:sz="5" w:color="D9DED9"/>
          <w:insideH w:val="single" w:sz="5" w:color="D9DED9"/>
          <w:insideV w:val="single" w:sz="5" w:color="D9DED9"/>
        </w:tblBorders>
      </w:tblPr>
      <w:tblGrid>
        <w:gridCol w:w="2232"/>
        <w:gridCol w:w="7848"/>
      </w:tblGrid>
      <w:tr>
        <w:trPr>
          <w:cantSplit/>
        </w:trPr>
        <w:tc>
          <w:tcPr>
            <w:tcW w:type="dxa" w:w="4997"/>
            <w:shd w:fill="294B3B"/>
            <w:vAlign w:val="center"/>
            <w:tcMar>
              <w:top w:w="110" w:type="dxa"/>
              <w:start w:w="125" w:type="dxa"/>
              <w:bottom w:w="110" w:type="dxa"/>
              <w:end w:w="125" w:type="dxa"/>
            </w:tcMar>
          </w:tcPr>
          <w:p>
            <w:r>
              <w:rPr>
                <w:b/>
                <w:color w:val="FFFFFF"/>
                <w:sz w:val="18"/>
              </w:rPr>
              <w:t>Part</w:t>
            </w:r>
          </w:p>
        </w:tc>
        <w:tc>
          <w:tcPr>
            <w:tcW w:type="dxa" w:w="4997"/>
            <w:shd w:fill="294B3B"/>
            <w:vAlign w:val="center"/>
            <w:tcMar>
              <w:top w:w="110" w:type="dxa"/>
              <w:start w:w="125" w:type="dxa"/>
              <w:bottom w:w="110" w:type="dxa"/>
              <w:end w:w="125" w:type="dxa"/>
            </w:tcMar>
          </w:tcPr>
          <w:p>
            <w:r>
              <w:rPr>
                <w:b/>
                <w:color w:val="FFFFFF"/>
                <w:sz w:val="18"/>
              </w:rPr>
              <w:t>Responsibility</w:t>
            </w:r>
          </w:p>
        </w:tc>
      </w:tr>
      <w:tr>
        <w:trPr>
          <w:cantSplit/>
        </w:trPr>
        <w:tc>
          <w:tcPr>
            <w:tcW w:type="dxa" w:w="2232"/>
            <w:vAlign w:val="center"/>
            <w:tcMar>
              <w:top w:w="90" w:type="dxa"/>
              <w:start w:w="115" w:type="dxa"/>
              <w:bottom w:w="90" w:type="dxa"/>
              <w:end w:w="115" w:type="dxa"/>
            </w:tcMar>
          </w:tcPr>
          <w:p>
            <w:pPr>
              <w:spacing w:after="20"/>
            </w:pPr>
            <w:r>
              <w:rPr>
                <w:sz w:val="18"/>
              </w:rPr>
              <w:t>Browser interface</w:t>
            </w:r>
          </w:p>
        </w:tc>
        <w:tc>
          <w:tcPr>
            <w:tcW w:type="dxa" w:w="7848"/>
            <w:vAlign w:val="center"/>
            <w:tcMar>
              <w:top w:w="90" w:type="dxa"/>
              <w:start w:w="115" w:type="dxa"/>
              <w:bottom w:w="90" w:type="dxa"/>
              <w:end w:w="115" w:type="dxa"/>
            </w:tcMar>
          </w:tcPr>
          <w:p>
            <w:pPr>
              <w:spacing w:after="20"/>
            </w:pPr>
            <w:r>
              <w:rPr>
                <w:sz w:val="18"/>
              </w:rPr>
              <w:t>Next.js pages and React components display role-specific screens and collect user actions.</w:t>
            </w:r>
          </w:p>
        </w:tc>
      </w:tr>
      <w:tr>
        <w:trPr>
          <w:cantSplit/>
        </w:trPr>
        <w:tc>
          <w:tcPr>
            <w:tcW w:type="dxa" w:w="2232"/>
            <w:vAlign w:val="center"/>
            <w:tcMar>
              <w:top w:w="90" w:type="dxa"/>
              <w:start w:w="115" w:type="dxa"/>
              <w:bottom w:w="90" w:type="dxa"/>
              <w:end w:w="115" w:type="dxa"/>
            </w:tcMar>
            <w:shd w:fill="F2F6F2"/>
          </w:tcPr>
          <w:p>
            <w:pPr>
              <w:spacing w:after="20"/>
            </w:pPr>
            <w:r>
              <w:rPr>
                <w:sz w:val="18"/>
              </w:rPr>
              <w:t>API routes</w:t>
            </w:r>
          </w:p>
        </w:tc>
        <w:tc>
          <w:tcPr>
            <w:tcW w:type="dxa" w:w="7848"/>
            <w:vAlign w:val="center"/>
            <w:tcMar>
              <w:top w:w="90" w:type="dxa"/>
              <w:start w:w="115" w:type="dxa"/>
              <w:bottom w:w="90" w:type="dxa"/>
              <w:end w:w="115" w:type="dxa"/>
            </w:tcMar>
            <w:shd w:fill="F2F6F2"/>
          </w:tcPr>
          <w:p>
            <w:pPr>
              <w:spacing w:after="20"/>
            </w:pPr>
            <w:r>
              <w:rPr>
                <w:sz w:val="18"/>
              </w:rPr>
              <w:t>Server endpoints validate requests, check the signed-in user and role, and perform scoped operations.</w:t>
            </w:r>
          </w:p>
        </w:tc>
      </w:tr>
      <w:tr>
        <w:trPr>
          <w:cantSplit/>
        </w:trPr>
        <w:tc>
          <w:tcPr>
            <w:tcW w:type="dxa" w:w="2232"/>
            <w:vAlign w:val="center"/>
            <w:tcMar>
              <w:top w:w="90" w:type="dxa"/>
              <w:start w:w="115" w:type="dxa"/>
              <w:bottom w:w="90" w:type="dxa"/>
              <w:end w:w="115" w:type="dxa"/>
            </w:tcMar>
          </w:tcPr>
          <w:p>
            <w:pPr>
              <w:spacing w:after="20"/>
            </w:pPr>
            <w:r>
              <w:rPr>
                <w:sz w:val="18"/>
              </w:rPr>
              <w:t>Supabase Auth</w:t>
            </w:r>
          </w:p>
        </w:tc>
        <w:tc>
          <w:tcPr>
            <w:tcW w:type="dxa" w:w="7848"/>
            <w:vAlign w:val="center"/>
            <w:tcMar>
              <w:top w:w="90" w:type="dxa"/>
              <w:start w:w="115" w:type="dxa"/>
              <w:bottom w:w="90" w:type="dxa"/>
              <w:end w:w="115" w:type="dxa"/>
            </w:tcMar>
          </w:tcPr>
          <w:p>
            <w:pPr>
              <w:spacing w:after="20"/>
            </w:pPr>
            <w:r>
              <w:rPr>
                <w:sz w:val="18"/>
              </w:rPr>
              <w:t>Creates and verifies accounts and supplies the user session used by the application.</w:t>
            </w:r>
          </w:p>
        </w:tc>
      </w:tr>
      <w:tr>
        <w:trPr>
          <w:cantSplit/>
        </w:trPr>
        <w:tc>
          <w:tcPr>
            <w:tcW w:type="dxa" w:w="2232"/>
            <w:vAlign w:val="center"/>
            <w:tcMar>
              <w:top w:w="90" w:type="dxa"/>
              <w:start w:w="115" w:type="dxa"/>
              <w:bottom w:w="90" w:type="dxa"/>
              <w:end w:w="115" w:type="dxa"/>
            </w:tcMar>
            <w:shd w:fill="F2F6F2"/>
          </w:tcPr>
          <w:p>
            <w:pPr>
              <w:spacing w:after="20"/>
            </w:pPr>
            <w:r>
              <w:rPr>
                <w:sz w:val="18"/>
              </w:rPr>
              <w:t>PostgreSQL</w:t>
            </w:r>
          </w:p>
        </w:tc>
        <w:tc>
          <w:tcPr>
            <w:tcW w:type="dxa" w:w="7848"/>
            <w:vAlign w:val="center"/>
            <w:tcMar>
              <w:top w:w="90" w:type="dxa"/>
              <w:start w:w="115" w:type="dxa"/>
              <w:bottom w:w="90" w:type="dxa"/>
              <w:end w:w="115" w:type="dxa"/>
            </w:tcMar>
            <w:shd w:fill="F2F6F2"/>
          </w:tcPr>
          <w:p>
            <w:pPr>
              <w:spacing w:after="20"/>
            </w:pPr>
            <w:r>
              <w:rPr>
                <w:sz w:val="18"/>
              </w:rPr>
              <w:t>Stores profiles, companies, jobs, applications, company memberships, interviews, messages, event history, and audit records.</w:t>
            </w:r>
          </w:p>
        </w:tc>
      </w:tr>
      <w:tr>
        <w:trPr>
          <w:cantSplit/>
        </w:trPr>
        <w:tc>
          <w:tcPr>
            <w:tcW w:type="dxa" w:w="2232"/>
            <w:vAlign w:val="center"/>
            <w:tcMar>
              <w:top w:w="90" w:type="dxa"/>
              <w:start w:w="115" w:type="dxa"/>
              <w:bottom w:w="90" w:type="dxa"/>
              <w:end w:w="115" w:type="dxa"/>
            </w:tcMar>
          </w:tcPr>
          <w:p>
            <w:pPr>
              <w:spacing w:after="20"/>
            </w:pPr>
            <w:r>
              <w:rPr>
                <w:sz w:val="18"/>
              </w:rPr>
              <w:t>Row-level security</w:t>
            </w:r>
          </w:p>
        </w:tc>
        <w:tc>
          <w:tcPr>
            <w:tcW w:type="dxa" w:w="7848"/>
            <w:vAlign w:val="center"/>
            <w:tcMar>
              <w:top w:w="90" w:type="dxa"/>
              <w:start w:w="115" w:type="dxa"/>
              <w:bottom w:w="90" w:type="dxa"/>
              <w:end w:w="115" w:type="dxa"/>
            </w:tcMar>
          </w:tcPr>
          <w:p>
            <w:pPr>
              <w:spacing w:after="20"/>
            </w:pPr>
            <w:r>
              <w:rPr>
                <w:sz w:val="18"/>
              </w:rPr>
              <w:t>Applies database access rules so signed-in users can read or change only permitted records.</w:t>
            </w:r>
          </w:p>
        </w:tc>
      </w:tr>
      <w:tr>
        <w:trPr>
          <w:cantSplit/>
        </w:trPr>
        <w:tc>
          <w:tcPr>
            <w:tcW w:type="dxa" w:w="2232"/>
            <w:vAlign w:val="center"/>
            <w:tcMar>
              <w:top w:w="90" w:type="dxa"/>
              <w:start w:w="115" w:type="dxa"/>
              <w:bottom w:w="90" w:type="dxa"/>
              <w:end w:w="115" w:type="dxa"/>
            </w:tcMar>
            <w:shd w:fill="F2F6F2"/>
          </w:tcPr>
          <w:p>
            <w:pPr>
              <w:spacing w:after="20"/>
            </w:pPr>
            <w:r>
              <w:rPr>
                <w:sz w:val="18"/>
              </w:rPr>
              <w:t>Supabase Storage</w:t>
            </w:r>
          </w:p>
        </w:tc>
        <w:tc>
          <w:tcPr>
            <w:tcW w:type="dxa" w:w="7848"/>
            <w:vAlign w:val="center"/>
            <w:tcMar>
              <w:top w:w="90" w:type="dxa"/>
              <w:start w:w="115" w:type="dxa"/>
              <w:bottom w:w="90" w:type="dxa"/>
              <w:end w:w="115" w:type="dxa"/>
            </w:tcMar>
            <w:shd w:fill="F2F6F2"/>
          </w:tcPr>
          <w:p>
            <w:pPr>
              <w:spacing w:after="20"/>
            </w:pPr>
            <w:r>
              <w:rPr>
                <w:sz w:val="18"/>
              </w:rPr>
              <w:t>Holds resume files in a private bucket; the server checks access before creating a short-lived download URL.</w:t>
            </w:r>
          </w:p>
        </w:tc>
      </w:tr>
      <w:tr>
        <w:trPr>
          <w:cantSplit/>
        </w:trPr>
        <w:tc>
          <w:tcPr>
            <w:tcW w:type="dxa" w:w="2232"/>
            <w:vAlign w:val="center"/>
            <w:tcMar>
              <w:top w:w="90" w:type="dxa"/>
              <w:start w:w="115" w:type="dxa"/>
              <w:bottom w:w="90" w:type="dxa"/>
              <w:end w:w="115" w:type="dxa"/>
            </w:tcMar>
          </w:tcPr>
          <w:p>
            <w:pPr>
              <w:spacing w:after="20"/>
            </w:pPr>
            <w:r>
              <w:rPr>
                <w:sz w:val="18"/>
              </w:rPr>
              <w:t>GitHub and Vercel</w:t>
            </w:r>
          </w:p>
        </w:tc>
        <w:tc>
          <w:tcPr>
            <w:tcW w:type="dxa" w:w="7848"/>
            <w:vAlign w:val="center"/>
            <w:tcMar>
              <w:top w:w="90" w:type="dxa"/>
              <w:start w:w="115" w:type="dxa"/>
              <w:bottom w:w="90" w:type="dxa"/>
              <w:end w:w="115" w:type="dxa"/>
            </w:tcMar>
          </w:tcPr>
          <w:p>
            <w:pPr>
              <w:spacing w:after="20"/>
            </w:pPr>
            <w:r>
              <w:rPr>
                <w:sz w:val="18"/>
              </w:rPr>
              <w:t>GitHub stores the source code. Vercel builds and serves the app when a deployment is created from the repository.</w:t>
            </w:r>
          </w:p>
        </w:tc>
      </w:tr>
    </w:tbl>
    <w:p>
      <w:pPr>
        <w:spacing w:after="20"/>
      </w:pPr>
    </w:p>
    <w:p>
      <w:pPr>
        <w:pStyle w:val="Heading2"/>
        <w:keepNext/>
      </w:pPr>
      <w:r>
        <w:t>Key data relationships</w:t>
      </w:r>
    </w:p>
    <w:p>
      <w:r>
        <w:t>A Supabase Auth user has a profile. A student profile extends that profile with education, skills, GitHub details, and resume metadata. A company can have many opportunities and recruiter memberships. An opportunity can receive many applications. An application can have stage-history events, interview rounds, and a conversation. This structure keeps each candidate action tied to the correct role and company.</w:t>
      </w:r>
    </w:p>
    <w:p>
      <w:pPr>
        <w:pStyle w:val="Heading2"/>
        <w:keepNext/>
      </w:pPr>
      <w:r>
        <w:t>Security and privacy</w:t>
      </w:r>
    </w:p>
    <w:p>
      <w:pPr>
        <w:pStyle w:val="ListBullet"/>
        <w:spacing w:after="60"/>
      </w:pPr>
      <w:r>
        <w:t>Use the Supabase publishable/anonymous key in the public application configuration; never expose a Supabase secret or service-role key in browser code.</w:t>
      </w:r>
    </w:p>
    <w:p>
      <w:pPr>
        <w:pStyle w:val="ListBullet"/>
        <w:spacing w:after="60"/>
      </w:pPr>
      <w:r>
        <w:t>Keep row-level security enabled and apply all project migrations in order. The user interface is not the security boundary; the database and API checks are.</w:t>
      </w:r>
    </w:p>
    <w:p>
      <w:pPr>
        <w:pStyle w:val="ListBullet"/>
        <w:spacing w:after="60"/>
      </w:pPr>
      <w:r>
        <w:t>Resume files belong in the private candidate-resumes bucket. Do not make that bucket public or permanently share a signed link.</w:t>
      </w:r>
    </w:p>
    <w:p>
      <w:pPr>
        <w:pStyle w:val="ListBullet"/>
        <w:spacing w:after="60"/>
      </w:pPr>
      <w:r>
        <w:t>Recruiters should only be assigned after they register, and only to the company they are authorized to represent.</w:t>
      </w:r>
    </w:p>
    <w:p>
      <w:pPr>
        <w:pStyle w:val="ListBullet"/>
        <w:spacing w:after="60"/>
      </w:pPr>
      <w:r>
        <w:t>Keep .env.local out of GitHub. Vercel needs the required environment variables configured separately for each environment.</w:t>
      </w:r>
    </w:p>
    <w:p>
      <w:pPr>
        <w:pStyle w:val="Heading1"/>
        <w:keepNext/>
      </w:pPr>
      <w:r>
        <w:t>6. How HireTrack was developed</w:t>
      </w:r>
    </w:p>
    <w:p>
      <w:r>
        <w:t>The project was developed as a single full-stack Next.js application backed by Supabase. This means the same codebase contains the pages people use and the API endpoints that handle protected operations, while Supabase supplies identity, persistent data, database policies, and private file storage.</w:t>
      </w:r>
    </w:p>
    <w:p>
      <w:pPr>
        <w:pStyle w:val="Heading2"/>
        <w:keepNext/>
      </w:pPr>
      <w:r>
        <w:t>Requirements and roles</w:t>
      </w:r>
    </w:p>
    <w:p>
      <w:r>
        <w:t>The project scope was organized around the placement journey and three account types: student, placement officer, and company recruiter. That role separation shaped the screens, data access, and workflow.</w:t>
      </w:r>
    </w:p>
    <w:p>
      <w:pPr>
        <w:pStyle w:val="Heading2"/>
        <w:keepNext/>
      </w:pPr>
      <w:r>
        <w:t>Interface and page structure</w:t>
      </w:r>
    </w:p>
    <w:p>
      <w:r>
        <w:t>The website was built with Next.js App Router pages and reusable React components. The interface includes dashboards and role workspaces, application and opportunity views, messages, recruiter assignment, profile editing, and a persistent theme preference.</w:t>
      </w:r>
    </w:p>
    <w:p>
      <w:pPr>
        <w:pStyle w:val="Heading2"/>
        <w:keepNext/>
      </w:pPr>
      <w:r>
        <w:t>Database design</w:t>
      </w:r>
    </w:p>
    <w:p>
      <w:r>
        <w:t>The initial SQL migration defines profiles, student profiles, companies, jobs, applications, interview rounds, and related records. Later migrations add recruiter-company membership, messaging, audit and event history, private resume storage rules, and additional safeguards.</w:t>
      </w:r>
    </w:p>
    <w:p>
      <w:pPr>
        <w:pStyle w:val="Heading2"/>
        <w:keepNext/>
      </w:pPr>
      <w:r>
        <w:t>Authentication and authorization</w:t>
      </w:r>
    </w:p>
    <w:p>
      <w:r>
        <w:t>Supabase Auth handles sign-in and registration. The application reads the verified session, determines the account role, and protects pages and API routes. PostgreSQL row-level security limits data access even if a user attempts to bypass the screens.</w:t>
      </w:r>
    </w:p>
    <w:p>
      <w:pPr>
        <w:pStyle w:val="Heading2"/>
        <w:keepNext/>
      </w:pPr>
      <w:r>
        <w:t>API and business rules</w:t>
      </w:r>
    </w:p>
    <w:p>
      <w:r>
        <w:t>Next.js route handlers validate fields and permissions before changing data. For example, students apply to published roles; staff update application stages; recruiter actions are limited to their assignments; resume access is checked before download.</w:t>
      </w:r>
    </w:p>
    <w:p>
      <w:pPr>
        <w:pStyle w:val="Heading2"/>
        <w:keepNext/>
      </w:pPr>
      <w:r>
        <w:t>Integration and file handling</w:t>
      </w:r>
    </w:p>
    <w:p>
      <w:r>
        <w:t>A server route retrieves public GitHub profile data. Supabase Storage handles private resume files. Interview, message, profile, and placement records remain in the database.</w:t>
      </w:r>
    </w:p>
    <w:p>
      <w:pPr>
        <w:pStyle w:val="Heading2"/>
        <w:keepNext/>
      </w:pPr>
      <w:r>
        <w:t>Quality checks</w:t>
      </w:r>
    </w:p>
    <w:p>
      <w:r>
        <w:t>ESLint checks source code quality. The Next.js production build compiles pages and checks TypeScript. Functional checks should also be performed with separate student, officer, and recruiter accounts against the configured Supabase project.</w:t>
      </w:r>
    </w:p>
    <w:p>
      <w:pPr>
        <w:pStyle w:val="Heading2"/>
        <w:keepNext/>
      </w:pPr>
      <w:r>
        <w:t>Source control and deployment</w:t>
      </w:r>
    </w:p>
    <w:p>
      <w:r>
        <w:t>Git tracks code changes and GitHub stores the remote repository. Vercel builds the connected branch. Environment values and Supabase authentication redirect URLs must match the deployed domain.</w:t>
      </w:r>
    </w:p>
    <w:p>
      <w:pPr>
        <w:pStyle w:val="Heading1"/>
        <w:keepNext/>
      </w:pPr>
      <w:r>
        <w:t>7. Development environment and files</w:t>
      </w:r>
    </w:p>
    <w:tbl>
      <w:tblPr>
        <w:tblW w:type="auto" w:w="0"/>
        <w:jc w:val="center"/>
        <w:tblLayout w:type="fixed"/>
        <w:tblLook w:firstColumn="1" w:firstRow="1" w:lastColumn="0" w:lastRow="0" w:noHBand="0" w:noVBand="1" w:val="04A0"/>
        <w:tblBorders>
          <w:top w:val="single" w:sz="5" w:color="D9DED9"/>
          <w:left w:val="single" w:sz="5" w:color="D9DED9"/>
          <w:bottom w:val="single" w:sz="5" w:color="D9DED9"/>
          <w:right w:val="single" w:sz="5" w:color="D9DED9"/>
          <w:insideH w:val="single" w:sz="5" w:color="D9DED9"/>
          <w:insideV w:val="single" w:sz="5" w:color="D9DED9"/>
        </w:tblBorders>
      </w:tblPr>
      <w:tblGrid>
        <w:gridCol w:w="2880"/>
        <w:gridCol w:w="7200"/>
      </w:tblGrid>
      <w:tr>
        <w:trPr>
          <w:cantSplit/>
        </w:trPr>
        <w:tc>
          <w:tcPr>
            <w:tcW w:type="dxa" w:w="4997"/>
            <w:shd w:fill="294B3B"/>
            <w:vAlign w:val="center"/>
            <w:tcMar>
              <w:top w:w="110" w:type="dxa"/>
              <w:start w:w="125" w:type="dxa"/>
              <w:bottom w:w="110" w:type="dxa"/>
              <w:end w:w="125" w:type="dxa"/>
            </w:tcMar>
          </w:tcPr>
          <w:p>
            <w:r>
              <w:rPr>
                <w:b/>
                <w:color w:val="FFFFFF"/>
                <w:sz w:val="18"/>
              </w:rPr>
              <w:t>Item</w:t>
            </w:r>
          </w:p>
        </w:tc>
        <w:tc>
          <w:tcPr>
            <w:tcW w:type="dxa" w:w="4997"/>
            <w:shd w:fill="294B3B"/>
            <w:vAlign w:val="center"/>
            <w:tcMar>
              <w:top w:w="110" w:type="dxa"/>
              <w:start w:w="125" w:type="dxa"/>
              <w:bottom w:w="110" w:type="dxa"/>
              <w:end w:w="125" w:type="dxa"/>
            </w:tcMar>
          </w:tcPr>
          <w:p>
            <w:r>
              <w:rPr>
                <w:b/>
                <w:color w:val="FFFFFF"/>
                <w:sz w:val="18"/>
              </w:rPr>
              <w:t>Why it is used</w:t>
            </w:r>
          </w:p>
        </w:tc>
      </w:tr>
      <w:tr>
        <w:trPr>
          <w:cantSplit/>
        </w:trPr>
        <w:tc>
          <w:tcPr>
            <w:tcW w:type="dxa" w:w="2880"/>
            <w:vAlign w:val="center"/>
            <w:tcMar>
              <w:top w:w="90" w:type="dxa"/>
              <w:start w:w="115" w:type="dxa"/>
              <w:bottom w:w="90" w:type="dxa"/>
              <w:end w:w="115" w:type="dxa"/>
            </w:tcMar>
          </w:tcPr>
          <w:p>
            <w:pPr>
              <w:spacing w:after="20"/>
            </w:pPr>
            <w:r>
              <w:rPr>
                <w:sz w:val="18"/>
              </w:rPr>
              <w:t>Node.js 20.9 or newer</w:t>
            </w:r>
          </w:p>
        </w:tc>
        <w:tc>
          <w:tcPr>
            <w:tcW w:type="dxa" w:w="7200"/>
            <w:vAlign w:val="center"/>
            <w:tcMar>
              <w:top w:w="90" w:type="dxa"/>
              <w:start w:w="115" w:type="dxa"/>
              <w:bottom w:w="90" w:type="dxa"/>
              <w:end w:w="115" w:type="dxa"/>
            </w:tcMar>
          </w:tcPr>
          <w:p>
            <w:pPr>
              <w:spacing w:after="20"/>
            </w:pPr>
            <w:r>
              <w:rPr>
                <w:sz w:val="18"/>
              </w:rPr>
              <w:t>Runs the Next.js development server and production build.</w:t>
            </w:r>
          </w:p>
        </w:tc>
      </w:tr>
      <w:tr>
        <w:trPr>
          <w:cantSplit/>
        </w:trPr>
        <w:tc>
          <w:tcPr>
            <w:tcW w:type="dxa" w:w="2880"/>
            <w:vAlign w:val="center"/>
            <w:tcMar>
              <w:top w:w="90" w:type="dxa"/>
              <w:start w:w="115" w:type="dxa"/>
              <w:bottom w:w="90" w:type="dxa"/>
              <w:end w:w="115" w:type="dxa"/>
            </w:tcMar>
            <w:shd w:fill="F2F6F2"/>
          </w:tcPr>
          <w:p>
            <w:pPr>
              <w:spacing w:after="20"/>
            </w:pPr>
            <w:r>
              <w:rPr>
                <w:sz w:val="18"/>
              </w:rPr>
              <w:t>pnpm</w:t>
            </w:r>
          </w:p>
        </w:tc>
        <w:tc>
          <w:tcPr>
            <w:tcW w:type="dxa" w:w="7200"/>
            <w:vAlign w:val="center"/>
            <w:tcMar>
              <w:top w:w="90" w:type="dxa"/>
              <w:start w:w="115" w:type="dxa"/>
              <w:bottom w:w="90" w:type="dxa"/>
              <w:end w:w="115" w:type="dxa"/>
            </w:tcMar>
            <w:shd w:fill="F2F6F2"/>
          </w:tcPr>
          <w:p>
            <w:pPr>
              <w:spacing w:after="20"/>
            </w:pPr>
            <w:r>
              <w:rPr>
                <w:sz w:val="18"/>
              </w:rPr>
              <w:t>Installs the project dependencies and runs the scripts in package.json.</w:t>
            </w:r>
          </w:p>
        </w:tc>
      </w:tr>
      <w:tr>
        <w:trPr>
          <w:cantSplit/>
        </w:trPr>
        <w:tc>
          <w:tcPr>
            <w:tcW w:type="dxa" w:w="2880"/>
            <w:vAlign w:val="center"/>
            <w:tcMar>
              <w:top w:w="90" w:type="dxa"/>
              <w:start w:w="115" w:type="dxa"/>
              <w:bottom w:w="90" w:type="dxa"/>
              <w:end w:w="115" w:type="dxa"/>
            </w:tcMar>
          </w:tcPr>
          <w:p>
            <w:pPr>
              <w:spacing w:after="20"/>
            </w:pPr>
            <w:r>
              <w:rPr>
                <w:sz w:val="18"/>
              </w:rPr>
              <w:t>Git and GitHub</w:t>
            </w:r>
          </w:p>
        </w:tc>
        <w:tc>
          <w:tcPr>
            <w:tcW w:type="dxa" w:w="7200"/>
            <w:vAlign w:val="center"/>
            <w:tcMar>
              <w:top w:w="90" w:type="dxa"/>
              <w:start w:w="115" w:type="dxa"/>
              <w:bottom w:w="90" w:type="dxa"/>
              <w:end w:w="115" w:type="dxa"/>
            </w:tcMar>
          </w:tcPr>
          <w:p>
            <w:pPr>
              <w:spacing w:after="20"/>
            </w:pPr>
            <w:r>
              <w:rPr>
                <w:sz w:val="18"/>
              </w:rPr>
              <w:t>Track code history and publish changes to the repository.</w:t>
            </w:r>
          </w:p>
        </w:tc>
      </w:tr>
      <w:tr>
        <w:trPr>
          <w:cantSplit/>
        </w:trPr>
        <w:tc>
          <w:tcPr>
            <w:tcW w:type="dxa" w:w="2880"/>
            <w:vAlign w:val="center"/>
            <w:tcMar>
              <w:top w:w="90" w:type="dxa"/>
              <w:start w:w="115" w:type="dxa"/>
              <w:bottom w:w="90" w:type="dxa"/>
              <w:end w:w="115" w:type="dxa"/>
            </w:tcMar>
            <w:shd w:fill="F2F6F2"/>
          </w:tcPr>
          <w:p>
            <w:pPr>
              <w:spacing w:after="20"/>
            </w:pPr>
            <w:r>
              <w:rPr>
                <w:sz w:val="18"/>
              </w:rPr>
              <w:t>Supabase project</w:t>
            </w:r>
          </w:p>
        </w:tc>
        <w:tc>
          <w:tcPr>
            <w:tcW w:type="dxa" w:w="7200"/>
            <w:vAlign w:val="center"/>
            <w:tcMar>
              <w:top w:w="90" w:type="dxa"/>
              <w:start w:w="115" w:type="dxa"/>
              <w:bottom w:w="90" w:type="dxa"/>
              <w:end w:w="115" w:type="dxa"/>
            </w:tcMar>
            <w:shd w:fill="F2F6F2"/>
          </w:tcPr>
          <w:p>
            <w:pPr>
              <w:spacing w:after="20"/>
            </w:pPr>
            <w:r>
              <w:rPr>
                <w:sz w:val="18"/>
              </w:rPr>
              <w:t>Provides authentication, PostgreSQL database, row-level security, and storage.</w:t>
            </w:r>
          </w:p>
        </w:tc>
      </w:tr>
      <w:tr>
        <w:trPr>
          <w:cantSplit/>
        </w:trPr>
        <w:tc>
          <w:tcPr>
            <w:tcW w:type="dxa" w:w="2880"/>
            <w:vAlign w:val="center"/>
            <w:tcMar>
              <w:top w:w="90" w:type="dxa"/>
              <w:start w:w="115" w:type="dxa"/>
              <w:bottom w:w="90" w:type="dxa"/>
              <w:end w:w="115" w:type="dxa"/>
            </w:tcMar>
          </w:tcPr>
          <w:p>
            <w:pPr>
              <w:spacing w:after="20"/>
            </w:pPr>
            <w:r>
              <w:rPr>
                <w:sz w:val="18"/>
              </w:rPr>
              <w:t>Vercel project</w:t>
            </w:r>
          </w:p>
        </w:tc>
        <w:tc>
          <w:tcPr>
            <w:tcW w:type="dxa" w:w="7200"/>
            <w:vAlign w:val="center"/>
            <w:tcMar>
              <w:top w:w="90" w:type="dxa"/>
              <w:start w:w="115" w:type="dxa"/>
              <w:bottom w:w="90" w:type="dxa"/>
              <w:end w:w="115" w:type="dxa"/>
            </w:tcMar>
          </w:tcPr>
          <w:p>
            <w:pPr>
              <w:spacing w:after="20"/>
            </w:pPr>
            <w:r>
              <w:rPr>
                <w:sz w:val="18"/>
              </w:rPr>
              <w:t>Hosts the Next.js website and API routes.</w:t>
            </w:r>
          </w:p>
        </w:tc>
      </w:tr>
    </w:tbl>
    <w:p>
      <w:pPr>
        <w:spacing w:after="20"/>
      </w:pPr>
    </w:p>
    <w:p>
      <w:r>
        <w:t>Important folders and files:</w:t>
      </w:r>
    </w:p>
    <w:tbl>
      <w:tblPr>
        <w:tblW w:type="auto" w:w="0"/>
        <w:jc w:val="center"/>
        <w:tblLayout w:type="fixed"/>
        <w:tblLook w:firstColumn="1" w:firstRow="1" w:lastColumn="0" w:lastRow="0" w:noHBand="0" w:noVBand="1" w:val="04A0"/>
        <w:tblBorders>
          <w:top w:val="single" w:sz="5" w:color="D9DED9"/>
          <w:left w:val="single" w:sz="5" w:color="D9DED9"/>
          <w:bottom w:val="single" w:sz="5" w:color="D9DED9"/>
          <w:right w:val="single" w:sz="5" w:color="D9DED9"/>
          <w:insideH w:val="single" w:sz="5" w:color="D9DED9"/>
          <w:insideV w:val="single" w:sz="5" w:color="D9DED9"/>
        </w:tblBorders>
      </w:tblPr>
      <w:tblGrid>
        <w:gridCol w:w="3096"/>
        <w:gridCol w:w="6984"/>
      </w:tblGrid>
      <w:tr>
        <w:trPr>
          <w:cantSplit/>
        </w:trPr>
        <w:tc>
          <w:tcPr>
            <w:tcW w:type="dxa" w:w="4997"/>
            <w:shd w:fill="294B3B"/>
            <w:vAlign w:val="center"/>
            <w:tcMar>
              <w:top w:w="110" w:type="dxa"/>
              <w:start w:w="125" w:type="dxa"/>
              <w:bottom w:w="110" w:type="dxa"/>
              <w:end w:w="125" w:type="dxa"/>
            </w:tcMar>
          </w:tcPr>
          <w:p>
            <w:r>
              <w:rPr>
                <w:b/>
                <w:color w:val="FFFFFF"/>
                <w:sz w:val="18"/>
              </w:rPr>
              <w:t>Path</w:t>
            </w:r>
          </w:p>
        </w:tc>
        <w:tc>
          <w:tcPr>
            <w:tcW w:type="dxa" w:w="4997"/>
            <w:shd w:fill="294B3B"/>
            <w:vAlign w:val="center"/>
            <w:tcMar>
              <w:top w:w="110" w:type="dxa"/>
              <w:start w:w="125" w:type="dxa"/>
              <w:bottom w:w="110" w:type="dxa"/>
              <w:end w:w="125" w:type="dxa"/>
            </w:tcMar>
          </w:tcPr>
          <w:p>
            <w:r>
              <w:rPr>
                <w:b/>
                <w:color w:val="FFFFFF"/>
                <w:sz w:val="18"/>
              </w:rPr>
              <w:t>Purpose</w:t>
            </w:r>
          </w:p>
        </w:tc>
      </w:tr>
      <w:tr>
        <w:trPr>
          <w:cantSplit/>
        </w:trPr>
        <w:tc>
          <w:tcPr>
            <w:tcW w:type="dxa" w:w="3096"/>
            <w:vAlign w:val="center"/>
            <w:tcMar>
              <w:top w:w="90" w:type="dxa"/>
              <w:start w:w="115" w:type="dxa"/>
              <w:bottom w:w="90" w:type="dxa"/>
              <w:end w:w="115" w:type="dxa"/>
            </w:tcMar>
          </w:tcPr>
          <w:p>
            <w:pPr>
              <w:spacing w:after="20"/>
            </w:pPr>
            <w:r>
              <w:rPr>
                <w:sz w:val="18"/>
              </w:rPr>
              <w:t>src/app/</w:t>
            </w:r>
          </w:p>
        </w:tc>
        <w:tc>
          <w:tcPr>
            <w:tcW w:type="dxa" w:w="6984"/>
            <w:vAlign w:val="center"/>
            <w:tcMar>
              <w:top w:w="90" w:type="dxa"/>
              <w:start w:w="115" w:type="dxa"/>
              <w:bottom w:w="90" w:type="dxa"/>
              <w:end w:w="115" w:type="dxa"/>
            </w:tcMar>
          </w:tcPr>
          <w:p>
            <w:pPr>
              <w:spacing w:after="20"/>
            </w:pPr>
            <w:r>
              <w:rPr>
                <w:sz w:val="18"/>
              </w:rPr>
              <w:t>Website pages, shared interface components, and API routes.</w:t>
            </w:r>
          </w:p>
        </w:tc>
      </w:tr>
      <w:tr>
        <w:trPr>
          <w:cantSplit/>
        </w:trPr>
        <w:tc>
          <w:tcPr>
            <w:tcW w:type="dxa" w:w="3096"/>
            <w:vAlign w:val="center"/>
            <w:tcMar>
              <w:top w:w="90" w:type="dxa"/>
              <w:start w:w="115" w:type="dxa"/>
              <w:bottom w:w="90" w:type="dxa"/>
              <w:end w:w="115" w:type="dxa"/>
            </w:tcMar>
            <w:shd w:fill="F2F6F2"/>
          </w:tcPr>
          <w:p>
            <w:pPr>
              <w:spacing w:after="20"/>
            </w:pPr>
            <w:r>
              <w:rPr>
                <w:sz w:val="18"/>
              </w:rPr>
              <w:t>src/lib/</w:t>
            </w:r>
          </w:p>
        </w:tc>
        <w:tc>
          <w:tcPr>
            <w:tcW w:type="dxa" w:w="6984"/>
            <w:vAlign w:val="center"/>
            <w:tcMar>
              <w:top w:w="90" w:type="dxa"/>
              <w:start w:w="115" w:type="dxa"/>
              <w:bottom w:w="90" w:type="dxa"/>
              <w:end w:w="115" w:type="dxa"/>
            </w:tcMar>
            <w:shd w:fill="F2F6F2"/>
          </w:tcPr>
          <w:p>
            <w:pPr>
              <w:spacing w:after="20"/>
            </w:pPr>
            <w:r>
              <w:rPr>
                <w:sz w:val="18"/>
              </w:rPr>
              <w:t>Supabase client helpers and shared authentication/audit utilities.</w:t>
            </w:r>
          </w:p>
        </w:tc>
      </w:tr>
      <w:tr>
        <w:trPr>
          <w:cantSplit/>
        </w:trPr>
        <w:tc>
          <w:tcPr>
            <w:tcW w:type="dxa" w:w="3096"/>
            <w:vAlign w:val="center"/>
            <w:tcMar>
              <w:top w:w="90" w:type="dxa"/>
              <w:start w:w="115" w:type="dxa"/>
              <w:bottom w:w="90" w:type="dxa"/>
              <w:end w:w="115" w:type="dxa"/>
            </w:tcMar>
          </w:tcPr>
          <w:p>
            <w:pPr>
              <w:spacing w:after="20"/>
            </w:pPr>
            <w:r>
              <w:rPr>
                <w:sz w:val="18"/>
              </w:rPr>
              <w:t>supabase/migrations/</w:t>
            </w:r>
          </w:p>
        </w:tc>
        <w:tc>
          <w:tcPr>
            <w:tcW w:type="dxa" w:w="6984"/>
            <w:vAlign w:val="center"/>
            <w:tcMar>
              <w:top w:w="90" w:type="dxa"/>
              <w:start w:w="115" w:type="dxa"/>
              <w:bottom w:w="90" w:type="dxa"/>
              <w:end w:w="115" w:type="dxa"/>
            </w:tcMar>
          </w:tcPr>
          <w:p>
            <w:pPr>
              <w:spacing w:after="20"/>
            </w:pPr>
            <w:r>
              <w:rPr>
                <w:sz w:val="18"/>
              </w:rPr>
              <w:t>Ordered SQL changes that create and secure the database features.</w:t>
            </w:r>
          </w:p>
        </w:tc>
      </w:tr>
      <w:tr>
        <w:trPr>
          <w:cantSplit/>
        </w:trPr>
        <w:tc>
          <w:tcPr>
            <w:tcW w:type="dxa" w:w="3096"/>
            <w:vAlign w:val="center"/>
            <w:tcMar>
              <w:top w:w="90" w:type="dxa"/>
              <w:start w:w="115" w:type="dxa"/>
              <w:bottom w:w="90" w:type="dxa"/>
              <w:end w:w="115" w:type="dxa"/>
            </w:tcMar>
            <w:shd w:fill="F2F6F2"/>
          </w:tcPr>
          <w:p>
            <w:pPr>
              <w:spacing w:after="20"/>
            </w:pPr>
            <w:r>
              <w:rPr>
                <w:sz w:val="18"/>
              </w:rPr>
              <w:t>supabase/seed.sql</w:t>
            </w:r>
          </w:p>
        </w:tc>
        <w:tc>
          <w:tcPr>
            <w:tcW w:type="dxa" w:w="6984"/>
            <w:vAlign w:val="center"/>
            <w:tcMar>
              <w:top w:w="90" w:type="dxa"/>
              <w:start w:w="115" w:type="dxa"/>
              <w:bottom w:w="90" w:type="dxa"/>
              <w:end w:w="115" w:type="dxa"/>
            </w:tcMar>
            <w:shd w:fill="F2F6F2"/>
          </w:tcPr>
          <w:p>
            <w:pPr>
              <w:spacing w:after="20"/>
            </w:pPr>
            <w:r>
              <w:rPr>
                <w:sz w:val="18"/>
              </w:rPr>
              <w:t>Optional sample company and opportunity records for a configured database.</w:t>
            </w:r>
          </w:p>
        </w:tc>
      </w:tr>
      <w:tr>
        <w:trPr>
          <w:cantSplit/>
        </w:trPr>
        <w:tc>
          <w:tcPr>
            <w:tcW w:type="dxa" w:w="3096"/>
            <w:vAlign w:val="center"/>
            <w:tcMar>
              <w:top w:w="90" w:type="dxa"/>
              <w:start w:w="115" w:type="dxa"/>
              <w:bottom w:w="90" w:type="dxa"/>
              <w:end w:w="115" w:type="dxa"/>
            </w:tcMar>
          </w:tcPr>
          <w:p>
            <w:pPr>
              <w:spacing w:after="20"/>
            </w:pPr>
            <w:r>
              <w:rPr>
                <w:sz w:val="18"/>
              </w:rPr>
              <w:t>.env.local</w:t>
            </w:r>
          </w:p>
        </w:tc>
        <w:tc>
          <w:tcPr>
            <w:tcW w:type="dxa" w:w="6984"/>
            <w:vAlign w:val="center"/>
            <w:tcMar>
              <w:top w:w="90" w:type="dxa"/>
              <w:start w:w="115" w:type="dxa"/>
              <w:bottom w:w="90" w:type="dxa"/>
              <w:end w:w="115" w:type="dxa"/>
            </w:tcMar>
          </w:tcPr>
          <w:p>
            <w:pPr>
              <w:spacing w:after="20"/>
            </w:pPr>
            <w:r>
              <w:rPr>
                <w:sz w:val="18"/>
              </w:rPr>
              <w:t>Private local configuration. It should never be committed.</w:t>
            </w:r>
          </w:p>
        </w:tc>
      </w:tr>
      <w:tr>
        <w:trPr>
          <w:cantSplit/>
        </w:trPr>
        <w:tc>
          <w:tcPr>
            <w:tcW w:type="dxa" w:w="3096"/>
            <w:vAlign w:val="center"/>
            <w:tcMar>
              <w:top w:w="90" w:type="dxa"/>
              <w:start w:w="115" w:type="dxa"/>
              <w:bottom w:w="90" w:type="dxa"/>
              <w:end w:w="115" w:type="dxa"/>
            </w:tcMar>
            <w:shd w:fill="F2F6F2"/>
          </w:tcPr>
          <w:p>
            <w:pPr>
              <w:spacing w:after="20"/>
            </w:pPr>
            <w:r>
              <w:rPr>
                <w:sz w:val="18"/>
              </w:rPr>
              <w:t>package.json</w:t>
            </w:r>
          </w:p>
        </w:tc>
        <w:tc>
          <w:tcPr>
            <w:tcW w:type="dxa" w:w="6984"/>
            <w:vAlign w:val="center"/>
            <w:tcMar>
              <w:top w:w="90" w:type="dxa"/>
              <w:start w:w="115" w:type="dxa"/>
              <w:bottom w:w="90" w:type="dxa"/>
              <w:end w:w="115" w:type="dxa"/>
            </w:tcMar>
            <w:shd w:fill="F2F6F2"/>
          </w:tcPr>
          <w:p>
            <w:pPr>
              <w:spacing w:after="20"/>
            </w:pPr>
            <w:r>
              <w:rPr>
                <w:sz w:val="18"/>
              </w:rPr>
              <w:t>Project scripts and dependency definitions.</w:t>
            </w:r>
          </w:p>
        </w:tc>
      </w:tr>
      <w:tr>
        <w:trPr>
          <w:cantSplit/>
        </w:trPr>
        <w:tc>
          <w:tcPr>
            <w:tcW w:type="dxa" w:w="3096"/>
            <w:vAlign w:val="center"/>
            <w:tcMar>
              <w:top w:w="90" w:type="dxa"/>
              <w:start w:w="115" w:type="dxa"/>
              <w:bottom w:w="90" w:type="dxa"/>
              <w:end w:w="115" w:type="dxa"/>
            </w:tcMar>
          </w:tcPr>
          <w:p>
            <w:pPr>
              <w:spacing w:after="20"/>
            </w:pPr>
            <w:r>
              <w:rPr>
                <w:sz w:val="18"/>
              </w:rPr>
              <w:t>README.md and SETUP_GUIDE.md</w:t>
            </w:r>
          </w:p>
        </w:tc>
        <w:tc>
          <w:tcPr>
            <w:tcW w:type="dxa" w:w="6984"/>
            <w:vAlign w:val="center"/>
            <w:tcMar>
              <w:top w:w="90" w:type="dxa"/>
              <w:start w:w="115" w:type="dxa"/>
              <w:bottom w:w="90" w:type="dxa"/>
              <w:end w:w="115" w:type="dxa"/>
            </w:tcMar>
          </w:tcPr>
          <w:p>
            <w:pPr>
              <w:spacing w:after="20"/>
            </w:pPr>
            <w:r>
              <w:rPr>
                <w:sz w:val="18"/>
              </w:rPr>
              <w:t>Repository setup, schema, deployment, and troubleshooting notes.</w:t>
            </w:r>
          </w:p>
        </w:tc>
      </w:tr>
    </w:tbl>
    <w:p>
      <w:pPr>
        <w:spacing w:after="20"/>
      </w:pPr>
    </w:p>
    <w:p>
      <w:pPr>
        <w:pStyle w:val="Heading1"/>
        <w:keepNext/>
      </w:pPr>
      <w:r>
        <w:t>8. Local setup and deployment process</w:t>
      </w:r>
    </w:p>
    <w:p>
      <w:pPr>
        <w:pStyle w:val="ListNumber"/>
        <w:spacing w:after="80"/>
      </w:pPr>
      <w:r>
        <w:t>Install Node.js 20.9 or newer, pnpm, and Git for Windows.</w:t>
      </w:r>
    </w:p>
    <w:p>
      <w:pPr>
        <w:pStyle w:val="ListNumber"/>
        <w:spacing w:after="80"/>
      </w:pPr>
      <w:r>
        <w:t>Open PowerShell in D:\HireTrack and install dependencies with pnpm install.</w:t>
      </w:r>
    </w:p>
    <w:p>
      <w:pPr>
        <w:pStyle w:val="ListNumber"/>
        <w:spacing w:after="80"/>
      </w:pPr>
      <w:r>
        <w:t>Create .env.local from .env.example. Add NEXT_PUBLIC_SUPABASE_URL and NEXT_PUBLIC_SUPABASE_ANON_KEY for the same Supabase project.</w:t>
      </w:r>
    </w:p>
    <w:p>
      <w:pPr>
        <w:pStyle w:val="ListNumber"/>
        <w:spacing w:after="80"/>
      </w:pPr>
      <w:r>
        <w:t>In the Supabase SQL Editor, apply supabase/migrations/0001 through 0008 in numerical order. Do not rerun an already completed migration unless it is explicitly documented as safe to reapply.</w:t>
      </w:r>
    </w:p>
    <w:p>
      <w:pPr>
        <w:pStyle w:val="ListNumber"/>
        <w:spacing w:after="80"/>
      </w:pPr>
      <w:r>
        <w:t>Create a student account, then create the officer account. Promote the officer profile in Supabase if the project setup requires it; use the exact account email.</w:t>
      </w:r>
    </w:p>
    <w:p>
      <w:pPr>
        <w:pStyle w:val="ListNumber"/>
        <w:spacing w:after="80"/>
      </w:pPr>
      <w:r>
        <w:t>Run pnpm dev and open http://localhost:3000. Create an opportunity as the officer so that a company record exists; register and assign the recruiter account afterward.</w:t>
      </w:r>
    </w:p>
    <w:p>
      <w:pPr>
        <w:pStyle w:val="ListNumber"/>
        <w:spacing w:after="80"/>
      </w:pPr>
      <w:r>
        <w:t>Before publishing code, run pnpm lint and pnpm build. Review git status and verify no secret configuration file is included.</w:t>
      </w:r>
    </w:p>
    <w:p>
      <w:pPr>
        <w:pStyle w:val="ListNumber"/>
        <w:spacing w:after="80"/>
      </w:pPr>
      <w:r>
        <w:t>Commit and push the intended changes to the connected GitHub branch. Vercel builds the branch or you can start a deployment from the Vercel dashboard.</w:t>
      </w:r>
    </w:p>
    <w:p>
      <w:pPr>
        <w:pStyle w:val="ListNumber"/>
        <w:spacing w:after="80"/>
      </w:pPr>
      <w:r>
        <w:t>In Vercel, configure the Supabase URL and publishable key for the environments you use. Redeploy after changing environment variables.</w:t>
      </w:r>
    </w:p>
    <w:p>
      <w:pPr>
        <w:pStyle w:val="ListNumber"/>
        <w:spacing w:after="80"/>
      </w:pPr>
      <w:r>
        <w:t>In Supabase Authentication URL Configuration, set the production site URL to the Vercel domain and allow the required redirect URL. Keep localhost redirects for local testing.</w:t>
      </w:r>
    </w:p>
    <w:p>
      <w:pPr>
        <w:pStyle w:val="ListNumber"/>
        <w:spacing w:after="80"/>
      </w:pPr>
      <w:r>
        <w:t>Test sign-in and the student, officer, and recruiter workflows using the deployed URL.</w:t>
      </w:r>
    </w:p>
    <w:p>
      <w:r>
        <w:t>The current repository setup guide contains the exact SQL sequence and configuration details. Use it alongside this document when installing or deploying the working application.</w:t>
      </w:r>
    </w:p>
    <w:p>
      <w:pPr>
        <w:pStyle w:val="Heading1"/>
        <w:keepNext/>
      </w:pPr>
      <w:r>
        <w:t>9. Project status and practical boundaries</w:t>
      </w:r>
    </w:p>
    <w:p>
      <w:r>
        <w:t>The source code contains the core placement workflows and deployment configuration described in this guide. A successful production build confirms the code compiles; it does not by itself prove that a particular Supabase project has all migrations applied, that its data is populated, or that a Vercel deployment is current. Those are environment and live-service checks.</w:t>
      </w:r>
    </w:p>
    <w:p>
      <w:pPr>
        <w:pStyle w:val="ListBullet"/>
        <w:spacing w:after="60"/>
      </w:pPr>
      <w:r>
        <w:t>Company choices depend on company records in the configured database. In the current workflow, the officer creates a company while saving an opportunity.</w:t>
      </w:r>
    </w:p>
    <w:p>
      <w:pPr>
        <w:pStyle w:val="ListBullet"/>
        <w:spacing w:after="60"/>
      </w:pPr>
      <w:r>
        <w:t>Recruiters must register before the officer can assign their email. The assignment is stored against that account and company.</w:t>
      </w:r>
    </w:p>
    <w:p>
      <w:pPr>
        <w:pStyle w:val="ListBullet"/>
        <w:spacing w:after="60"/>
      </w:pPr>
      <w:r>
        <w:t>Use separate test accounts for each role to verify access boundaries and end-to-end actions.</w:t>
      </w:r>
    </w:p>
    <w:p>
      <w:pPr>
        <w:pStyle w:val="ListBullet"/>
        <w:spacing w:after="60"/>
      </w:pPr>
      <w:r>
        <w:t>Vercel changes only after the updated code is committed and pushed or a deployment is otherwise created. Local files do not automatically update the live website.</w:t>
      </w:r>
    </w:p>
    <w:p>
      <w:pPr>
        <w:pStyle w:val="ListBullet"/>
        <w:spacing w:after="60"/>
      </w:pPr>
      <w:r>
        <w:t>Protect real student information. Use synthetic or consented sample records for demonstrations and screenshots.</w:t>
      </w:r>
    </w:p>
    <w:p>
      <w:pPr>
        <w:pStyle w:val="Heading1"/>
        <w:keepNext/>
      </w:pPr>
      <w:r>
        <w:t>10. Suggested project demonstration</w:t>
      </w:r>
    </w:p>
    <w:p>
      <w:r>
        <w:t>A clear demonstration can follow one example from start to finish: the officer posts an internship for a company, the recruiter registers and receives company access, a student completes a profile and uploads a resume, the student applies, the recruiter reviews the candidate and schedules an interview, staff update the stage and add feedback, and the student sees the appropriate update and message. This demonstrates the platform’s purpose, its three roles, and how the data stays connected.</w:t>
      </w:r>
    </w:p>
    <w:p>
      <w:pPr>
        <w:pStyle w:val="Heading1"/>
        <w:keepNext/>
      </w:pPr>
      <w:r>
        <w:t>Project references</w:t>
      </w:r>
    </w:p>
    <w:p>
      <w:r>
        <w:t>The repository README.md describes the API routes, database entities, architecture, and security model. SETUP_GUIDE.md provides the detailed Supabase setup, migration steps, role configuration, deployment process, and troubleshooting. The SQL source of truth is in supabase/migrations/ and the package scripts are in package.json.</w:t>
      </w:r>
    </w:p>
    <w:sectPr w:rsidR="00FC693F" w:rsidRPr="0006063C" w:rsidSect="00034616">
      <w:headerReference w:type="default" r:id="rId9"/>
      <w:footerReference w:type="default" r:id="rId10"/>
      <w:pgSz w:w="12240" w:h="15840"/>
      <w:pgMar w:top="979"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67"/>
        <w:sz w:val="16"/>
      </w:rPr>
      <w:t xml:space="preserve">Hariharan  •  BHARATH INSTITUTE OF HIGHER EDUCATION AND RESEARCH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1785E"/>
        <w:sz w:val="16"/>
      </w:rPr>
      <w:t>HIRETRACK  /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37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20"/>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HireTrack Project Overview and Development Guide</dc:title>
  <dc:subject>Campus placement platform overview, workflows, architecture, and development process</dc:subject>
  <dc:creator>Hariharan</dc:creator>
  <cp:keywords/>
  <dc:description>generated by python-docx</dc:description>
  <cp:lastModifiedBy/>
  <cp:revision>1</cp:revision>
  <dcterms:created xsi:type="dcterms:W3CDTF">2013-12-23T23:15:00Z</dcterms:created>
  <dcterms:modified xsi:type="dcterms:W3CDTF">2013-12-23T23:15:00Z</dcterms:modified>
  <cp:category/>
</cp:coreProperties>
</file>