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Corporation - Global Employee Policy Handbook</w:t>
      </w:r>
    </w:p>
    <w:p>
      <w:r>
        <w:t>Effective Date: January 1, 2025 | Approved by: People Operations &amp; HR</w:t>
      </w:r>
    </w:p>
    <w:p>
      <w:r>
        <w:t>Acme Corporation maintains a modern, flexible work policy designed to support high performance and work-life balance. Full-time employees receive 20 days of paid time off (PTO) annually, alongside standard public holidays and health benefits.</w:t>
      </w:r>
    </w:p>
    <w:p>
      <w:pPr>
        <w:pStyle w:val="Heading1"/>
      </w:pPr>
      <w:r>
        <w:t>Remote &amp; Hybrid Work Guidelines</w:t>
      </w:r>
    </w:p>
    <w:p>
      <w:r>
        <w:t>Employees in eligible engineering and analysis roles may work remotely up to 3 days per week. Core collaboration hours are 10:00 AM to 4:00 PM in your local time zone.</w:t>
      </w:r>
    </w:p>
    <w:p>
      <w:pPr>
        <w:pStyle w:val="Heading1"/>
      </w:pPr>
      <w:r>
        <w:t>Professional Development &amp; Compensation</w:t>
      </w:r>
    </w:p>
    <w:p>
      <w:r>
        <w:t>Each employee is entitled to an annual education stipend of $2,500 for approved courses, conferences, and technical certifications. Annual performance reviews occur in November, managed by Vice President of People Operations Eleanor Grant.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