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vendor-management-system-vms"/>
    <w:p>
      <w:pPr>
        <w:pStyle w:val="Heading1"/>
      </w:pPr>
      <w:r>
        <w:t xml:space="preserve">Vendor Management System (VMS)</w:t>
      </w:r>
    </w:p>
    <w:bookmarkStart w:id="20" w:name="X5e06b151cb91e4bc7878f9efb96db5cd44889cd"/>
    <w:p>
      <w:pPr>
        <w:pStyle w:val="Heading2"/>
      </w:pPr>
      <w:r>
        <w:t xml:space="preserve">Software Development Requirements Document (Client Perspective)</w:t>
      </w:r>
    </w:p>
    <w:p>
      <w:r>
        <w:pict>
          <v:rect style="width:0;height:1.5pt" o:hralign="center" o:hrstd="t" o:hr="t"/>
        </w:pict>
      </w:r>
    </w:p>
    <w:bookmarkEnd w:id="20"/>
    <w:bookmarkStart w:id="24" w:name="introduction"/>
    <w:p>
      <w:pPr>
        <w:pStyle w:val="Heading2"/>
      </w:pPr>
      <w:r>
        <w:t xml:space="preserve">1. Introduction</w:t>
      </w:r>
    </w:p>
    <w:bookmarkStart w:id="21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The purpose of this document is to define the functional and non-functional requirements for the development of a Vendor Management System (VMS). The system will be used to manage vendors, contracts, compliance, performance, and financial interactions in a centralized, secure, and scalable platform.</w:t>
      </w:r>
    </w:p>
    <w:bookmarkEnd w:id="21"/>
    <w:bookmarkStart w:id="22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VMS will support end-to-end vendor lifecycle management including onboarding, document management, contract tracking, performance evaluation, communication, and reporting. The system will be web-based with role-based access and optional integrations with third-party systems such as ERP, accounting, and procurement tools.</w:t>
      </w:r>
    </w:p>
    <w:bookmarkEnd w:id="22"/>
    <w:bookmarkStart w:id="23" w:name="intended-audience"/>
    <w:p>
      <w:pPr>
        <w:pStyle w:val="Heading3"/>
      </w:pPr>
      <w:r>
        <w:t xml:space="preserve">1.3 Intended Audience</w:t>
      </w:r>
    </w:p>
    <w:p>
      <w:pPr>
        <w:pStyle w:val="Compact"/>
        <w:numPr>
          <w:ilvl w:val="0"/>
          <w:numId w:val="1001"/>
        </w:numPr>
      </w:pPr>
      <w:r>
        <w:t xml:space="preserve">Client stakeholders</w:t>
      </w:r>
    </w:p>
    <w:p>
      <w:pPr>
        <w:pStyle w:val="Compact"/>
        <w:numPr>
          <w:ilvl w:val="0"/>
          <w:numId w:val="1001"/>
        </w:numPr>
      </w:pPr>
      <w:r>
        <w:t xml:space="preserve">Software development team</w:t>
      </w:r>
    </w:p>
    <w:p>
      <w:pPr>
        <w:pStyle w:val="Compact"/>
        <w:numPr>
          <w:ilvl w:val="0"/>
          <w:numId w:val="1001"/>
        </w:numPr>
      </w:pPr>
      <w:r>
        <w:t xml:space="preserve">QA and testing team</w:t>
      </w:r>
    </w:p>
    <w:p>
      <w:pPr>
        <w:pStyle w:val="Compact"/>
        <w:numPr>
          <w:ilvl w:val="0"/>
          <w:numId w:val="1001"/>
        </w:numPr>
      </w:pPr>
      <w:r>
        <w:t xml:space="preserve">Project managers</w:t>
      </w:r>
    </w:p>
    <w:p>
      <w:pPr>
        <w:pStyle w:val="Compact"/>
        <w:numPr>
          <w:ilvl w:val="0"/>
          <w:numId w:val="1001"/>
        </w:numPr>
      </w:pPr>
      <w:r>
        <w:t xml:space="preserve">System administrators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usiness-objectives"/>
    <w:p>
      <w:pPr>
        <w:pStyle w:val="Heading2"/>
      </w:pPr>
      <w:r>
        <w:t xml:space="preserve">2. Business Objectives</w:t>
      </w:r>
    </w:p>
    <w:p>
      <w:pPr>
        <w:pStyle w:val="Compact"/>
        <w:numPr>
          <w:ilvl w:val="0"/>
          <w:numId w:val="1002"/>
        </w:numPr>
      </w:pPr>
      <w:r>
        <w:t xml:space="preserve">Centralize vendor information and documentation</w:t>
      </w:r>
    </w:p>
    <w:p>
      <w:pPr>
        <w:pStyle w:val="Compact"/>
        <w:numPr>
          <w:ilvl w:val="0"/>
          <w:numId w:val="1002"/>
        </w:numPr>
      </w:pPr>
      <w:r>
        <w:t xml:space="preserve">Improve vendor onboarding and compliance tracking</w:t>
      </w:r>
    </w:p>
    <w:p>
      <w:pPr>
        <w:pStyle w:val="Compact"/>
        <w:numPr>
          <w:ilvl w:val="0"/>
          <w:numId w:val="1002"/>
        </w:numPr>
      </w:pPr>
      <w:r>
        <w:t xml:space="preserve">Enable transparent vendor performance evaluation</w:t>
      </w:r>
    </w:p>
    <w:p>
      <w:pPr>
        <w:pStyle w:val="Compact"/>
        <w:numPr>
          <w:ilvl w:val="0"/>
          <w:numId w:val="1002"/>
        </w:numPr>
      </w:pPr>
      <w:r>
        <w:t xml:space="preserve">Reduce manual effort and operational risk</w:t>
      </w:r>
    </w:p>
    <w:p>
      <w:pPr>
        <w:pStyle w:val="Compact"/>
        <w:numPr>
          <w:ilvl w:val="0"/>
          <w:numId w:val="1002"/>
        </w:numPr>
      </w:pPr>
      <w:r>
        <w:t xml:space="preserve">Ensure audit readiness and regulatory compliance</w:t>
      </w:r>
    </w:p>
    <w:p>
      <w:pPr>
        <w:pStyle w:val="Compact"/>
        <w:numPr>
          <w:ilvl w:val="0"/>
          <w:numId w:val="1002"/>
        </w:numPr>
      </w:pPr>
      <w:r>
        <w:t xml:space="preserve">Provide actionable insights through dashboards and reports</w:t>
      </w:r>
    </w:p>
    <w:p>
      <w:r>
        <w:pict>
          <v:rect style="width:0;height:1.5pt" o:hralign="center" o:hrstd="t" o:hr="t"/>
        </w:pict>
      </w:r>
    </w:p>
    <w:bookmarkEnd w:id="25"/>
    <w:bookmarkStart w:id="31" w:name="user-roles-permissions"/>
    <w:p>
      <w:pPr>
        <w:pStyle w:val="Heading2"/>
      </w:pPr>
      <w:r>
        <w:t xml:space="preserve">3. User Roles &amp; Permissions</w:t>
      </w:r>
    </w:p>
    <w:bookmarkStart w:id="26" w:name="admin"/>
    <w:p>
      <w:pPr>
        <w:pStyle w:val="Heading3"/>
      </w:pPr>
      <w:r>
        <w:t xml:space="preserve">3.1 Admin</w:t>
      </w:r>
    </w:p>
    <w:p>
      <w:pPr>
        <w:pStyle w:val="Compact"/>
        <w:numPr>
          <w:ilvl w:val="0"/>
          <w:numId w:val="1003"/>
        </w:numPr>
      </w:pPr>
      <w:r>
        <w:t xml:space="preserve">Manage system settings and configurations</w:t>
      </w:r>
    </w:p>
    <w:p>
      <w:pPr>
        <w:pStyle w:val="Compact"/>
        <w:numPr>
          <w:ilvl w:val="0"/>
          <w:numId w:val="1003"/>
        </w:numPr>
      </w:pPr>
      <w:r>
        <w:t xml:space="preserve">Create and manage user roles</w:t>
      </w:r>
    </w:p>
    <w:p>
      <w:pPr>
        <w:pStyle w:val="Compact"/>
        <w:numPr>
          <w:ilvl w:val="0"/>
          <w:numId w:val="1003"/>
        </w:numPr>
      </w:pPr>
      <w:r>
        <w:t xml:space="preserve">Full access to all modules</w:t>
      </w:r>
    </w:p>
    <w:bookmarkEnd w:id="26"/>
    <w:bookmarkStart w:id="27" w:name="procurement-vendor-manager"/>
    <w:p>
      <w:pPr>
        <w:pStyle w:val="Heading3"/>
      </w:pPr>
      <w:r>
        <w:t xml:space="preserve">3.2 Procurement / Vendor Manager</w:t>
      </w:r>
    </w:p>
    <w:p>
      <w:pPr>
        <w:pStyle w:val="Compact"/>
        <w:numPr>
          <w:ilvl w:val="0"/>
          <w:numId w:val="1004"/>
        </w:numPr>
      </w:pPr>
      <w:r>
        <w:t xml:space="preserve">Create, onboard, and manage vendors</w:t>
      </w:r>
    </w:p>
    <w:p>
      <w:pPr>
        <w:pStyle w:val="Compact"/>
        <w:numPr>
          <w:ilvl w:val="0"/>
          <w:numId w:val="1004"/>
        </w:numPr>
      </w:pPr>
      <w:r>
        <w:t xml:space="preserve">Upload and manage contracts and documents</w:t>
      </w:r>
    </w:p>
    <w:p>
      <w:pPr>
        <w:pStyle w:val="Compact"/>
        <w:numPr>
          <w:ilvl w:val="0"/>
          <w:numId w:val="1004"/>
        </w:numPr>
      </w:pPr>
      <w:r>
        <w:t xml:space="preserve">Evaluate vendor performance</w:t>
      </w:r>
    </w:p>
    <w:bookmarkEnd w:id="27"/>
    <w:bookmarkStart w:id="28" w:name="finance-user"/>
    <w:p>
      <w:pPr>
        <w:pStyle w:val="Heading3"/>
      </w:pPr>
      <w:r>
        <w:t xml:space="preserve">3.3 Finance User</w:t>
      </w:r>
    </w:p>
    <w:p>
      <w:pPr>
        <w:pStyle w:val="Compact"/>
        <w:numPr>
          <w:ilvl w:val="0"/>
          <w:numId w:val="1005"/>
        </w:numPr>
      </w:pPr>
      <w:r>
        <w:t xml:space="preserve">View contracts and payment terms</w:t>
      </w:r>
    </w:p>
    <w:p>
      <w:pPr>
        <w:pStyle w:val="Compact"/>
        <w:numPr>
          <w:ilvl w:val="0"/>
          <w:numId w:val="1005"/>
        </w:numPr>
      </w:pPr>
      <w:r>
        <w:t xml:space="preserve">Manage invoices and payment status</w:t>
      </w:r>
    </w:p>
    <w:p>
      <w:pPr>
        <w:pStyle w:val="Compact"/>
        <w:numPr>
          <w:ilvl w:val="0"/>
          <w:numId w:val="1005"/>
        </w:numPr>
      </w:pPr>
      <w:r>
        <w:t xml:space="preserve">Generate financial reports</w:t>
      </w:r>
    </w:p>
    <w:bookmarkEnd w:id="28"/>
    <w:bookmarkStart w:id="29" w:name="vendor-external-user"/>
    <w:p>
      <w:pPr>
        <w:pStyle w:val="Heading3"/>
      </w:pPr>
      <w:r>
        <w:t xml:space="preserve">3.4 Vendor (External User)</w:t>
      </w:r>
    </w:p>
    <w:p>
      <w:pPr>
        <w:pStyle w:val="Compact"/>
        <w:numPr>
          <w:ilvl w:val="0"/>
          <w:numId w:val="1006"/>
        </w:numPr>
      </w:pPr>
      <w:r>
        <w:t xml:space="preserve">Self-register / complete onboarding</w:t>
      </w:r>
    </w:p>
    <w:p>
      <w:pPr>
        <w:pStyle w:val="Compact"/>
        <w:numPr>
          <w:ilvl w:val="0"/>
          <w:numId w:val="1006"/>
        </w:numPr>
      </w:pPr>
      <w:r>
        <w:t xml:space="preserve">Upload compliance documents</w:t>
      </w:r>
    </w:p>
    <w:p>
      <w:pPr>
        <w:pStyle w:val="Compact"/>
        <w:numPr>
          <w:ilvl w:val="0"/>
          <w:numId w:val="1006"/>
        </w:numPr>
      </w:pPr>
      <w:r>
        <w:t xml:space="preserve">View contract details and performance feedback</w:t>
      </w:r>
    </w:p>
    <w:bookmarkEnd w:id="29"/>
    <w:bookmarkStart w:id="30" w:name="auditor-read-only-user"/>
    <w:p>
      <w:pPr>
        <w:pStyle w:val="Heading3"/>
      </w:pPr>
      <w:r>
        <w:t xml:space="preserve">3.5 Auditor / Read-only User</w:t>
      </w:r>
    </w:p>
    <w:p>
      <w:pPr>
        <w:pStyle w:val="Compact"/>
        <w:numPr>
          <w:ilvl w:val="0"/>
          <w:numId w:val="1007"/>
        </w:numPr>
      </w:pPr>
      <w:r>
        <w:t xml:space="preserve">View vendor data and reports</w:t>
      </w:r>
    </w:p>
    <w:p>
      <w:pPr>
        <w:pStyle w:val="Compact"/>
        <w:numPr>
          <w:ilvl w:val="0"/>
          <w:numId w:val="1007"/>
        </w:numPr>
      </w:pPr>
      <w:r>
        <w:t xml:space="preserve">No edit permissions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functional-requirements"/>
    <w:p>
      <w:pPr>
        <w:pStyle w:val="Heading2"/>
      </w:pPr>
      <w:r>
        <w:t xml:space="preserve">4. Functional Requirements</w:t>
      </w:r>
    </w:p>
    <w:bookmarkStart w:id="32" w:name="vendor-onboarding-management"/>
    <w:p>
      <w:pPr>
        <w:pStyle w:val="Heading3"/>
      </w:pPr>
      <w:r>
        <w:t xml:space="preserve">4.1 Vendor Onboarding &amp; Management</w:t>
      </w:r>
    </w:p>
    <w:p>
      <w:pPr>
        <w:pStyle w:val="Compact"/>
        <w:numPr>
          <w:ilvl w:val="0"/>
          <w:numId w:val="1008"/>
        </w:numPr>
      </w:pPr>
      <w:r>
        <w:t xml:space="preserve">Vendor self-registration with approval workflow</w:t>
      </w:r>
    </w:p>
    <w:p>
      <w:pPr>
        <w:pStyle w:val="Compact"/>
        <w:numPr>
          <w:ilvl w:val="0"/>
          <w:numId w:val="1008"/>
        </w:numPr>
      </w:pPr>
      <w:r>
        <w:t xml:space="preserve">Capture vendor profile details (company info, contacts, tax info, bank details)</w:t>
      </w:r>
    </w:p>
    <w:p>
      <w:pPr>
        <w:pStyle w:val="Compact"/>
        <w:numPr>
          <w:ilvl w:val="0"/>
          <w:numId w:val="1008"/>
        </w:numPr>
      </w:pPr>
      <w:r>
        <w:t xml:space="preserve">Vendor categorization (type, region, service category)</w:t>
      </w:r>
    </w:p>
    <w:p>
      <w:pPr>
        <w:pStyle w:val="Compact"/>
        <w:numPr>
          <w:ilvl w:val="0"/>
          <w:numId w:val="1008"/>
        </w:numPr>
      </w:pPr>
      <w:r>
        <w:t xml:space="preserve">Vendor status management (active, inactive, suspended)</w:t>
      </w:r>
    </w:p>
    <w:bookmarkEnd w:id="32"/>
    <w:bookmarkStart w:id="33" w:name="document-compliance-management"/>
    <w:p>
      <w:pPr>
        <w:pStyle w:val="Heading3"/>
      </w:pPr>
      <w:r>
        <w:t xml:space="preserve">4.2 Document &amp; Compliance Management</w:t>
      </w:r>
    </w:p>
    <w:p>
      <w:pPr>
        <w:pStyle w:val="Compact"/>
        <w:numPr>
          <w:ilvl w:val="0"/>
          <w:numId w:val="1009"/>
        </w:numPr>
      </w:pPr>
      <w:r>
        <w:t xml:space="preserve">Upload and store vendor documents (licenses, certifications, NDAs, etc.)</w:t>
      </w:r>
    </w:p>
    <w:p>
      <w:pPr>
        <w:pStyle w:val="Compact"/>
        <w:numPr>
          <w:ilvl w:val="0"/>
          <w:numId w:val="1009"/>
        </w:numPr>
      </w:pPr>
      <w:r>
        <w:t xml:space="preserve">Document versioning and expiry tracking</w:t>
      </w:r>
    </w:p>
    <w:p>
      <w:pPr>
        <w:pStyle w:val="Compact"/>
        <w:numPr>
          <w:ilvl w:val="0"/>
          <w:numId w:val="1009"/>
        </w:numPr>
      </w:pPr>
      <w:r>
        <w:t xml:space="preserve">Automated reminders for expiring documents</w:t>
      </w:r>
    </w:p>
    <w:p>
      <w:pPr>
        <w:pStyle w:val="Compact"/>
        <w:numPr>
          <w:ilvl w:val="0"/>
          <w:numId w:val="1009"/>
        </w:numPr>
      </w:pPr>
      <w:r>
        <w:t xml:space="preserve">Compliance status indicators</w:t>
      </w:r>
    </w:p>
    <w:bookmarkEnd w:id="33"/>
    <w:bookmarkStart w:id="34" w:name="contract-management"/>
    <w:p>
      <w:pPr>
        <w:pStyle w:val="Heading3"/>
      </w:pPr>
      <w:r>
        <w:t xml:space="preserve">4.3 Contract Management</w:t>
      </w:r>
    </w:p>
    <w:p>
      <w:pPr>
        <w:pStyle w:val="Compact"/>
        <w:numPr>
          <w:ilvl w:val="0"/>
          <w:numId w:val="1010"/>
        </w:numPr>
      </w:pPr>
      <w:r>
        <w:t xml:space="preserve">Create and manage vendor contracts</w:t>
      </w:r>
    </w:p>
    <w:p>
      <w:pPr>
        <w:pStyle w:val="Compact"/>
        <w:numPr>
          <w:ilvl w:val="0"/>
          <w:numId w:val="1010"/>
        </w:numPr>
      </w:pPr>
      <w:r>
        <w:t xml:space="preserve">Track contract lifecycle (draft, active, expired, terminated)</w:t>
      </w:r>
    </w:p>
    <w:p>
      <w:pPr>
        <w:pStyle w:val="Compact"/>
        <w:numPr>
          <w:ilvl w:val="0"/>
          <w:numId w:val="1010"/>
        </w:numPr>
      </w:pPr>
      <w:r>
        <w:t xml:space="preserve">Key date reminders (renewal, expiry)</w:t>
      </w:r>
    </w:p>
    <w:p>
      <w:pPr>
        <w:pStyle w:val="Compact"/>
        <w:numPr>
          <w:ilvl w:val="0"/>
          <w:numId w:val="1010"/>
        </w:numPr>
      </w:pPr>
      <w:r>
        <w:t xml:space="preserve">Store contract terms and SLAs</w:t>
      </w:r>
    </w:p>
    <w:bookmarkEnd w:id="34"/>
    <w:bookmarkStart w:id="35" w:name="performance-evaluation"/>
    <w:p>
      <w:pPr>
        <w:pStyle w:val="Heading3"/>
      </w:pPr>
      <w:r>
        <w:t xml:space="preserve">4.4 Performance &amp; Evaluation</w:t>
      </w:r>
    </w:p>
    <w:p>
      <w:pPr>
        <w:pStyle w:val="Compact"/>
        <w:numPr>
          <w:ilvl w:val="0"/>
          <w:numId w:val="1011"/>
        </w:numPr>
      </w:pPr>
      <w:r>
        <w:t xml:space="preserve">Define KPIs and evaluation criteria</w:t>
      </w:r>
    </w:p>
    <w:p>
      <w:pPr>
        <w:pStyle w:val="Compact"/>
        <w:numPr>
          <w:ilvl w:val="0"/>
          <w:numId w:val="1011"/>
        </w:numPr>
      </w:pPr>
      <w:r>
        <w:t xml:space="preserve">Periodic vendor performance reviews</w:t>
      </w:r>
    </w:p>
    <w:p>
      <w:pPr>
        <w:pStyle w:val="Compact"/>
        <w:numPr>
          <w:ilvl w:val="0"/>
          <w:numId w:val="1011"/>
        </w:numPr>
      </w:pPr>
      <w:r>
        <w:t xml:space="preserve">Scoring and rating system</w:t>
      </w:r>
    </w:p>
    <w:p>
      <w:pPr>
        <w:pStyle w:val="Compact"/>
        <w:numPr>
          <w:ilvl w:val="0"/>
          <w:numId w:val="1011"/>
        </w:numPr>
      </w:pPr>
      <w:r>
        <w:t xml:space="preserve">Historical performance tracking</w:t>
      </w:r>
    </w:p>
    <w:bookmarkEnd w:id="35"/>
    <w:bookmarkStart w:id="36" w:name="communication-notifications"/>
    <w:p>
      <w:pPr>
        <w:pStyle w:val="Heading3"/>
      </w:pPr>
      <w:r>
        <w:t xml:space="preserve">4.5 Communication &amp; Notifications</w:t>
      </w:r>
    </w:p>
    <w:p>
      <w:pPr>
        <w:pStyle w:val="Compact"/>
        <w:numPr>
          <w:ilvl w:val="0"/>
          <w:numId w:val="1012"/>
        </w:numPr>
      </w:pPr>
      <w:r>
        <w:t xml:space="preserve">System notifications and email alerts</w:t>
      </w:r>
    </w:p>
    <w:p>
      <w:pPr>
        <w:pStyle w:val="Compact"/>
        <w:numPr>
          <w:ilvl w:val="0"/>
          <w:numId w:val="1012"/>
        </w:numPr>
      </w:pPr>
      <w:r>
        <w:t xml:space="preserve">Vendor–client messaging (optional)</w:t>
      </w:r>
    </w:p>
    <w:p>
      <w:pPr>
        <w:pStyle w:val="Compact"/>
        <w:numPr>
          <w:ilvl w:val="0"/>
          <w:numId w:val="1012"/>
        </w:numPr>
      </w:pPr>
      <w:r>
        <w:t xml:space="preserve">Event-based alerts (approvals, expiries, renewals)</w:t>
      </w:r>
    </w:p>
    <w:bookmarkEnd w:id="36"/>
    <w:bookmarkStart w:id="37" w:name="X51b12759d55a014eae00b432fbc01a2cb3ade16"/>
    <w:p>
      <w:pPr>
        <w:pStyle w:val="Heading3"/>
      </w:pPr>
      <w:r>
        <w:t xml:space="preserve">4.6 Financial &amp; Invoice Management (Optional Phase)</w:t>
      </w:r>
    </w:p>
    <w:p>
      <w:pPr>
        <w:pStyle w:val="Compact"/>
        <w:numPr>
          <w:ilvl w:val="0"/>
          <w:numId w:val="1013"/>
        </w:numPr>
      </w:pPr>
      <w:r>
        <w:t xml:space="preserve">Invoice submission by vendors</w:t>
      </w:r>
    </w:p>
    <w:p>
      <w:pPr>
        <w:pStyle w:val="Compact"/>
        <w:numPr>
          <w:ilvl w:val="0"/>
          <w:numId w:val="1013"/>
        </w:numPr>
      </w:pPr>
      <w:r>
        <w:t xml:space="preserve">Approval workflow for invoices</w:t>
      </w:r>
    </w:p>
    <w:p>
      <w:pPr>
        <w:pStyle w:val="Compact"/>
        <w:numPr>
          <w:ilvl w:val="0"/>
          <w:numId w:val="1013"/>
        </w:numPr>
      </w:pPr>
      <w:r>
        <w:t xml:space="preserve">Payment status tracking</w:t>
      </w:r>
    </w:p>
    <w:p>
      <w:pPr>
        <w:pStyle w:val="Compact"/>
        <w:numPr>
          <w:ilvl w:val="0"/>
          <w:numId w:val="1013"/>
        </w:numPr>
      </w:pPr>
      <w:r>
        <w:t xml:space="preserve">Export data for accounting systems</w:t>
      </w:r>
    </w:p>
    <w:bookmarkEnd w:id="37"/>
    <w:bookmarkStart w:id="38" w:name="reporting-dashboards"/>
    <w:p>
      <w:pPr>
        <w:pStyle w:val="Heading3"/>
      </w:pPr>
      <w:r>
        <w:t xml:space="preserve">4.7 Reporting &amp; Dashboards</w:t>
      </w:r>
    </w:p>
    <w:p>
      <w:pPr>
        <w:pStyle w:val="Compact"/>
        <w:numPr>
          <w:ilvl w:val="0"/>
          <w:numId w:val="1014"/>
        </w:numPr>
      </w:pPr>
      <w:r>
        <w:t xml:space="preserve">Vendor summary dashboard</w:t>
      </w:r>
    </w:p>
    <w:p>
      <w:pPr>
        <w:pStyle w:val="Compact"/>
        <w:numPr>
          <w:ilvl w:val="0"/>
          <w:numId w:val="1014"/>
        </w:numPr>
      </w:pPr>
      <w:r>
        <w:t xml:space="preserve">Compliance and risk reports</w:t>
      </w:r>
    </w:p>
    <w:p>
      <w:pPr>
        <w:pStyle w:val="Compact"/>
        <w:numPr>
          <w:ilvl w:val="0"/>
          <w:numId w:val="1014"/>
        </w:numPr>
      </w:pPr>
      <w:r>
        <w:t xml:space="preserve">Contract and performance reports</w:t>
      </w:r>
    </w:p>
    <w:p>
      <w:pPr>
        <w:pStyle w:val="Compact"/>
        <w:numPr>
          <w:ilvl w:val="0"/>
          <w:numId w:val="1014"/>
        </w:numPr>
      </w:pPr>
      <w:r>
        <w:t xml:space="preserve">Export reports in PDF/Excel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non-functional-requirements"/>
    <w:p>
      <w:pPr>
        <w:pStyle w:val="Heading2"/>
      </w:pPr>
      <w:r>
        <w:t xml:space="preserve">5. Non-Functional Requirements</w:t>
      </w:r>
    </w:p>
    <w:bookmarkStart w:id="40" w:name="security"/>
    <w:p>
      <w:pPr>
        <w:pStyle w:val="Heading3"/>
      </w:pPr>
      <w:r>
        <w:t xml:space="preserve">5.1 Security</w:t>
      </w:r>
    </w:p>
    <w:p>
      <w:pPr>
        <w:pStyle w:val="Compact"/>
        <w:numPr>
          <w:ilvl w:val="0"/>
          <w:numId w:val="1015"/>
        </w:numPr>
      </w:pPr>
      <w:r>
        <w:t xml:space="preserve">Role-based access control (RBAC)</w:t>
      </w:r>
    </w:p>
    <w:p>
      <w:pPr>
        <w:pStyle w:val="Compact"/>
        <w:numPr>
          <w:ilvl w:val="0"/>
          <w:numId w:val="1015"/>
        </w:numPr>
      </w:pPr>
      <w:r>
        <w:t xml:space="preserve">Data encryption at rest and in transit</w:t>
      </w:r>
    </w:p>
    <w:p>
      <w:pPr>
        <w:pStyle w:val="Compact"/>
        <w:numPr>
          <w:ilvl w:val="0"/>
          <w:numId w:val="1015"/>
        </w:numPr>
      </w:pPr>
      <w:r>
        <w:t xml:space="preserve">Secure authentication (MFA optional)</w:t>
      </w:r>
    </w:p>
    <w:p>
      <w:pPr>
        <w:pStyle w:val="Compact"/>
        <w:numPr>
          <w:ilvl w:val="0"/>
          <w:numId w:val="1015"/>
        </w:numPr>
      </w:pPr>
      <w:r>
        <w:t xml:space="preserve">Audit logs for critical actions</w:t>
      </w:r>
    </w:p>
    <w:bookmarkEnd w:id="40"/>
    <w:bookmarkStart w:id="41" w:name="performance"/>
    <w:p>
      <w:pPr>
        <w:pStyle w:val="Heading3"/>
      </w:pPr>
      <w:r>
        <w:t xml:space="preserve">5.2 Performance</w:t>
      </w:r>
    </w:p>
    <w:p>
      <w:pPr>
        <w:pStyle w:val="Compact"/>
        <w:numPr>
          <w:ilvl w:val="0"/>
          <w:numId w:val="1016"/>
        </w:numPr>
      </w:pPr>
      <w:r>
        <w:t xml:space="preserve">Support concurrent users without degradation</w:t>
      </w:r>
    </w:p>
    <w:p>
      <w:pPr>
        <w:pStyle w:val="Compact"/>
        <w:numPr>
          <w:ilvl w:val="0"/>
          <w:numId w:val="1016"/>
        </w:numPr>
      </w:pPr>
      <w:r>
        <w:t xml:space="preserve">Page response time &lt; 3 seconds under normal load</w:t>
      </w:r>
    </w:p>
    <w:bookmarkEnd w:id="41"/>
    <w:bookmarkStart w:id="42" w:name="scalability"/>
    <w:p>
      <w:pPr>
        <w:pStyle w:val="Heading3"/>
      </w:pPr>
      <w:r>
        <w:t xml:space="preserve">5.3 Scalability</w:t>
      </w:r>
    </w:p>
    <w:p>
      <w:pPr>
        <w:pStyle w:val="Compact"/>
        <w:numPr>
          <w:ilvl w:val="0"/>
          <w:numId w:val="1017"/>
        </w:numPr>
      </w:pPr>
      <w:r>
        <w:t xml:space="preserve">Ability to support increasing number of vendors and users</w:t>
      </w:r>
    </w:p>
    <w:p>
      <w:pPr>
        <w:pStyle w:val="Compact"/>
        <w:numPr>
          <w:ilvl w:val="0"/>
          <w:numId w:val="1017"/>
        </w:numPr>
      </w:pPr>
      <w:r>
        <w:t xml:space="preserve">Modular architecture for future enhancements</w:t>
      </w:r>
    </w:p>
    <w:bookmarkEnd w:id="42"/>
    <w:bookmarkStart w:id="43" w:name="availability-reliability"/>
    <w:p>
      <w:pPr>
        <w:pStyle w:val="Heading3"/>
      </w:pPr>
      <w:r>
        <w:t xml:space="preserve">5.4 Availability &amp; Reliability</w:t>
      </w:r>
    </w:p>
    <w:p>
      <w:pPr>
        <w:pStyle w:val="Compact"/>
        <w:numPr>
          <w:ilvl w:val="0"/>
          <w:numId w:val="1018"/>
        </w:numPr>
      </w:pPr>
      <w:r>
        <w:t xml:space="preserve">99.5% system uptime</w:t>
      </w:r>
    </w:p>
    <w:p>
      <w:pPr>
        <w:pStyle w:val="Compact"/>
        <w:numPr>
          <w:ilvl w:val="0"/>
          <w:numId w:val="1018"/>
        </w:numPr>
      </w:pPr>
      <w:r>
        <w:t xml:space="preserve">Regular backups and disaster recovery support</w:t>
      </w:r>
    </w:p>
    <w:bookmarkEnd w:id="43"/>
    <w:bookmarkStart w:id="44" w:name="usability"/>
    <w:p>
      <w:pPr>
        <w:pStyle w:val="Heading3"/>
      </w:pPr>
      <w:r>
        <w:t xml:space="preserve">5.5 Usability</w:t>
      </w:r>
    </w:p>
    <w:p>
      <w:pPr>
        <w:pStyle w:val="Compact"/>
        <w:numPr>
          <w:ilvl w:val="0"/>
          <w:numId w:val="1019"/>
        </w:numPr>
      </w:pPr>
      <w:r>
        <w:t xml:space="preserve">Intuitive and responsive UI</w:t>
      </w:r>
    </w:p>
    <w:p>
      <w:pPr>
        <w:pStyle w:val="Compact"/>
        <w:numPr>
          <w:ilvl w:val="0"/>
          <w:numId w:val="1019"/>
        </w:numPr>
      </w:pPr>
      <w:r>
        <w:t xml:space="preserve">Mobile and tablet compatibility</w:t>
      </w:r>
    </w:p>
    <w:p>
      <w:pPr>
        <w:pStyle w:val="Compact"/>
        <w:numPr>
          <w:ilvl w:val="0"/>
          <w:numId w:val="1019"/>
        </w:numPr>
      </w:pPr>
      <w:r>
        <w:t xml:space="preserve">Minimal training required for end users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echnical-requirements"/>
    <w:p>
      <w:pPr>
        <w:pStyle w:val="Heading2"/>
      </w:pPr>
      <w:r>
        <w:t xml:space="preserve">6. Technical Requirements</w:t>
      </w:r>
    </w:p>
    <w:p>
      <w:pPr>
        <w:pStyle w:val="Compact"/>
        <w:numPr>
          <w:ilvl w:val="0"/>
          <w:numId w:val="1020"/>
        </w:numPr>
      </w:pPr>
      <w:r>
        <w:t xml:space="preserve">Web-based application (cloud-hosted preferred)</w:t>
      </w:r>
    </w:p>
    <w:p>
      <w:pPr>
        <w:pStyle w:val="Compact"/>
        <w:numPr>
          <w:ilvl w:val="0"/>
          <w:numId w:val="1020"/>
        </w:numPr>
      </w:pPr>
      <w:r>
        <w:t xml:space="preserve">RESTful APIs for integrations</w:t>
      </w:r>
    </w:p>
    <w:p>
      <w:pPr>
        <w:pStyle w:val="Compact"/>
        <w:numPr>
          <w:ilvl w:val="0"/>
          <w:numId w:val="1020"/>
        </w:numPr>
      </w:pPr>
      <w:r>
        <w:t xml:space="preserve">Relational database for structured data</w:t>
      </w:r>
    </w:p>
    <w:p>
      <w:pPr>
        <w:pStyle w:val="Compact"/>
        <w:numPr>
          <w:ilvl w:val="0"/>
          <w:numId w:val="1020"/>
        </w:numPr>
      </w:pPr>
      <w:r>
        <w:t xml:space="preserve">Document storage (cloud object storage preferred)</w:t>
      </w:r>
    </w:p>
    <w:p>
      <w:pPr>
        <w:pStyle w:val="Compact"/>
        <w:numPr>
          <w:ilvl w:val="0"/>
          <w:numId w:val="1020"/>
        </w:numPr>
      </w:pPr>
      <w:r>
        <w:t xml:space="preserve">Support for modern browsers</w:t>
      </w:r>
    </w:p>
    <w:p>
      <w:r>
        <w:pict>
          <v:rect style="width:0;height:1.5pt" o:hralign="center" o:hrstd="t" o:hr="t"/>
        </w:pict>
      </w:r>
    </w:p>
    <w:bookmarkEnd w:id="46"/>
    <w:bookmarkStart w:id="47" w:name="integration-requirements"/>
    <w:p>
      <w:pPr>
        <w:pStyle w:val="Heading2"/>
      </w:pPr>
      <w:r>
        <w:t xml:space="preserve">7. Integration Requirements</w:t>
      </w:r>
    </w:p>
    <w:p>
      <w:pPr>
        <w:pStyle w:val="Compact"/>
        <w:numPr>
          <w:ilvl w:val="0"/>
          <w:numId w:val="1021"/>
        </w:numPr>
      </w:pPr>
      <w:r>
        <w:t xml:space="preserve">ERP / Accounting systems (e.g., SAP, Tally, QuickBooks)</w:t>
      </w:r>
    </w:p>
    <w:p>
      <w:pPr>
        <w:pStyle w:val="Compact"/>
        <w:numPr>
          <w:ilvl w:val="0"/>
          <w:numId w:val="1021"/>
        </w:numPr>
      </w:pPr>
      <w:r>
        <w:t xml:space="preserve">Email services for notifications</w:t>
      </w:r>
    </w:p>
    <w:p>
      <w:pPr>
        <w:pStyle w:val="Compact"/>
        <w:numPr>
          <w:ilvl w:val="0"/>
          <w:numId w:val="1021"/>
        </w:numPr>
      </w:pPr>
      <w:r>
        <w:t xml:space="preserve">Single Sign-On (SSO) – optional</w:t>
      </w:r>
    </w:p>
    <w:p>
      <w:r>
        <w:pict>
          <v:rect style="width:0;height:1.5pt" o:hralign="center" o:hrstd="t" o:hr="t"/>
        </w:pict>
      </w:r>
    </w:p>
    <w:bookmarkEnd w:id="47"/>
    <w:bookmarkStart w:id="48" w:name="compliance-legal-requirements"/>
    <w:p>
      <w:pPr>
        <w:pStyle w:val="Heading2"/>
      </w:pPr>
      <w:r>
        <w:t xml:space="preserve">8. Compliance &amp; Legal Requirements</w:t>
      </w:r>
    </w:p>
    <w:p>
      <w:pPr>
        <w:pStyle w:val="Compact"/>
        <w:numPr>
          <w:ilvl w:val="0"/>
          <w:numId w:val="1022"/>
        </w:numPr>
      </w:pPr>
      <w:r>
        <w:t xml:space="preserve">GDPR / data privacy compliance (if applicable)</w:t>
      </w:r>
    </w:p>
    <w:p>
      <w:pPr>
        <w:pStyle w:val="Compact"/>
        <w:numPr>
          <w:ilvl w:val="0"/>
          <w:numId w:val="1022"/>
        </w:numPr>
      </w:pPr>
      <w:r>
        <w:t xml:space="preserve">Local tax and regulatory compliance</w:t>
      </w:r>
    </w:p>
    <w:p>
      <w:pPr>
        <w:pStyle w:val="Compact"/>
        <w:numPr>
          <w:ilvl w:val="0"/>
          <w:numId w:val="1022"/>
        </w:numPr>
      </w:pPr>
      <w:r>
        <w:t xml:space="preserve">Data retention and archival policies</w:t>
      </w:r>
    </w:p>
    <w:p>
      <w:r>
        <w:pict>
          <v:rect style="width:0;height:1.5pt" o:hralign="center" o:hrstd="t" o:hr="t"/>
        </w:pict>
      </w:r>
    </w:p>
    <w:bookmarkEnd w:id="48"/>
    <w:bookmarkStart w:id="49" w:name="assumptions-constraints"/>
    <w:p>
      <w:pPr>
        <w:pStyle w:val="Heading2"/>
      </w:pPr>
      <w:r>
        <w:t xml:space="preserve">9. Assumptions &amp; Constraints</w:t>
      </w:r>
    </w:p>
    <w:p>
      <w:pPr>
        <w:pStyle w:val="Compact"/>
        <w:numPr>
          <w:ilvl w:val="0"/>
          <w:numId w:val="1023"/>
        </w:numPr>
      </w:pPr>
      <w:r>
        <w:t xml:space="preserve">Client will provide branding assets and approval workflows</w:t>
      </w:r>
    </w:p>
    <w:p>
      <w:pPr>
        <w:pStyle w:val="Compact"/>
        <w:numPr>
          <w:ilvl w:val="0"/>
          <w:numId w:val="1023"/>
        </w:numPr>
      </w:pPr>
      <w:r>
        <w:t xml:space="preserve">Third-party integrations depend on API availability</w:t>
      </w:r>
    </w:p>
    <w:p>
      <w:pPr>
        <w:pStyle w:val="Compact"/>
        <w:numPr>
          <w:ilvl w:val="0"/>
          <w:numId w:val="1023"/>
        </w:numPr>
      </w:pPr>
      <w:r>
        <w:t xml:space="preserve">Phase-wise delivery may be adopted</w:t>
      </w:r>
    </w:p>
    <w:p>
      <w:r>
        <w:pict>
          <v:rect style="width:0;height:1.5pt" o:hralign="center" o:hrstd="t" o:hr="t"/>
        </w:pict>
      </w:r>
    </w:p>
    <w:bookmarkEnd w:id="49"/>
    <w:bookmarkStart w:id="50" w:name="acceptance-criteria"/>
    <w:p>
      <w:pPr>
        <w:pStyle w:val="Heading2"/>
      </w:pPr>
      <w:r>
        <w:t xml:space="preserve">10. Acceptance Criteria</w:t>
      </w:r>
    </w:p>
    <w:p>
      <w:pPr>
        <w:pStyle w:val="Compact"/>
        <w:numPr>
          <w:ilvl w:val="0"/>
          <w:numId w:val="1024"/>
        </w:numPr>
      </w:pPr>
      <w:r>
        <w:t xml:space="preserve">All defined functional requirements implemented and tested</w:t>
      </w:r>
    </w:p>
    <w:p>
      <w:pPr>
        <w:pStyle w:val="Compact"/>
        <w:numPr>
          <w:ilvl w:val="0"/>
          <w:numId w:val="1024"/>
        </w:numPr>
      </w:pPr>
      <w:r>
        <w:t xml:space="preserve">Security and performance benchmarks met</w:t>
      </w:r>
    </w:p>
    <w:p>
      <w:pPr>
        <w:pStyle w:val="Compact"/>
        <w:numPr>
          <w:ilvl w:val="0"/>
          <w:numId w:val="1024"/>
        </w:numPr>
      </w:pPr>
      <w:r>
        <w:t xml:space="preserve">User acceptance testing (UAT) completed successfully</w:t>
      </w:r>
    </w:p>
    <w:p>
      <w:pPr>
        <w:pStyle w:val="Compact"/>
        <w:numPr>
          <w:ilvl w:val="0"/>
          <w:numId w:val="1024"/>
        </w:numPr>
      </w:pPr>
      <w:r>
        <w:t xml:space="preserve">Documentation and training materials delivered</w:t>
      </w:r>
    </w:p>
    <w:p>
      <w:r>
        <w:pict>
          <v:rect style="width:0;height:1.5pt" o:hralign="center" o:hrstd="t" o:hr="t"/>
        </w:pict>
      </w:r>
    </w:p>
    <w:bookmarkEnd w:id="50"/>
    <w:bookmarkStart w:id="51" w:name="future-enhancements-out-of-scope"/>
    <w:p>
      <w:pPr>
        <w:pStyle w:val="Heading2"/>
      </w:pPr>
      <w:r>
        <w:t xml:space="preserve">11. Future Enhancements (Out of Scope)</w:t>
      </w:r>
    </w:p>
    <w:p>
      <w:pPr>
        <w:pStyle w:val="Compact"/>
        <w:numPr>
          <w:ilvl w:val="0"/>
          <w:numId w:val="1025"/>
        </w:numPr>
      </w:pPr>
      <w:r>
        <w:t xml:space="preserve">AI-based vendor risk scoring</w:t>
      </w:r>
    </w:p>
    <w:p>
      <w:pPr>
        <w:pStyle w:val="Compact"/>
        <w:numPr>
          <w:ilvl w:val="0"/>
          <w:numId w:val="1025"/>
        </w:numPr>
      </w:pPr>
      <w:r>
        <w:t xml:space="preserve">Predictive analytics on vendor performance</w:t>
      </w:r>
    </w:p>
    <w:p>
      <w:pPr>
        <w:pStyle w:val="Compact"/>
        <w:numPr>
          <w:ilvl w:val="0"/>
          <w:numId w:val="1025"/>
        </w:numPr>
      </w:pPr>
      <w:r>
        <w:t xml:space="preserve">Mobile-native applications</w:t>
      </w:r>
    </w:p>
    <w:p>
      <w:pPr>
        <w:pStyle w:val="Compact"/>
        <w:numPr>
          <w:ilvl w:val="0"/>
          <w:numId w:val="1025"/>
        </w:numPr>
      </w:pPr>
      <w:r>
        <w:t xml:space="preserve">Blockchain-based contract verification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2026-01-30T09:13:50Z</dcterms:created>
  <dcterms:modified xsi:type="dcterms:W3CDTF">2026-01-30T09:13:50Z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