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E7D4F"/>
          <w:sz w:val="26"/>
          <w:szCs w:val="26"/>
        </w:rPr>
        <w:t xml:space="preserve">OLIST BRAZILIAN E-COMMERCE DATASET</w:t>
      </w:r>
    </w:p>
    <w:p>
      <w:pPr>
        <w:spacing w:after="200"/>
        <w:jc w:val="center"/>
      </w:pPr>
      <w:r>
        <w:rPr>
          <w:b/>
          <w:bCs/>
          <w:color w:val="2E7D4F"/>
          <w:sz w:val="26"/>
          <w:szCs w:val="26"/>
        </w:rPr>
        <w:t xml:space="preserve">SALES PERFORMANCE &amp; CUSTOMER ANALYTICS</w:t>
      </w:r>
    </w:p>
    <w:p>
      <w:pPr>
        <w:spacing w:after="100"/>
        <w:jc w:val="center"/>
      </w:pPr>
      <w:r>
        <w:rPr>
          <w:b/>
          <w:bCs/>
          <w:color w:val="1F3D2E"/>
          <w:sz w:val="56"/>
          <w:szCs w:val="56"/>
        </w:rPr>
        <w:t xml:space="preserve">Complete Project Report</w:t>
      </w:r>
    </w:p>
    <w:p>
      <w:pPr>
        <w:spacing w:after="600"/>
        <w:jc w:val="center"/>
      </w:pPr>
      <w:r>
        <w:rPr>
          <w:i/>
          <w:iCs/>
          <w:color w:val="595959"/>
          <w:sz w:val="22"/>
          <w:szCs w:val="22"/>
        </w:rPr>
        <w:t xml:space="preserve">End-to-End Analytics Workflow: Python · SQL Server · Statistics · Power BI</w:t>
      </w:r>
    </w:p>
    <w:p>
      <w:pPr>
        <w:pBdr>
          <w:top w:val="single" w:color="4CA372" w:sz="6" w:space="10"/>
        </w:pBdr>
        <w:spacing w:before="400"/>
        <w:jc w:val="center"/>
      </w:pPr>
    </w:p>
    <w:p>
      <w:pPr>
        <w:spacing w:after="200"/>
      </w:pPr>
    </w:p>
    <w:p>
      <w:pPr>
        <w:spacing w:after="80"/>
        <w:jc w:val="center"/>
      </w:pPr>
      <w:r>
        <w:rPr>
          <w:color w:val="333333"/>
          <w:sz w:val="21"/>
          <w:szCs w:val="21"/>
        </w:rPr>
        <w:t xml:space="preserve">Prepared for: Marketplace Management, Operations &amp; Seller Teams</w:t>
      </w:r>
    </w:p>
    <w:p>
      <w:pPr>
        <w:spacing w:after="80"/>
        <w:jc w:val="center"/>
      </w:pPr>
      <w:r>
        <w:rPr>
          <w:color w:val="333333"/>
          <w:sz w:val="21"/>
          <w:szCs w:val="21"/>
        </w:rPr>
        <w:t xml:space="preserve">Dataset: Olist Brazilian E-Commerce Public Dataset (9 relational tables, ~1.52M rows)</w:t>
      </w:r>
    </w:p>
    <w:p>
      <w:pPr>
        <w:spacing w:after="80"/>
        <w:jc w:val="center"/>
      </w:pPr>
      <w:r>
        <w:rPr>
          <w:color w:val="333333"/>
          <w:sz w:val="21"/>
          <w:szCs w:val="21"/>
        </w:rPr>
        <w:t xml:space="preserve">Report Date: August 2026</w:t>
      </w:r>
    </w:p>
    <w:p>
      <w:r>
        <w:br w:type="page"/>
      </w:r>
    </w:p>
    <w:p>
      <w:pPr>
        <w:pStyle w:val="Heading1"/>
        <w:pBdr>
          <w:bottom w:val="single" w:color="2E7D4F" w:sz="8" w:space="4"/>
        </w:pBdr>
        <w:spacing w:after="200" w:before="400"/>
      </w:pPr>
      <w:r>
        <w:rPr>
          <w:b/>
          <w:bCs/>
          <w:color w:val="1F3D2E"/>
          <w:sz w:val="32"/>
          <w:szCs w:val="32"/>
        </w:rPr>
        <w:t xml:space="preserve">Table of Contents</w:t>
      </w:r>
    </w:p>
    <w:p>
      <w:pPr>
        <w:tabs>
          <w:tab w:val="right" w:pos="9350" w:leader="dot"/>
        </w:tabs>
        <w:spacing w:after="140"/>
      </w:pPr>
      <w:r>
        <w:rPr>
          <w:b/>
          <w:bCs/>
          <w:color w:val="1F3D2E"/>
          <w:sz w:val="21"/>
          <w:szCs w:val="21"/>
        </w:rPr>
        <w:t xml:space="preserve">1. Executive Summary</w:t>
      </w:r>
      <w:r>
        <w:rPr>
          <w:b/>
          <w:bCs/>
          <w:color w:val="1F3D2E"/>
          <w:sz w:val="21"/>
          <w:szCs w:val="21"/>
        </w:rPr>
        <w:t xml:space="preserve">	3</w:t>
      </w:r>
    </w:p>
    <w:p>
      <w:pPr>
        <w:tabs>
          <w:tab w:val="right" w:pos="9350" w:leader="dot"/>
        </w:tabs>
        <w:spacing w:after="140"/>
      </w:pPr>
      <w:r>
        <w:rPr>
          <w:b/>
          <w:bCs/>
          <w:color w:val="1F3D2E"/>
          <w:sz w:val="21"/>
          <w:szCs w:val="21"/>
        </w:rPr>
        <w:t xml:space="preserve">2. Business Understanding</w:t>
      </w:r>
      <w:r>
        <w:rPr>
          <w:b/>
          <w:bCs/>
          <w:color w:val="1F3D2E"/>
          <w:sz w:val="21"/>
          <w:szCs w:val="21"/>
        </w:rPr>
        <w:t xml:space="preserve">	4</w:t>
      </w:r>
    </w:p>
    <w:p>
      <w:pPr>
        <w:tabs>
          <w:tab w:val="right" w:pos="9350" w:leader="dot"/>
        </w:tabs>
        <w:spacing w:after="140"/>
      </w:pPr>
      <w:r>
        <w:rPr>
          <w:b/>
          <w:bCs/>
          <w:color w:val="1F3D2E"/>
          <w:sz w:val="21"/>
          <w:szCs w:val="21"/>
        </w:rPr>
        <w:t xml:space="preserve">3. Data Overview &amp; Entity Relationship Model</w:t>
      </w:r>
      <w:r>
        <w:rPr>
          <w:b/>
          <w:bCs/>
          <w:color w:val="1F3D2E"/>
          <w:sz w:val="21"/>
          <w:szCs w:val="21"/>
        </w:rPr>
        <w:t xml:space="preserve">	6</w:t>
      </w:r>
    </w:p>
    <w:p>
      <w:pPr>
        <w:tabs>
          <w:tab w:val="right" w:pos="9350" w:leader="dot"/>
        </w:tabs>
        <w:spacing w:after="140"/>
      </w:pPr>
      <w:r>
        <w:rPr>
          <w:b/>
          <w:bCs/>
          <w:color w:val="1F3D2E"/>
          <w:sz w:val="21"/>
          <w:szCs w:val="21"/>
        </w:rPr>
        <w:t xml:space="preserve">4. Data Validation &amp; Quality</w:t>
      </w:r>
      <w:r>
        <w:rPr>
          <w:b/>
          <w:bCs/>
          <w:color w:val="1F3D2E"/>
          <w:sz w:val="21"/>
          <w:szCs w:val="21"/>
        </w:rPr>
        <w:t xml:space="preserve">	8</w:t>
      </w:r>
    </w:p>
    <w:p>
      <w:pPr>
        <w:tabs>
          <w:tab w:val="right" w:pos="9350" w:leader="dot"/>
        </w:tabs>
        <w:spacing w:after="140"/>
      </w:pPr>
      <w:r>
        <w:rPr>
          <w:b/>
          <w:bCs/>
          <w:color w:val="1F3D2E"/>
          <w:sz w:val="21"/>
          <w:szCs w:val="21"/>
        </w:rPr>
        <w:t xml:space="preserve">5. Methodology</w:t>
      </w:r>
      <w:r>
        <w:rPr>
          <w:b/>
          <w:bCs/>
          <w:color w:val="1F3D2E"/>
          <w:sz w:val="21"/>
          <w:szCs w:val="21"/>
        </w:rPr>
        <w:t xml:space="preserve">	11</w:t>
      </w:r>
    </w:p>
    <w:p>
      <w:pPr>
        <w:tabs>
          <w:tab w:val="right" w:pos="9350" w:leader="dot"/>
        </w:tabs>
        <w:spacing w:after="140"/>
      </w:pPr>
      <w:r>
        <w:rPr>
          <w:b/>
          <w:bCs/>
          <w:color w:val="1F3D2E"/>
          <w:sz w:val="21"/>
          <w:szCs w:val="21"/>
        </w:rPr>
        <w:t xml:space="preserve">6. Analytical Findings</w:t>
      </w:r>
      <w:r>
        <w:rPr>
          <w:b/>
          <w:bCs/>
          <w:color w:val="1F3D2E"/>
          <w:sz w:val="21"/>
          <w:szCs w:val="21"/>
        </w:rPr>
        <w:t xml:space="preserve">	13</w:t>
      </w:r>
    </w:p>
    <w:p>
      <w:pPr>
        <w:tabs>
          <w:tab w:val="right" w:pos="9350" w:leader="dot"/>
        </w:tabs>
        <w:spacing w:after="140"/>
      </w:pPr>
      <w:r>
        <w:rPr>
          <w:b/>
          <w:bCs/>
          <w:color w:val="1F3D2E"/>
          <w:sz w:val="21"/>
          <w:szCs w:val="21"/>
        </w:rPr>
        <w:t xml:space="preserve">7. Dashboard Summary</w:t>
      </w:r>
      <w:r>
        <w:rPr>
          <w:b/>
          <w:bCs/>
          <w:color w:val="1F3D2E"/>
          <w:sz w:val="21"/>
          <w:szCs w:val="21"/>
        </w:rPr>
        <w:t xml:space="preserve">	15</w:t>
      </w:r>
    </w:p>
    <w:p>
      <w:pPr>
        <w:tabs>
          <w:tab w:val="right" w:pos="9350" w:leader="dot"/>
        </w:tabs>
        <w:spacing w:after="140"/>
      </w:pPr>
      <w:r>
        <w:rPr>
          <w:b/>
          <w:bCs/>
          <w:color w:val="1F3D2E"/>
          <w:sz w:val="21"/>
          <w:szCs w:val="21"/>
        </w:rPr>
        <w:t xml:space="preserve">8. Business Insights</w:t>
      </w:r>
      <w:r>
        <w:rPr>
          <w:b/>
          <w:bCs/>
          <w:color w:val="1F3D2E"/>
          <w:sz w:val="21"/>
          <w:szCs w:val="21"/>
        </w:rPr>
        <w:t xml:space="preserve">	18</w:t>
      </w:r>
    </w:p>
    <w:p>
      <w:pPr>
        <w:tabs>
          <w:tab w:val="right" w:pos="9350" w:leader="dot"/>
        </w:tabs>
        <w:spacing w:after="140"/>
      </w:pPr>
      <w:r>
        <w:rPr>
          <w:b/>
          <w:bCs/>
          <w:color w:val="1F3D2E"/>
          <w:sz w:val="21"/>
          <w:szCs w:val="21"/>
        </w:rPr>
        <w:t xml:space="preserve">9. Recommendations</w:t>
      </w:r>
      <w:r>
        <w:rPr>
          <w:b/>
          <w:bCs/>
          <w:color w:val="1F3D2E"/>
          <w:sz w:val="21"/>
          <w:szCs w:val="21"/>
        </w:rPr>
        <w:t xml:space="preserve">	19</w:t>
      </w:r>
    </w:p>
    <w:p>
      <w:pPr>
        <w:tabs>
          <w:tab w:val="right" w:pos="9350" w:leader="dot"/>
        </w:tabs>
        <w:spacing w:after="140"/>
      </w:pPr>
      <w:r>
        <w:rPr>
          <w:b/>
          <w:bCs/>
          <w:color w:val="1F3D2E"/>
          <w:sz w:val="21"/>
          <w:szCs w:val="21"/>
        </w:rPr>
        <w:t xml:space="preserve">10. Risks &amp; Limitations</w:t>
      </w:r>
      <w:r>
        <w:rPr>
          <w:b/>
          <w:bCs/>
          <w:color w:val="1F3D2E"/>
          <w:sz w:val="21"/>
          <w:szCs w:val="21"/>
        </w:rPr>
        <w:t xml:space="preserve">	21</w:t>
      </w:r>
    </w:p>
    <w:p>
      <w:pPr>
        <w:tabs>
          <w:tab w:val="right" w:pos="9350" w:leader="dot"/>
        </w:tabs>
        <w:spacing w:after="140"/>
      </w:pPr>
      <w:r>
        <w:rPr>
          <w:b/>
          <w:bCs/>
          <w:color w:val="1F3D2E"/>
          <w:sz w:val="21"/>
          <w:szCs w:val="21"/>
        </w:rPr>
        <w:t xml:space="preserve">11. Conclusion</w:t>
      </w:r>
      <w:r>
        <w:rPr>
          <w:b/>
          <w:bCs/>
          <w:color w:val="1F3D2E"/>
          <w:sz w:val="21"/>
          <w:szCs w:val="21"/>
        </w:rPr>
        <w:t xml:space="preserve">	22</w:t>
      </w:r>
    </w:p>
    <w:p>
      <w:r>
        <w:br w:type="page"/>
      </w:r>
    </w:p>
    <w:p>
      <w:pPr>
        <w:pStyle w:val="Heading1"/>
        <w:pBdr>
          <w:bottom w:val="single" w:color="2E7D4F" w:sz="8" w:space="4"/>
        </w:pBdr>
        <w:spacing w:after="200" w:before="400"/>
      </w:pPr>
      <w:r>
        <w:rPr>
          <w:b/>
          <w:bCs/>
          <w:color w:val="1F3D2E"/>
          <w:sz w:val="32"/>
          <w:szCs w:val="32"/>
        </w:rPr>
        <w:t xml:space="preserve">1. Executive Summary</w:t>
      </w:r>
    </w:p>
    <w:p>
      <w:pPr>
        <w:spacing w:after="160" w:line="300"/>
      </w:pPr>
      <w:r>
        <w:rPr>
          <w:color w:val="222222"/>
          <w:sz w:val="21"/>
          <w:szCs w:val="21"/>
        </w:rPr>
        <w:t xml:space="preserve">This report presents the complete findings of an end-to-end e-commerce analytics project built on the Olist Brazilian E-Commerce public dataset — nine relational tables spanning customers, orders, order items, products, sellers, payments, reviews, and geolocation, covering the period September 2016 to October 2018.</w:t>
      </w:r>
    </w:p>
    <w:p>
      <w:pPr>
        <w:spacing w:after="160" w:line="300"/>
      </w:pPr>
      <w:r>
        <w:rPr>
          <w:color w:val="222222"/>
          <w:sz w:val="21"/>
          <w:szCs w:val="21"/>
        </w:rPr>
        <w:t xml:space="preserve">The project combines Python (data validation, cleaning, feature engineering), SQL Server (business analysis views and queries), statistical analysis, and an interactive three-page Power BI dashboard to answer a central business question: how can Olist improve sustainable marketplace growth by understanding its revenue drivers, customer value, operational performance, and customer experience?</w:t>
      </w:r>
    </w:p>
    <w:tbl>
      <w:tblPr>
        <w:tblW w:type="dxa" w:w="9350"/>
        <w:tblBorders>
          <w:top w:val="single" w:color="4CA372" w:sz="4"/>
          <w:left w:val="single" w:color="4CA372" w:sz="24"/>
          <w:bottom w:val="single" w:color="4CA372" w:sz="4"/>
          <w:right w:val="single" w:color="4CA372" w:sz="4"/>
          <w:insideH w:val="single" w:color="auto" w:sz="4"/>
          <w:insideV w:val="single" w:color="auto" w:sz="4"/>
        </w:tblBorders>
      </w:tblPr>
      <w:tblGrid>
        <w:gridCol w:w="100"/>
      </w:tblGrid>
      <w:tr>
        <w:tc>
          <w:tcPr>
            <w:shd w:fill="EAF4EE" w:val="clear"/>
            <w:tcMar>
              <w:top w:type="dxa" w:w="160"/>
              <w:left w:type="dxa" w:w="220"/>
              <w:bottom w:type="dxa" w:w="160"/>
              <w:right w:type="dxa" w:w="220"/>
            </w:tcMar>
          </w:tcPr>
          <w:p>
            <w:pPr>
              <w:spacing w:after="60"/>
            </w:pPr>
            <w:r>
              <w:rPr>
                <w:b/>
                <w:bCs/>
                <w:color w:val="2E7D4F"/>
                <w:sz w:val="18"/>
                <w:szCs w:val="18"/>
              </w:rPr>
              <w:t xml:space="preserve">HEADLINE FINDING</w:t>
            </w:r>
          </w:p>
          <w:p>
            <w:pPr>
              <w:spacing w:after="0"/>
            </w:pPr>
            <w:r>
              <w:rPr>
                <w:color w:val="222222"/>
                <w:sz w:val="21"/>
                <w:szCs w:val="21"/>
              </w:rPr>
              <w:t xml:space="preserve">Revenue is heavily concentrated in a single state (São Paulo, 37% of revenue) and a handful of product categories. Repeat customer rate is critically low at 3.01%, and delivery time shows a clear negative relationship with review scores — meaning logistics performance is directly shaping customer satisfaction, not just operational efficiency.</w:t>
            </w:r>
          </w:p>
        </w:tc>
      </w:tr>
    </w:tbl>
    <w:p>
      <w:pPr>
        <w:spacing w:after="120"/>
      </w:pPr>
    </w:p>
    <w:p>
      <w:pPr>
        <w:pStyle w:val="Heading3"/>
        <w:spacing w:after="100" w:before="200"/>
      </w:pPr>
      <w:r>
        <w:rPr>
          <w:b/>
          <w:bCs/>
          <w:color w:val="1F3D2E"/>
          <w:sz w:val="22"/>
          <w:szCs w:val="22"/>
        </w:rPr>
        <w:t xml:space="preserve">Key Figures at a Glance</w:t>
      </w:r>
    </w:p>
    <w:tbl>
      <w:tblPr>
        <w:tblW w:type="dxa" w:w="9350"/>
        <w:tblBorders>
          <w:top w:val="none"/>
          <w:left w:val="none"/>
          <w:bottom w:val="none"/>
          <w:right w:val="none"/>
          <w:insideH w:val="none"/>
          <w:insideV w:val="none"/>
        </w:tblBorders>
      </w:tblPr>
      <w:tblGrid>
        <w:gridCol w:w="100"/>
        <w:gridCol w:w="100"/>
        <w:gridCol w:w="100"/>
        <w:gridCol w:w="100"/>
      </w:tblGrid>
      <w:tr>
        <w:tc>
          <w:tcPr>
            <w:tcW w:type="dxa" w:w="3116"/>
            <w:tcBorders>
              <w:top w:val="single" w:color="BFE0CC" w:sz="2"/>
              <w:left w:val="single" w:color="BFE0CC" w:sz="2"/>
              <w:bottom w:val="single" w:color="BFE0CC" w:sz="2"/>
              <w:right w:val="single" w:color="BFE0CC" w:sz="2"/>
            </w:tcBorders>
            <w:shd w:fill="EAF4EE" w:val="clear"/>
            <w:tcMar>
              <w:top w:type="dxa" w:w="180"/>
              <w:left w:type="dxa" w:w="140"/>
              <w:bottom w:type="dxa" w:w="180"/>
              <w:right w:type="dxa" w:w="140"/>
            </w:tcMar>
          </w:tcPr>
          <w:p>
            <w:pPr>
              <w:spacing w:after="60"/>
              <w:jc w:val="center"/>
            </w:pPr>
            <w:r>
              <w:rPr>
                <w:b/>
                <w:bCs/>
                <w:color w:val="2E7D4F"/>
                <w:sz w:val="30"/>
                <w:szCs w:val="30"/>
              </w:rPr>
              <w:t xml:space="preserve">99K</w:t>
            </w:r>
          </w:p>
          <w:p>
            <w:pPr>
              <w:jc w:val="center"/>
            </w:pPr>
            <w:r>
              <w:rPr>
                <w:color w:val="595959"/>
                <w:sz w:val="17"/>
                <w:szCs w:val="17"/>
              </w:rPr>
              <w:t xml:space="preserve">Total Customers</w:t>
            </w:r>
          </w:p>
        </w:tc>
        <w:tc>
          <w:tcPr>
            <w:tcW w:type="dxa" w:w="3116"/>
            <w:tcBorders>
              <w:top w:val="single" w:color="BFE0CC" w:sz="2"/>
              <w:left w:val="single" w:color="BFE0CC" w:sz="2"/>
              <w:bottom w:val="single" w:color="BFE0CC" w:sz="2"/>
              <w:right w:val="single" w:color="BFE0CC" w:sz="2"/>
            </w:tcBorders>
            <w:shd w:fill="EAF4EE" w:val="clear"/>
            <w:tcMar>
              <w:top w:type="dxa" w:w="180"/>
              <w:left w:type="dxa" w:w="140"/>
              <w:bottom w:type="dxa" w:w="180"/>
              <w:right w:type="dxa" w:w="140"/>
            </w:tcMar>
          </w:tcPr>
          <w:p>
            <w:pPr>
              <w:spacing w:after="60"/>
              <w:jc w:val="center"/>
            </w:pPr>
            <w:r>
              <w:rPr>
                <w:b/>
                <w:bCs/>
                <w:color w:val="2E7D4F"/>
                <w:sz w:val="30"/>
                <w:szCs w:val="30"/>
              </w:rPr>
              <w:t xml:space="preserve">R$15.84M</w:t>
            </w:r>
          </w:p>
          <w:p>
            <w:pPr>
              <w:jc w:val="center"/>
            </w:pPr>
            <w:r>
              <w:rPr>
                <w:color w:val="595959"/>
                <w:sz w:val="17"/>
                <w:szCs w:val="17"/>
              </w:rPr>
              <w:t xml:space="preserve">Total Revenue</w:t>
            </w:r>
          </w:p>
        </w:tc>
        <w:tc>
          <w:tcPr>
            <w:tcW w:type="dxa" w:w="3116"/>
            <w:tcBorders>
              <w:top w:val="single" w:color="BFE0CC" w:sz="2"/>
              <w:left w:val="single" w:color="BFE0CC" w:sz="2"/>
              <w:bottom w:val="single" w:color="BFE0CC" w:sz="2"/>
              <w:right w:val="single" w:color="BFE0CC" w:sz="2"/>
            </w:tcBorders>
            <w:shd w:fill="EAF4EE" w:val="clear"/>
            <w:tcMar>
              <w:top w:type="dxa" w:w="180"/>
              <w:left w:type="dxa" w:w="140"/>
              <w:bottom w:type="dxa" w:w="180"/>
              <w:right w:type="dxa" w:w="140"/>
            </w:tcMar>
          </w:tcPr>
          <w:p>
            <w:pPr>
              <w:spacing w:after="60"/>
              <w:jc w:val="center"/>
            </w:pPr>
            <w:r>
              <w:rPr>
                <w:b/>
                <w:bCs/>
                <w:color w:val="2E7D4F"/>
                <w:sz w:val="30"/>
                <w:szCs w:val="30"/>
              </w:rPr>
              <w:t xml:space="preserve">99K</w:t>
            </w:r>
          </w:p>
          <w:p>
            <w:pPr>
              <w:jc w:val="center"/>
            </w:pPr>
            <w:r>
              <w:rPr>
                <w:color w:val="595959"/>
                <w:sz w:val="17"/>
                <w:szCs w:val="17"/>
              </w:rPr>
              <w:t xml:space="preserve">Total Orders</w:t>
            </w:r>
          </w:p>
        </w:tc>
        <w:tc>
          <w:tcPr>
            <w:tcW w:type="dxa" w:w="3116"/>
            <w:tcBorders>
              <w:top w:val="single" w:color="BFE0CC" w:sz="2"/>
              <w:left w:val="single" w:color="BFE0CC" w:sz="2"/>
              <w:bottom w:val="single" w:color="BFE0CC" w:sz="2"/>
              <w:right w:val="single" w:color="BFE0CC" w:sz="2"/>
            </w:tcBorders>
            <w:shd w:fill="EAF4EE" w:val="clear"/>
            <w:tcMar>
              <w:top w:type="dxa" w:w="180"/>
              <w:left w:type="dxa" w:w="140"/>
              <w:bottom w:type="dxa" w:w="180"/>
              <w:right w:type="dxa" w:w="140"/>
            </w:tcMar>
          </w:tcPr>
          <w:p>
            <w:pPr>
              <w:spacing w:after="60"/>
              <w:jc w:val="center"/>
            </w:pPr>
            <w:r>
              <w:rPr>
                <w:b/>
                <w:bCs/>
                <w:color w:val="2E7D4F"/>
                <w:sz w:val="30"/>
                <w:szCs w:val="30"/>
              </w:rPr>
              <w:t xml:space="preserve">R$159.33</w:t>
            </w:r>
          </w:p>
          <w:p>
            <w:pPr>
              <w:jc w:val="center"/>
            </w:pPr>
            <w:r>
              <w:rPr>
                <w:color w:val="595959"/>
                <w:sz w:val="17"/>
                <w:szCs w:val="17"/>
              </w:rPr>
              <w:t xml:space="preserve">Avg. Order Value</w:t>
            </w:r>
          </w:p>
        </w:tc>
      </w:tr>
    </w:tbl>
    <w:p>
      <w:pPr>
        <w:spacing w:after="160"/>
      </w:pPr>
    </w:p>
    <w:tbl>
      <w:tblPr>
        <w:tblW w:type="dxa" w:w="9350"/>
        <w:tblBorders>
          <w:top w:val="none"/>
          <w:left w:val="none"/>
          <w:bottom w:val="none"/>
          <w:right w:val="none"/>
          <w:insideH w:val="none"/>
          <w:insideV w:val="none"/>
        </w:tblBorders>
      </w:tblPr>
      <w:tblGrid>
        <w:gridCol w:w="100"/>
        <w:gridCol w:w="100"/>
        <w:gridCol w:w="100"/>
        <w:gridCol w:w="100"/>
      </w:tblGrid>
      <w:tr>
        <w:tc>
          <w:tcPr>
            <w:tcW w:type="dxa" w:w="3116"/>
            <w:tcBorders>
              <w:top w:val="single" w:color="BFE0CC" w:sz="2"/>
              <w:left w:val="single" w:color="BFE0CC" w:sz="2"/>
              <w:bottom w:val="single" w:color="BFE0CC" w:sz="2"/>
              <w:right w:val="single" w:color="BFE0CC" w:sz="2"/>
            </w:tcBorders>
            <w:shd w:fill="EAF4EE" w:val="clear"/>
            <w:tcMar>
              <w:top w:type="dxa" w:w="180"/>
              <w:left w:type="dxa" w:w="140"/>
              <w:bottom w:type="dxa" w:w="180"/>
              <w:right w:type="dxa" w:w="140"/>
            </w:tcMar>
          </w:tcPr>
          <w:p>
            <w:pPr>
              <w:spacing w:after="60"/>
              <w:jc w:val="center"/>
            </w:pPr>
            <w:r>
              <w:rPr>
                <w:b/>
                <w:bCs/>
                <w:color w:val="2E7D4F"/>
                <w:sz w:val="30"/>
                <w:szCs w:val="30"/>
              </w:rPr>
              <w:t xml:space="preserve">3.01%</w:t>
            </w:r>
          </w:p>
          <w:p>
            <w:pPr>
              <w:jc w:val="center"/>
            </w:pPr>
            <w:r>
              <w:rPr>
                <w:color w:val="595959"/>
                <w:sz w:val="17"/>
                <w:szCs w:val="17"/>
              </w:rPr>
              <w:t xml:space="preserve">Repeat Customer Rate</w:t>
            </w:r>
          </w:p>
        </w:tc>
        <w:tc>
          <w:tcPr>
            <w:tcW w:type="dxa" w:w="3116"/>
            <w:tcBorders>
              <w:top w:val="single" w:color="BFE0CC" w:sz="2"/>
              <w:left w:val="single" w:color="BFE0CC" w:sz="2"/>
              <w:bottom w:val="single" w:color="BFE0CC" w:sz="2"/>
              <w:right w:val="single" w:color="BFE0CC" w:sz="2"/>
            </w:tcBorders>
            <w:shd w:fill="EAF4EE" w:val="clear"/>
            <w:tcMar>
              <w:top w:type="dxa" w:w="180"/>
              <w:left w:type="dxa" w:w="140"/>
              <w:bottom w:type="dxa" w:w="180"/>
              <w:right w:type="dxa" w:w="140"/>
            </w:tcMar>
          </w:tcPr>
          <w:p>
            <w:pPr>
              <w:spacing w:after="60"/>
              <w:jc w:val="center"/>
            </w:pPr>
            <w:r>
              <w:rPr>
                <w:b/>
                <w:bCs/>
                <w:color w:val="2E7D4F"/>
                <w:sz w:val="30"/>
                <w:szCs w:val="30"/>
              </w:rPr>
              <w:t xml:space="preserve">7.87%</w:t>
            </w:r>
          </w:p>
          <w:p>
            <w:pPr>
              <w:jc w:val="center"/>
            </w:pPr>
            <w:r>
              <w:rPr>
                <w:color w:val="595959"/>
                <w:sz w:val="17"/>
                <w:szCs w:val="17"/>
              </w:rPr>
              <w:t xml:space="preserve">Late Delivery Rate</w:t>
            </w:r>
          </w:p>
        </w:tc>
        <w:tc>
          <w:tcPr>
            <w:tcW w:type="dxa" w:w="3116"/>
            <w:tcBorders>
              <w:top w:val="single" w:color="BFE0CC" w:sz="2"/>
              <w:left w:val="single" w:color="BFE0CC" w:sz="2"/>
              <w:bottom w:val="single" w:color="BFE0CC" w:sz="2"/>
              <w:right w:val="single" w:color="BFE0CC" w:sz="2"/>
            </w:tcBorders>
            <w:shd w:fill="EAF4EE" w:val="clear"/>
            <w:tcMar>
              <w:top w:type="dxa" w:w="180"/>
              <w:left w:type="dxa" w:w="140"/>
              <w:bottom w:type="dxa" w:w="180"/>
              <w:right w:type="dxa" w:w="140"/>
            </w:tcMar>
          </w:tcPr>
          <w:p>
            <w:pPr>
              <w:spacing w:after="60"/>
              <w:jc w:val="center"/>
            </w:pPr>
            <w:r>
              <w:rPr>
                <w:b/>
                <w:bCs/>
                <w:color w:val="2E7D4F"/>
                <w:sz w:val="30"/>
                <w:szCs w:val="30"/>
              </w:rPr>
              <w:t xml:space="preserve">12.50</w:t>
            </w:r>
          </w:p>
          <w:p>
            <w:pPr>
              <w:jc w:val="center"/>
            </w:pPr>
            <w:r>
              <w:rPr>
                <w:color w:val="595959"/>
                <w:sz w:val="17"/>
                <w:szCs w:val="17"/>
              </w:rPr>
              <w:t xml:space="preserve">Avg. Delivery Days</w:t>
            </w:r>
          </w:p>
        </w:tc>
        <w:tc>
          <w:tcPr>
            <w:tcW w:type="dxa" w:w="3116"/>
            <w:tcBorders>
              <w:top w:val="single" w:color="BFE0CC" w:sz="2"/>
              <w:left w:val="single" w:color="BFE0CC" w:sz="2"/>
              <w:bottom w:val="single" w:color="BFE0CC" w:sz="2"/>
              <w:right w:val="single" w:color="BFE0CC" w:sz="2"/>
            </w:tcBorders>
            <w:shd w:fill="EAF4EE" w:val="clear"/>
            <w:tcMar>
              <w:top w:type="dxa" w:w="180"/>
              <w:left w:type="dxa" w:w="140"/>
              <w:bottom w:type="dxa" w:w="180"/>
              <w:right w:type="dxa" w:w="140"/>
            </w:tcMar>
          </w:tcPr>
          <w:p>
            <w:pPr>
              <w:spacing w:after="60"/>
              <w:jc w:val="center"/>
            </w:pPr>
            <w:r>
              <w:rPr>
                <w:b/>
                <w:bCs/>
                <w:color w:val="2E7D4F"/>
                <w:sz w:val="30"/>
                <w:szCs w:val="30"/>
              </w:rPr>
              <w:t xml:space="preserve">4.09 / 5</w:t>
            </w:r>
          </w:p>
          <w:p>
            <w:pPr>
              <w:jc w:val="center"/>
            </w:pPr>
            <w:r>
              <w:rPr>
                <w:color w:val="595959"/>
                <w:sz w:val="17"/>
                <w:szCs w:val="17"/>
              </w:rPr>
              <w:t xml:space="preserve">Avg. Review Score</w:t>
            </w:r>
          </w:p>
        </w:tc>
      </w:tr>
    </w:tbl>
    <w:p>
      <w:pPr>
        <w:spacing w:after="120"/>
      </w:pPr>
    </w:p>
    <w:p>
      <w:pPr>
        <w:spacing w:after="160" w:line="300"/>
      </w:pPr>
      <w:r>
        <w:rPr>
          <w:color w:val="222222"/>
          <w:sz w:val="21"/>
          <w:szCs w:val="21"/>
        </w:rPr>
        <w:t xml:space="preserve">The remainder of this report walks through the business context, the underlying data model and its validation, the analytical methodology, detailed findings, the dashboard built to communicate them, and the resulting business insights and recommendations.</w:t>
      </w:r>
    </w:p>
    <w:p>
      <w:r>
        <w:br w:type="page"/>
      </w:r>
    </w:p>
    <w:p>
      <w:pPr>
        <w:pStyle w:val="Heading1"/>
        <w:pBdr>
          <w:bottom w:val="single" w:color="2E7D4F" w:sz="8" w:space="4"/>
        </w:pBdr>
        <w:spacing w:after="200" w:before="400"/>
      </w:pPr>
      <w:r>
        <w:rPr>
          <w:b/>
          <w:bCs/>
          <w:color w:val="1F3D2E"/>
          <w:sz w:val="32"/>
          <w:szCs w:val="32"/>
        </w:rPr>
        <w:t xml:space="preserve">2. Business Understanding</w:t>
      </w:r>
    </w:p>
    <w:p>
      <w:pPr>
        <w:pStyle w:val="Heading2"/>
        <w:spacing w:after="150" w:before="300"/>
      </w:pPr>
      <w:r>
        <w:rPr>
          <w:b/>
          <w:bCs/>
          <w:color w:val="2E7D4F"/>
          <w:sz w:val="26"/>
          <w:szCs w:val="26"/>
        </w:rPr>
        <w:t xml:space="preserve">2.1 Business Problem</w:t>
      </w:r>
    </w:p>
    <w:p>
      <w:pPr>
        <w:spacing w:after="160" w:line="300"/>
      </w:pPr>
      <w:r>
        <w:rPr>
          <w:color w:val="222222"/>
          <w:sz w:val="21"/>
          <w:szCs w:val="21"/>
        </w:rPr>
        <w:t xml:space="preserve">The marketplace needs to understand its sales performance, customer behavior, product/category performance, seller performance, delivery operations, and customer satisfaction in order to identify opportunities for revenue growth and operational improvement.</w:t>
      </w:r>
    </w:p>
    <w:p>
      <w:pPr>
        <w:pStyle w:val="Heading2"/>
        <w:spacing w:after="150" w:before="300"/>
      </w:pPr>
      <w:r>
        <w:rPr>
          <w:b/>
          <w:bCs/>
          <w:color w:val="2E7D4F"/>
          <w:sz w:val="26"/>
          <w:szCs w:val="26"/>
        </w:rPr>
        <w:t xml:space="preserve">2.2 Business Objective</w:t>
      </w:r>
    </w:p>
    <w:p>
      <w:pPr>
        <w:spacing w:after="160" w:line="300"/>
      </w:pPr>
      <w:r>
        <w:rPr>
          <w:color w:val="222222"/>
          <w:sz w:val="21"/>
          <w:szCs w:val="21"/>
        </w:rPr>
        <w:t xml:space="preserve">Use data to identify revenue and sales trends, high-performing products and categories, valuable customer segments, strong and weak sellers, delivery and logistics issues, customer satisfaction patterns, and geographic opportunities — then turn these findings into clear business recommendations.</w:t>
      </w:r>
    </w:p>
    <w:p>
      <w:pPr>
        <w:pStyle w:val="Heading2"/>
        <w:spacing w:after="150" w:before="300"/>
      </w:pPr>
      <w:r>
        <w:rPr>
          <w:b/>
          <w:bCs/>
          <w:color w:val="2E7D4F"/>
          <w:sz w:val="26"/>
          <w:szCs w:val="26"/>
        </w:rPr>
        <w:t xml:space="preserve">2.3 Key Business Questions</w:t>
      </w:r>
    </w:p>
    <w:p>
      <w:pPr>
        <w:pStyle w:val="ListParagraph"/>
        <w:numPr>
          <w:ilvl w:val="0"/>
          <w:numId w:val="1"/>
        </w:numPr>
        <w:spacing w:after="100"/>
      </w:pPr>
      <w:r>
        <w:rPr>
          <w:color w:val="222222"/>
          <w:sz w:val="21"/>
          <w:szCs w:val="21"/>
        </w:rPr>
        <w:t xml:space="preserve">Sales — What are total sales, orders, and average order value? How are sales changing over time? Which categories generate the most revenue?</w:t>
      </w:r>
    </w:p>
    <w:p>
      <w:pPr>
        <w:pStyle w:val="ListParagraph"/>
        <w:numPr>
          <w:ilvl w:val="0"/>
          <w:numId w:val="1"/>
        </w:numPr>
        <w:spacing w:after="100"/>
      </w:pPr>
      <w:r>
        <w:rPr>
          <w:color w:val="222222"/>
          <w:sz w:val="21"/>
          <w:szCs w:val="21"/>
        </w:rPr>
        <w:t xml:space="preserve">Customers — Who are the highest-value customers? How many are repeat customers? What segments can be identified? Which regions have the highest demand?</w:t>
      </w:r>
    </w:p>
    <w:p>
      <w:pPr>
        <w:pStyle w:val="ListParagraph"/>
        <w:numPr>
          <w:ilvl w:val="0"/>
          <w:numId w:val="1"/>
        </w:numPr>
        <w:spacing w:after="100"/>
      </w:pPr>
      <w:r>
        <w:rPr>
          <w:color w:val="222222"/>
          <w:sz w:val="21"/>
          <w:szCs w:val="21"/>
        </w:rPr>
        <w:t xml:space="preserve">Products &amp; Sellers — Which categories perform best? Which sellers generate the most sales? Which need attention?</w:t>
      </w:r>
    </w:p>
    <w:p>
      <w:pPr>
        <w:pStyle w:val="ListParagraph"/>
        <w:numPr>
          <w:ilvl w:val="0"/>
          <w:numId w:val="1"/>
        </w:numPr>
        <w:spacing w:after="100"/>
      </w:pPr>
      <w:r>
        <w:rPr>
          <w:color w:val="222222"/>
          <w:sz w:val="21"/>
          <w:szCs w:val="21"/>
        </w:rPr>
        <w:t xml:space="preserve">Delivery &amp; Experience — What is the average delivery time? What percentage of orders are late? Does late delivery relate to lower review scores?</w:t>
      </w:r>
    </w:p>
    <w:p>
      <w:pPr>
        <w:pStyle w:val="ListParagraph"/>
        <w:numPr>
          <w:ilvl w:val="0"/>
          <w:numId w:val="1"/>
        </w:numPr>
        <w:spacing w:after="100"/>
      </w:pPr>
      <w:r>
        <w:rPr>
          <w:color w:val="222222"/>
          <w:sz w:val="21"/>
          <w:szCs w:val="21"/>
        </w:rPr>
        <w:t xml:space="preserve">Payments — Which payment methods are most common? What is the average transaction value by method?</w:t>
      </w:r>
    </w:p>
    <w:p>
      <w:pPr>
        <w:pStyle w:val="Heading2"/>
        <w:spacing w:after="150" w:before="300"/>
      </w:pPr>
      <w:r>
        <w:rPr>
          <w:b/>
          <w:bCs/>
          <w:color w:val="2E7D4F"/>
          <w:sz w:val="26"/>
          <w:szCs w:val="26"/>
        </w:rPr>
        <w:t xml:space="preserve">2.4 Central Business Case</w:t>
      </w:r>
    </w:p>
    <w:tbl>
      <w:tblPr>
        <w:tblW w:type="dxa" w:w="9350"/>
        <w:tblBorders>
          <w:top w:val="single" w:color="4CA372" w:sz="4"/>
          <w:left w:val="single" w:color="4CA372" w:sz="24"/>
          <w:bottom w:val="single" w:color="4CA372" w:sz="4"/>
          <w:right w:val="single" w:color="4CA372" w:sz="4"/>
          <w:insideH w:val="single" w:color="auto" w:sz="4"/>
          <w:insideV w:val="single" w:color="auto" w:sz="4"/>
        </w:tblBorders>
      </w:tblPr>
      <w:tblGrid>
        <w:gridCol w:w="100"/>
      </w:tblGrid>
      <w:tr>
        <w:tc>
          <w:tcPr>
            <w:shd w:fill="EAF4EE" w:val="clear"/>
            <w:tcMar>
              <w:top w:type="dxa" w:w="160"/>
              <w:left w:type="dxa" w:w="220"/>
              <w:bottom w:type="dxa" w:w="160"/>
              <w:right w:type="dxa" w:w="220"/>
            </w:tcMar>
          </w:tcPr>
          <w:p>
            <w:pPr>
              <w:spacing w:after="60"/>
            </w:pPr>
            <w:r>
              <w:rPr>
                <w:b/>
                <w:bCs/>
                <w:color w:val="2E7D4F"/>
                <w:sz w:val="18"/>
                <w:szCs w:val="18"/>
              </w:rPr>
              <w:t xml:space="preserve">CENTRAL QUESTION</w:t>
            </w:r>
          </w:p>
          <w:p>
            <w:pPr>
              <w:spacing w:after="0"/>
            </w:pPr>
            <w:r>
              <w:rPr>
                <w:color w:val="222222"/>
                <w:sz w:val="21"/>
                <w:szCs w:val="21"/>
              </w:rPr>
              <w:t xml:space="preserve">How can Olist improve sustainable marketplace growth by understanding its revenue drivers, customer value, operational performance, and customer experience?</w:t>
            </w:r>
          </w:p>
        </w:tc>
      </w:tr>
    </w:tbl>
    <w:p>
      <w:pPr>
        <w:pStyle w:val="Heading2"/>
        <w:spacing w:after="150" w:before="300"/>
      </w:pPr>
      <w:r>
        <w:rPr>
          <w:b/>
          <w:bCs/>
          <w:color w:val="2E7D4F"/>
          <w:sz w:val="26"/>
          <w:szCs w:val="26"/>
        </w:rPr>
        <w:t xml:space="preserve">2.5 Key KPIs Tracked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2E5B41" w:val="clear"/>
            <w:tcMar>
              <w:top w:type="dxa" w:w="100"/>
              <w:left w:type="dxa" w:w="120"/>
              <w:bottom w:type="dxa" w:w="100"/>
              <w:right w:type="dxa" w:w="120"/>
            </w:tcMar>
            <w:vAlign w:val="center"/>
          </w:tcPr>
          <w:p>
            <w:r>
              <w:rPr>
                <w:b/>
                <w:bCs/>
                <w:color w:val="FFFFFF"/>
                <w:sz w:val="19"/>
                <w:szCs w:val="19"/>
              </w:rPr>
              <w:t xml:space="preserve">KPI</w:t>
            </w:r>
          </w:p>
        </w:tc>
        <w:tc>
          <w:tcPr>
            <w:tcW w:type="dxa" w:w="6150"/>
            <w:shd w:fill="2E5B41" w:val="clear"/>
            <w:tcMar>
              <w:top w:type="dxa" w:w="100"/>
              <w:left w:type="dxa" w:w="120"/>
              <w:bottom w:type="dxa" w:w="100"/>
              <w:right w:type="dxa" w:w="120"/>
            </w:tcMar>
            <w:vAlign w:val="center"/>
          </w:tcPr>
          <w:p>
            <w:r>
              <w:rPr>
                <w:b/>
                <w:bCs/>
                <w:color w:val="FFFFFF"/>
                <w:sz w:val="19"/>
                <w:szCs w:val="19"/>
              </w:rPr>
              <w:t xml:space="preserve">Purpose</w:t>
            </w:r>
          </w:p>
        </w:tc>
      </w:tr>
      <w:tr>
        <w:tc>
          <w:tcPr>
            <w:tcW w:type="dxa" w:w="3200"/>
            <w:shd w:fill="FFFFFF" w:val="clear"/>
            <w:tcMar>
              <w:top w:type="dxa" w:w="90"/>
              <w:left w:type="dxa" w:w="120"/>
              <w:bottom w:type="dxa" w:w="90"/>
              <w:right w:type="dxa" w:w="120"/>
            </w:tcMar>
            <w:vAlign w:val="center"/>
          </w:tcPr>
          <w:p>
            <w:r>
              <w:rPr>
                <w:color w:val="222222"/>
                <w:sz w:val="19"/>
                <w:szCs w:val="19"/>
              </w:rPr>
              <w:t xml:space="preserve">Total Sales / Total Orders</w:t>
            </w:r>
          </w:p>
        </w:tc>
        <w:tc>
          <w:tcPr>
            <w:tcW w:type="dxa" w:w="6150"/>
            <w:shd w:fill="FFFFFF" w:val="clear"/>
            <w:tcMar>
              <w:top w:type="dxa" w:w="90"/>
              <w:left w:type="dxa" w:w="120"/>
              <w:bottom w:type="dxa" w:w="90"/>
              <w:right w:type="dxa" w:w="120"/>
            </w:tcMar>
            <w:vAlign w:val="center"/>
          </w:tcPr>
          <w:p>
            <w:r>
              <w:rPr>
                <w:color w:val="222222"/>
                <w:sz w:val="19"/>
                <w:szCs w:val="19"/>
              </w:rPr>
              <w:t xml:space="preserve">Overall business performance and order volume</w:t>
            </w:r>
          </w:p>
        </w:tc>
      </w:tr>
      <w:tr>
        <w:tc>
          <w:tcPr>
            <w:tcW w:type="dxa" w:w="3200"/>
            <w:shd w:fill="EAF4EE" w:val="clear"/>
            <w:tcMar>
              <w:top w:type="dxa" w:w="90"/>
              <w:left w:type="dxa" w:w="120"/>
              <w:bottom w:type="dxa" w:w="90"/>
              <w:right w:type="dxa" w:w="120"/>
            </w:tcMar>
            <w:vAlign w:val="center"/>
          </w:tcPr>
          <w:p>
            <w:r>
              <w:rPr>
                <w:color w:val="222222"/>
                <w:sz w:val="19"/>
                <w:szCs w:val="19"/>
              </w:rPr>
              <w:t xml:space="preserve">Unique Customers</w:t>
            </w:r>
          </w:p>
        </w:tc>
        <w:tc>
          <w:tcPr>
            <w:tcW w:type="dxa" w:w="6150"/>
            <w:shd w:fill="EAF4EE" w:val="clear"/>
            <w:tcMar>
              <w:top w:type="dxa" w:w="90"/>
              <w:left w:type="dxa" w:w="120"/>
              <w:bottom w:type="dxa" w:w="90"/>
              <w:right w:type="dxa" w:w="120"/>
            </w:tcMar>
            <w:vAlign w:val="center"/>
          </w:tcPr>
          <w:p>
            <w:r>
              <w:rPr>
                <w:color w:val="222222"/>
                <w:sz w:val="19"/>
                <w:szCs w:val="19"/>
              </w:rPr>
              <w:t xml:space="preserve">Customer base size</w:t>
            </w:r>
          </w:p>
        </w:tc>
      </w:tr>
      <w:tr>
        <w:tc>
          <w:tcPr>
            <w:tcW w:type="dxa" w:w="3200"/>
            <w:shd w:fill="FFFFFF" w:val="clear"/>
            <w:tcMar>
              <w:top w:type="dxa" w:w="90"/>
              <w:left w:type="dxa" w:w="120"/>
              <w:bottom w:type="dxa" w:w="90"/>
              <w:right w:type="dxa" w:w="120"/>
            </w:tcMar>
            <w:vAlign w:val="center"/>
          </w:tcPr>
          <w:p>
            <w:r>
              <w:rPr>
                <w:color w:val="222222"/>
                <w:sz w:val="19"/>
                <w:szCs w:val="19"/>
              </w:rPr>
              <w:t xml:space="preserve">Average Order Value</w:t>
            </w:r>
          </w:p>
        </w:tc>
        <w:tc>
          <w:tcPr>
            <w:tcW w:type="dxa" w:w="6150"/>
            <w:shd w:fill="FFFFFF" w:val="clear"/>
            <w:tcMar>
              <w:top w:type="dxa" w:w="90"/>
              <w:left w:type="dxa" w:w="120"/>
              <w:bottom w:type="dxa" w:w="90"/>
              <w:right w:type="dxa" w:w="120"/>
            </w:tcMar>
            <w:vAlign w:val="center"/>
          </w:tcPr>
          <w:p>
            <w:r>
              <w:rPr>
                <w:color w:val="222222"/>
                <w:sz w:val="19"/>
                <w:szCs w:val="19"/>
              </w:rPr>
              <w:t xml:space="preserve">Average transaction value</w:t>
            </w:r>
          </w:p>
        </w:tc>
      </w:tr>
      <w:tr>
        <w:tc>
          <w:tcPr>
            <w:tcW w:type="dxa" w:w="3200"/>
            <w:shd w:fill="EAF4EE" w:val="clear"/>
            <w:tcMar>
              <w:top w:type="dxa" w:w="90"/>
              <w:left w:type="dxa" w:w="120"/>
              <w:bottom w:type="dxa" w:w="90"/>
              <w:right w:type="dxa" w:w="120"/>
            </w:tcMar>
            <w:vAlign w:val="center"/>
          </w:tcPr>
          <w:p>
            <w:r>
              <w:rPr>
                <w:color w:val="222222"/>
                <w:sz w:val="19"/>
                <w:szCs w:val="19"/>
              </w:rPr>
              <w:t xml:space="preserve">Sales by Category</w:t>
            </w:r>
          </w:p>
        </w:tc>
        <w:tc>
          <w:tcPr>
            <w:tcW w:type="dxa" w:w="6150"/>
            <w:shd w:fill="EAF4EE" w:val="clear"/>
            <w:tcMar>
              <w:top w:type="dxa" w:w="90"/>
              <w:left w:type="dxa" w:w="120"/>
              <w:bottom w:type="dxa" w:w="90"/>
              <w:right w:type="dxa" w:w="120"/>
            </w:tcMar>
            <w:vAlign w:val="center"/>
          </w:tcPr>
          <w:p>
            <w:r>
              <w:rPr>
                <w:color w:val="222222"/>
                <w:sz w:val="19"/>
                <w:szCs w:val="19"/>
              </w:rPr>
              <w:t xml:space="preserve">Category performance</w:t>
            </w:r>
          </w:p>
        </w:tc>
      </w:tr>
      <w:tr>
        <w:tc>
          <w:tcPr>
            <w:tcW w:type="dxa" w:w="3200"/>
            <w:shd w:fill="FFFFFF" w:val="clear"/>
            <w:tcMar>
              <w:top w:type="dxa" w:w="90"/>
              <w:left w:type="dxa" w:w="120"/>
              <w:bottom w:type="dxa" w:w="90"/>
              <w:right w:type="dxa" w:w="120"/>
            </w:tcMar>
            <w:vAlign w:val="center"/>
          </w:tcPr>
          <w:p>
            <w:r>
              <w:rPr>
                <w:color w:val="222222"/>
                <w:sz w:val="19"/>
                <w:szCs w:val="19"/>
              </w:rPr>
              <w:t xml:space="preserve">Repeat Customer Rate</w:t>
            </w:r>
          </w:p>
        </w:tc>
        <w:tc>
          <w:tcPr>
            <w:tcW w:type="dxa" w:w="6150"/>
            <w:shd w:fill="FFFFFF" w:val="clear"/>
            <w:tcMar>
              <w:top w:type="dxa" w:w="90"/>
              <w:left w:type="dxa" w:w="120"/>
              <w:bottom w:type="dxa" w:w="90"/>
              <w:right w:type="dxa" w:w="120"/>
            </w:tcMar>
            <w:vAlign w:val="center"/>
          </w:tcPr>
          <w:p>
            <w:r>
              <w:rPr>
                <w:color w:val="222222"/>
                <w:sz w:val="19"/>
                <w:szCs w:val="19"/>
              </w:rPr>
              <w:t xml:space="preserve">Customer retention</w:t>
            </w:r>
          </w:p>
        </w:tc>
      </w:tr>
      <w:tr>
        <w:tc>
          <w:tcPr>
            <w:tcW w:type="dxa" w:w="3200"/>
            <w:shd w:fill="EAF4EE" w:val="clear"/>
            <w:tcMar>
              <w:top w:type="dxa" w:w="90"/>
              <w:left w:type="dxa" w:w="120"/>
              <w:bottom w:type="dxa" w:w="90"/>
              <w:right w:type="dxa" w:w="120"/>
            </w:tcMar>
            <w:vAlign w:val="center"/>
          </w:tcPr>
          <w:p>
            <w:r>
              <w:rPr>
                <w:color w:val="222222"/>
                <w:sz w:val="19"/>
                <w:szCs w:val="19"/>
              </w:rPr>
              <w:t xml:space="preserve">Average Review Score</w:t>
            </w:r>
          </w:p>
        </w:tc>
        <w:tc>
          <w:tcPr>
            <w:tcW w:type="dxa" w:w="6150"/>
            <w:shd w:fill="EAF4EE" w:val="clear"/>
            <w:tcMar>
              <w:top w:type="dxa" w:w="90"/>
              <w:left w:type="dxa" w:w="120"/>
              <w:bottom w:type="dxa" w:w="90"/>
              <w:right w:type="dxa" w:w="120"/>
            </w:tcMar>
            <w:vAlign w:val="center"/>
          </w:tcPr>
          <w:p>
            <w:r>
              <w:rPr>
                <w:color w:val="222222"/>
                <w:sz w:val="19"/>
                <w:szCs w:val="19"/>
              </w:rPr>
              <w:t xml:space="preserve">Customer satisfaction</w:t>
            </w:r>
          </w:p>
        </w:tc>
      </w:tr>
      <w:tr>
        <w:tc>
          <w:tcPr>
            <w:tcW w:type="dxa" w:w="3200"/>
            <w:shd w:fill="FFFFFF" w:val="clear"/>
            <w:tcMar>
              <w:top w:type="dxa" w:w="90"/>
              <w:left w:type="dxa" w:w="120"/>
              <w:bottom w:type="dxa" w:w="90"/>
              <w:right w:type="dxa" w:w="120"/>
            </w:tcMar>
            <w:vAlign w:val="center"/>
          </w:tcPr>
          <w:p>
            <w:r>
              <w:rPr>
                <w:color w:val="222222"/>
                <w:sz w:val="19"/>
                <w:szCs w:val="19"/>
              </w:rPr>
              <w:t xml:space="preserve">On-Time / Late Delivery Rate</w:t>
            </w:r>
          </w:p>
        </w:tc>
        <w:tc>
          <w:tcPr>
            <w:tcW w:type="dxa" w:w="6150"/>
            <w:shd w:fill="FFFFFF" w:val="clear"/>
            <w:tcMar>
              <w:top w:type="dxa" w:w="90"/>
              <w:left w:type="dxa" w:w="120"/>
              <w:bottom w:type="dxa" w:w="90"/>
              <w:right w:type="dxa" w:w="120"/>
            </w:tcMar>
            <w:vAlign w:val="center"/>
          </w:tcPr>
          <w:p>
            <w:r>
              <w:rPr>
                <w:color w:val="222222"/>
                <w:sz w:val="19"/>
                <w:szCs w:val="19"/>
              </w:rPr>
              <w:t xml:space="preserve">Delivery performance / logistics problems</w:t>
            </w:r>
          </w:p>
        </w:tc>
      </w:tr>
      <w:tr>
        <w:tc>
          <w:tcPr>
            <w:tcW w:type="dxa" w:w="3200"/>
            <w:shd w:fill="EAF4EE" w:val="clear"/>
            <w:tcMar>
              <w:top w:type="dxa" w:w="90"/>
              <w:left w:type="dxa" w:w="120"/>
              <w:bottom w:type="dxa" w:w="90"/>
              <w:right w:type="dxa" w:w="120"/>
            </w:tcMar>
            <w:vAlign w:val="center"/>
          </w:tcPr>
          <w:p>
            <w:r>
              <w:rPr>
                <w:color w:val="222222"/>
                <w:sz w:val="19"/>
                <w:szCs w:val="19"/>
              </w:rPr>
              <w:t xml:space="preserve">Average Delivery Days</w:t>
            </w:r>
          </w:p>
        </w:tc>
        <w:tc>
          <w:tcPr>
            <w:tcW w:type="dxa" w:w="6150"/>
            <w:shd w:fill="EAF4EE" w:val="clear"/>
            <w:tcMar>
              <w:top w:type="dxa" w:w="90"/>
              <w:left w:type="dxa" w:w="120"/>
              <w:bottom w:type="dxa" w:w="90"/>
              <w:right w:type="dxa" w:w="120"/>
            </w:tcMar>
            <w:vAlign w:val="center"/>
          </w:tcPr>
          <w:p>
            <w:r>
              <w:rPr>
                <w:color w:val="222222"/>
                <w:sz w:val="19"/>
                <w:szCs w:val="19"/>
              </w:rPr>
              <w:t xml:space="preserve">Delivery speed</w:t>
            </w:r>
          </w:p>
        </w:tc>
      </w:tr>
      <w:tr>
        <w:tc>
          <w:tcPr>
            <w:tcW w:type="dxa" w:w="3200"/>
            <w:shd w:fill="FFFFFF" w:val="clear"/>
            <w:tcMar>
              <w:top w:type="dxa" w:w="90"/>
              <w:left w:type="dxa" w:w="120"/>
              <w:bottom w:type="dxa" w:w="90"/>
              <w:right w:type="dxa" w:w="120"/>
            </w:tcMar>
            <w:vAlign w:val="center"/>
          </w:tcPr>
          <w:p>
            <w:r>
              <w:rPr>
                <w:color w:val="222222"/>
                <w:sz w:val="19"/>
                <w:szCs w:val="19"/>
              </w:rPr>
              <w:t xml:space="preserve">Freight Cost</w:t>
            </w:r>
          </w:p>
        </w:tc>
        <w:tc>
          <w:tcPr>
            <w:tcW w:type="dxa" w:w="6150"/>
            <w:shd w:fill="FFFFFF" w:val="clear"/>
            <w:tcMar>
              <w:top w:type="dxa" w:w="90"/>
              <w:left w:type="dxa" w:w="120"/>
              <w:bottom w:type="dxa" w:w="90"/>
              <w:right w:type="dxa" w:w="120"/>
            </w:tcMar>
            <w:vAlign w:val="center"/>
          </w:tcPr>
          <w:p>
            <w:r>
              <w:rPr>
                <w:color w:val="222222"/>
                <w:sz w:val="19"/>
                <w:szCs w:val="19"/>
              </w:rPr>
              <w:t xml:space="preserve">Shipping cost burden</w:t>
            </w:r>
          </w:p>
        </w:tc>
      </w:tr>
      <w:tr>
        <w:tc>
          <w:tcPr>
            <w:tcW w:type="dxa" w:w="3200"/>
            <w:shd w:fill="EAF4EE" w:val="clear"/>
            <w:tcMar>
              <w:top w:type="dxa" w:w="90"/>
              <w:left w:type="dxa" w:w="120"/>
              <w:bottom w:type="dxa" w:w="90"/>
              <w:right w:type="dxa" w:w="120"/>
            </w:tcMar>
            <w:vAlign w:val="center"/>
          </w:tcPr>
          <w:p>
            <w:r>
              <w:rPr>
                <w:color w:val="222222"/>
                <w:sz w:val="19"/>
                <w:szCs w:val="19"/>
              </w:rPr>
              <w:t xml:space="preserve">Sales by Region</w:t>
            </w:r>
          </w:p>
        </w:tc>
        <w:tc>
          <w:tcPr>
            <w:tcW w:type="dxa" w:w="6150"/>
            <w:shd w:fill="EAF4EE" w:val="clear"/>
            <w:tcMar>
              <w:top w:type="dxa" w:w="90"/>
              <w:left w:type="dxa" w:w="120"/>
              <w:bottom w:type="dxa" w:w="90"/>
              <w:right w:type="dxa" w:w="120"/>
            </w:tcMar>
            <w:vAlign w:val="center"/>
          </w:tcPr>
          <w:p>
            <w:r>
              <w:rPr>
                <w:color w:val="222222"/>
                <w:sz w:val="19"/>
                <w:szCs w:val="19"/>
              </w:rPr>
              <w:t xml:space="preserve">Geographic performance</w:t>
            </w:r>
          </w:p>
        </w:tc>
      </w:tr>
      <w:tr>
        <w:tc>
          <w:tcPr>
            <w:tcW w:type="dxa" w:w="3200"/>
            <w:shd w:fill="FFFFFF" w:val="clear"/>
            <w:tcMar>
              <w:top w:type="dxa" w:w="90"/>
              <w:left w:type="dxa" w:w="120"/>
              <w:bottom w:type="dxa" w:w="90"/>
              <w:right w:type="dxa" w:w="120"/>
            </w:tcMar>
            <w:vAlign w:val="center"/>
          </w:tcPr>
          <w:p>
            <w:r>
              <w:rPr>
                <w:color w:val="222222"/>
                <w:sz w:val="19"/>
                <w:szCs w:val="19"/>
              </w:rPr>
              <w:t xml:space="preserve">Seller Sales / Orders</w:t>
            </w:r>
          </w:p>
        </w:tc>
        <w:tc>
          <w:tcPr>
            <w:tcW w:type="dxa" w:w="6150"/>
            <w:shd w:fill="FFFFFF" w:val="clear"/>
            <w:tcMar>
              <w:top w:type="dxa" w:w="90"/>
              <w:left w:type="dxa" w:w="120"/>
              <w:bottom w:type="dxa" w:w="90"/>
              <w:right w:type="dxa" w:w="120"/>
            </w:tcMar>
            <w:vAlign w:val="center"/>
          </w:tcPr>
          <w:p>
            <w:r>
              <w:rPr>
                <w:color w:val="222222"/>
                <w:sz w:val="19"/>
                <w:szCs w:val="19"/>
              </w:rPr>
              <w:t xml:space="preserve">Seller performance</w:t>
            </w:r>
          </w:p>
        </w:tc>
      </w:tr>
    </w:tbl>
    <w:p>
      <w:pPr>
        <w:pStyle w:val="Heading2"/>
        <w:spacing w:after="150" w:before="300"/>
      </w:pPr>
      <w:r>
        <w:rPr>
          <w:b/>
          <w:bCs/>
          <w:color w:val="2E7D4F"/>
          <w:sz w:val="26"/>
          <w:szCs w:val="26"/>
        </w:rPr>
        <w:t xml:space="preserve">2.6 Scope &amp; Limitations</w:t>
      </w:r>
    </w:p>
    <w:p>
      <w:pPr>
        <w:pStyle w:val="ListParagraph"/>
        <w:numPr>
          <w:ilvl w:val="0"/>
          <w:numId w:val="1"/>
        </w:numPr>
        <w:spacing w:after="100"/>
      </w:pPr>
      <w:r>
        <w:rPr>
          <w:color w:val="222222"/>
          <w:sz w:val="21"/>
          <w:szCs w:val="21"/>
        </w:rPr>
        <w:t xml:space="preserve">Analysis is based on the available historical public Olist dataset.</w:t>
      </w:r>
    </w:p>
    <w:p>
      <w:pPr>
        <w:pStyle w:val="ListParagraph"/>
        <w:numPr>
          <w:ilvl w:val="0"/>
          <w:numId w:val="1"/>
        </w:numPr>
        <w:spacing w:after="100"/>
      </w:pPr>
      <w:r>
        <w:rPr>
          <w:color w:val="222222"/>
          <w:sz w:val="21"/>
          <w:szCs w:val="21"/>
        </w:rPr>
        <w:t xml:space="preserve">Findings represent patterns in the dataset and should not be interpreted as confirmed causal relationships.</w:t>
      </w:r>
    </w:p>
    <w:p>
      <w:pPr>
        <w:pStyle w:val="ListParagraph"/>
        <w:numPr>
          <w:ilvl w:val="0"/>
          <w:numId w:val="1"/>
        </w:numPr>
        <w:spacing w:after="100"/>
      </w:pPr>
      <w:r>
        <w:rPr>
          <w:color w:val="222222"/>
          <w:sz w:val="21"/>
          <w:szCs w:val="21"/>
        </w:rPr>
        <w:t xml:space="preserve">True company profit is not calculated because a complete cost structure is not available.</w:t>
      </w:r>
    </w:p>
    <w:p>
      <w:pPr>
        <w:pStyle w:val="ListParagraph"/>
        <w:numPr>
          <w:ilvl w:val="0"/>
          <w:numId w:val="1"/>
        </w:numPr>
        <w:spacing w:after="100"/>
      </w:pPr>
      <w:r>
        <w:rPr>
          <w:color w:val="222222"/>
          <w:sz w:val="21"/>
          <w:szCs w:val="21"/>
        </w:rPr>
        <w:t xml:space="preserve">Data-quality issues identified during validation were investigated and addressed before analysis.</w:t>
      </w:r>
    </w:p>
    <w:p>
      <w:pPr>
        <w:pStyle w:val="Heading2"/>
        <w:spacing w:after="150" w:before="300"/>
      </w:pPr>
      <w:r>
        <w:rPr>
          <w:b/>
          <w:bCs/>
          <w:color w:val="2E7D4F"/>
          <w:sz w:val="26"/>
          <w:szCs w:val="26"/>
        </w:rPr>
        <w:t xml:space="preserve">2.7 Analytical Approach</w:t>
      </w:r>
    </w:p>
    <w:p>
      <w:pPr>
        <w:pStyle w:val="ListParagraph"/>
        <w:numPr>
          <w:ilvl w:val="0"/>
          <w:numId w:val="1"/>
        </w:numPr>
        <w:spacing w:after="100"/>
      </w:pPr>
      <w:r>
        <w:rPr>
          <w:color w:val="222222"/>
          <w:sz w:val="21"/>
          <w:szCs w:val="21"/>
        </w:rPr>
        <w:t xml:space="preserve">KPI and trend analysis</w:t>
      </w:r>
    </w:p>
    <w:p>
      <w:pPr>
        <w:pStyle w:val="ListParagraph"/>
        <w:numPr>
          <w:ilvl w:val="0"/>
          <w:numId w:val="1"/>
        </w:numPr>
        <w:spacing w:after="100"/>
      </w:pPr>
      <w:r>
        <w:rPr>
          <w:color w:val="222222"/>
          <w:sz w:val="21"/>
          <w:szCs w:val="21"/>
        </w:rPr>
        <w:t xml:space="preserve">Customer segmentation and RFM-style analysis</w:t>
      </w:r>
    </w:p>
    <w:p>
      <w:pPr>
        <w:pStyle w:val="ListParagraph"/>
        <w:numPr>
          <w:ilvl w:val="0"/>
          <w:numId w:val="1"/>
        </w:numPr>
        <w:spacing w:after="100"/>
      </w:pPr>
      <w:r>
        <w:rPr>
          <w:color w:val="222222"/>
          <w:sz w:val="21"/>
          <w:szCs w:val="21"/>
        </w:rPr>
        <w:t xml:space="preserve">Product/category and seller benchmarking</w:t>
      </w:r>
    </w:p>
    <w:p>
      <w:pPr>
        <w:pStyle w:val="ListParagraph"/>
        <w:numPr>
          <w:ilvl w:val="0"/>
          <w:numId w:val="1"/>
        </w:numPr>
        <w:spacing w:after="100"/>
      </w:pPr>
      <w:r>
        <w:rPr>
          <w:color w:val="222222"/>
          <w:sz w:val="21"/>
          <w:szCs w:val="21"/>
        </w:rPr>
        <w:t xml:space="preserve">Delivery and geographic analysis</w:t>
      </w:r>
    </w:p>
    <w:p>
      <w:pPr>
        <w:pStyle w:val="ListParagraph"/>
        <w:numPr>
          <w:ilvl w:val="0"/>
          <w:numId w:val="1"/>
        </w:numPr>
        <w:spacing w:after="100"/>
      </w:pPr>
      <w:r>
        <w:rPr>
          <w:color w:val="222222"/>
          <w:sz w:val="21"/>
          <w:szCs w:val="21"/>
        </w:rPr>
        <w:t xml:space="preserve">Pareto (80/20) analysis</w:t>
      </w:r>
    </w:p>
    <w:p>
      <w:pPr>
        <w:pStyle w:val="ListParagraph"/>
        <w:numPr>
          <w:ilvl w:val="0"/>
          <w:numId w:val="1"/>
        </w:numPr>
        <w:spacing w:after="100"/>
      </w:pPr>
      <w:r>
        <w:rPr>
          <w:color w:val="222222"/>
          <w:sz w:val="21"/>
          <w:szCs w:val="21"/>
        </w:rPr>
        <w:t xml:space="preserve">Correlation analysis and hypothesis testing where appropriate</w:t>
      </w:r>
    </w:p>
    <w:p>
      <w:pPr>
        <w:pStyle w:val="ListParagraph"/>
        <w:numPr>
          <w:ilvl w:val="0"/>
          <w:numId w:val="1"/>
        </w:numPr>
        <w:spacing w:after="100"/>
      </w:pPr>
      <w:r>
        <w:rPr>
          <w:color w:val="222222"/>
          <w:sz w:val="21"/>
          <w:szCs w:val="21"/>
        </w:rPr>
        <w:t xml:space="preserve">Root-cause analysis</w:t>
      </w:r>
    </w:p>
    <w:p>
      <w:r>
        <w:br w:type="page"/>
      </w:r>
    </w:p>
    <w:p>
      <w:pPr>
        <w:pStyle w:val="Heading1"/>
        <w:pBdr>
          <w:bottom w:val="single" w:color="2E7D4F" w:sz="8" w:space="4"/>
        </w:pBdr>
        <w:spacing w:after="200" w:before="400"/>
      </w:pPr>
      <w:r>
        <w:rPr>
          <w:b/>
          <w:bCs/>
          <w:color w:val="1F3D2E"/>
          <w:sz w:val="32"/>
          <w:szCs w:val="32"/>
        </w:rPr>
        <w:t xml:space="preserve">3. Data Overview &amp; Entity Relationship Model</w:t>
      </w:r>
    </w:p>
    <w:p>
      <w:pPr>
        <w:spacing w:after="160" w:line="300"/>
      </w:pPr>
      <w:r>
        <w:rPr>
          <w:color w:val="222222"/>
          <w:sz w:val="21"/>
          <w:szCs w:val="21"/>
        </w:rPr>
        <w:t xml:space="preserve">The Olist dataset is fully relational, spread across nine CSV files linked by order, customer, product, and seller identifiers. The core grain is the individual order, with order items, payments, and reviews attaching at finer granularity.</w:t>
      </w:r>
    </w:p>
    <w:p>
      <w:pPr>
        <w:pStyle w:val="Heading2"/>
        <w:spacing w:after="150" w:before="300"/>
      </w:pPr>
      <w:r>
        <w:rPr>
          <w:b/>
          <w:bCs/>
          <w:color w:val="2E7D4F"/>
          <w:sz w:val="26"/>
          <w:szCs w:val="26"/>
        </w:rPr>
        <w:t xml:space="preserve">3.1 File Inventory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600"/>
        <w:gridCol w:w="1400"/>
        <w:gridCol w:w="2450"/>
      </w:tblGrid>
      <w:tr>
        <w:trPr>
          <w:tblHeader/>
        </w:trPr>
        <w:tc>
          <w:tcPr>
            <w:tcW w:type="dxa" w:w="500"/>
            <w:shd w:fill="2E5B41" w:val="clear"/>
            <w:tcMar>
              <w:top w:type="dxa" w:w="100"/>
              <w:left w:type="dxa" w:w="120"/>
              <w:bottom w:type="dxa" w:w="100"/>
              <w:right w:type="dxa" w:w="120"/>
            </w:tcMar>
            <w:vAlign w:val="center"/>
          </w:tcPr>
          <w:p>
            <w:r>
              <w:rPr>
                <w:b/>
                <w:bCs/>
                <w:color w:val="FFFFFF"/>
                <w:sz w:val="19"/>
                <w:szCs w:val="19"/>
              </w:rPr>
              <w:t xml:space="preserve">#</w:t>
            </w:r>
          </w:p>
        </w:tc>
        <w:tc>
          <w:tcPr>
            <w:tcW w:type="dxa" w:w="3400"/>
            <w:shd w:fill="2E5B41" w:val="clear"/>
            <w:tcMar>
              <w:top w:type="dxa" w:w="100"/>
              <w:left w:type="dxa" w:w="120"/>
              <w:bottom w:type="dxa" w:w="100"/>
              <w:right w:type="dxa" w:w="120"/>
            </w:tcMar>
            <w:vAlign w:val="center"/>
          </w:tcPr>
          <w:p>
            <w:r>
              <w:rPr>
                <w:b/>
                <w:bCs/>
                <w:color w:val="FFFFFF"/>
                <w:sz w:val="19"/>
                <w:szCs w:val="19"/>
              </w:rPr>
              <w:t xml:space="preserve">File</w:t>
            </w:r>
          </w:p>
        </w:tc>
        <w:tc>
          <w:tcPr>
            <w:tcW w:type="dxa" w:w="1600"/>
            <w:shd w:fill="2E5B41" w:val="clear"/>
            <w:tcMar>
              <w:top w:type="dxa" w:w="100"/>
              <w:left w:type="dxa" w:w="120"/>
              <w:bottom w:type="dxa" w:w="100"/>
              <w:right w:type="dxa" w:w="120"/>
            </w:tcMar>
            <w:vAlign w:val="center"/>
          </w:tcPr>
          <w:p>
            <w:r>
              <w:rPr>
                <w:b/>
                <w:bCs/>
                <w:color w:val="FFFFFF"/>
                <w:sz w:val="19"/>
                <w:szCs w:val="19"/>
              </w:rPr>
              <w:t xml:space="preserve">Rows</w:t>
            </w:r>
          </w:p>
        </w:tc>
        <w:tc>
          <w:tcPr>
            <w:tcW w:type="dxa" w:w="1400"/>
            <w:shd w:fill="2E5B41" w:val="clear"/>
            <w:tcMar>
              <w:top w:type="dxa" w:w="100"/>
              <w:left w:type="dxa" w:w="120"/>
              <w:bottom w:type="dxa" w:w="100"/>
              <w:right w:type="dxa" w:w="120"/>
            </w:tcMar>
            <w:vAlign w:val="center"/>
          </w:tcPr>
          <w:p>
            <w:r>
              <w:rPr>
                <w:b/>
                <w:bCs/>
                <w:color w:val="FFFFFF"/>
                <w:sz w:val="19"/>
                <w:szCs w:val="19"/>
              </w:rPr>
              <w:t xml:space="preserve">Columns</w:t>
            </w:r>
          </w:p>
        </w:tc>
        <w:tc>
          <w:tcPr>
            <w:tcW w:type="dxa" w:w="2450"/>
            <w:shd w:fill="2E5B41" w:val="clear"/>
            <w:tcMar>
              <w:top w:type="dxa" w:w="100"/>
              <w:left w:type="dxa" w:w="120"/>
              <w:bottom w:type="dxa" w:w="100"/>
              <w:right w:type="dxa" w:w="120"/>
            </w:tcMar>
            <w:vAlign w:val="center"/>
          </w:tcPr>
          <w:p>
            <w:r>
              <w:rPr>
                <w:b/>
                <w:bCs/>
                <w:color w:val="FFFFFF"/>
                <w:sz w:val="19"/>
                <w:szCs w:val="19"/>
              </w:rPr>
              <w:t xml:space="preserve">Grain</w:t>
            </w:r>
          </w:p>
        </w:tc>
      </w:tr>
      <w:tr>
        <w:tc>
          <w:tcPr>
            <w:tcW w:type="dxa" w:w="500"/>
            <w:shd w:fill="FFFFFF" w:val="clear"/>
            <w:tcMar>
              <w:top w:type="dxa" w:w="90"/>
              <w:left w:type="dxa" w:w="120"/>
              <w:bottom w:type="dxa" w:w="90"/>
              <w:right w:type="dxa" w:w="120"/>
            </w:tcMar>
            <w:vAlign w:val="center"/>
          </w:tcPr>
          <w:p>
            <w:r>
              <w:rPr>
                <w:color w:val="222222"/>
                <w:sz w:val="19"/>
                <w:szCs w:val="19"/>
              </w:rPr>
              <w:t xml:space="preserve">1</w:t>
            </w:r>
          </w:p>
        </w:tc>
        <w:tc>
          <w:tcPr>
            <w:tcW w:type="dxa" w:w="3400"/>
            <w:shd w:fill="FFFFFF" w:val="clear"/>
            <w:tcMar>
              <w:top w:type="dxa" w:w="90"/>
              <w:left w:type="dxa" w:w="120"/>
              <w:bottom w:type="dxa" w:w="90"/>
              <w:right w:type="dxa" w:w="120"/>
            </w:tcMar>
            <w:vAlign w:val="center"/>
          </w:tcPr>
          <w:p>
            <w:r>
              <w:rPr>
                <w:color w:val="222222"/>
                <w:sz w:val="19"/>
                <w:szCs w:val="19"/>
              </w:rPr>
              <w:t xml:space="preserve">olist_customers_dataset.csv</w:t>
            </w:r>
          </w:p>
        </w:tc>
        <w:tc>
          <w:tcPr>
            <w:tcW w:type="dxa" w:w="1600"/>
            <w:shd w:fill="FFFFFF" w:val="clear"/>
            <w:tcMar>
              <w:top w:type="dxa" w:w="90"/>
              <w:left w:type="dxa" w:w="120"/>
              <w:bottom w:type="dxa" w:w="90"/>
              <w:right w:type="dxa" w:w="120"/>
            </w:tcMar>
            <w:vAlign w:val="center"/>
          </w:tcPr>
          <w:p>
            <w:r>
              <w:rPr>
                <w:color w:val="222222"/>
                <w:sz w:val="19"/>
                <w:szCs w:val="19"/>
              </w:rPr>
              <w:t xml:space="preserve">99,441</w:t>
            </w:r>
          </w:p>
        </w:tc>
        <w:tc>
          <w:tcPr>
            <w:tcW w:type="dxa" w:w="1400"/>
            <w:shd w:fill="FFFFFF" w:val="clear"/>
            <w:tcMar>
              <w:top w:type="dxa" w:w="90"/>
              <w:left w:type="dxa" w:w="120"/>
              <w:bottom w:type="dxa" w:w="90"/>
              <w:right w:type="dxa" w:w="120"/>
            </w:tcMar>
            <w:vAlign w:val="center"/>
          </w:tcPr>
          <w:p>
            <w:r>
              <w:rPr>
                <w:color w:val="222222"/>
                <w:sz w:val="19"/>
                <w:szCs w:val="19"/>
              </w:rPr>
              <w:t xml:space="preserve">5</w:t>
            </w:r>
          </w:p>
        </w:tc>
        <w:tc>
          <w:tcPr>
            <w:tcW w:type="dxa" w:w="2450"/>
            <w:shd w:fill="FFFFFF" w:val="clear"/>
            <w:tcMar>
              <w:top w:type="dxa" w:w="90"/>
              <w:left w:type="dxa" w:w="120"/>
              <w:bottom w:type="dxa" w:w="90"/>
              <w:right w:type="dxa" w:w="120"/>
            </w:tcMar>
            <w:vAlign w:val="center"/>
          </w:tcPr>
          <w:p>
            <w:r>
              <w:rPr>
                <w:color w:val="222222"/>
                <w:sz w:val="19"/>
                <w:szCs w:val="19"/>
              </w:rPr>
              <w:t xml:space="preserve">1 row / customer-order</w:t>
            </w:r>
          </w:p>
        </w:tc>
      </w:tr>
      <w:tr>
        <w:tc>
          <w:tcPr>
            <w:tcW w:type="dxa" w:w="500"/>
            <w:shd w:fill="EAF4EE" w:val="clear"/>
            <w:tcMar>
              <w:top w:type="dxa" w:w="90"/>
              <w:left w:type="dxa" w:w="120"/>
              <w:bottom w:type="dxa" w:w="90"/>
              <w:right w:type="dxa" w:w="120"/>
            </w:tcMar>
            <w:vAlign w:val="center"/>
          </w:tcPr>
          <w:p>
            <w:r>
              <w:rPr>
                <w:color w:val="222222"/>
                <w:sz w:val="19"/>
                <w:szCs w:val="19"/>
              </w:rPr>
              <w:t xml:space="preserve">2</w:t>
            </w:r>
          </w:p>
        </w:tc>
        <w:tc>
          <w:tcPr>
            <w:tcW w:type="dxa" w:w="3400"/>
            <w:shd w:fill="EAF4EE" w:val="clear"/>
            <w:tcMar>
              <w:top w:type="dxa" w:w="90"/>
              <w:left w:type="dxa" w:w="120"/>
              <w:bottom w:type="dxa" w:w="90"/>
              <w:right w:type="dxa" w:w="120"/>
            </w:tcMar>
            <w:vAlign w:val="center"/>
          </w:tcPr>
          <w:p>
            <w:r>
              <w:rPr>
                <w:color w:val="222222"/>
                <w:sz w:val="19"/>
                <w:szCs w:val="19"/>
              </w:rPr>
              <w:t xml:space="preserve">olist_geolocation_dataset.csv</w:t>
            </w:r>
          </w:p>
        </w:tc>
        <w:tc>
          <w:tcPr>
            <w:tcW w:type="dxa" w:w="1600"/>
            <w:shd w:fill="EAF4EE" w:val="clear"/>
            <w:tcMar>
              <w:top w:type="dxa" w:w="90"/>
              <w:left w:type="dxa" w:w="120"/>
              <w:bottom w:type="dxa" w:w="90"/>
              <w:right w:type="dxa" w:w="120"/>
            </w:tcMar>
            <w:vAlign w:val="center"/>
          </w:tcPr>
          <w:p>
            <w:r>
              <w:rPr>
                <w:color w:val="222222"/>
                <w:sz w:val="19"/>
                <w:szCs w:val="19"/>
              </w:rPr>
              <w:t xml:space="preserve">1,000,163</w:t>
            </w:r>
          </w:p>
        </w:tc>
        <w:tc>
          <w:tcPr>
            <w:tcW w:type="dxa" w:w="1400"/>
            <w:shd w:fill="EAF4EE" w:val="clear"/>
            <w:tcMar>
              <w:top w:type="dxa" w:w="90"/>
              <w:left w:type="dxa" w:w="120"/>
              <w:bottom w:type="dxa" w:w="90"/>
              <w:right w:type="dxa" w:w="120"/>
            </w:tcMar>
            <w:vAlign w:val="center"/>
          </w:tcPr>
          <w:p>
            <w:r>
              <w:rPr>
                <w:color w:val="222222"/>
                <w:sz w:val="19"/>
                <w:szCs w:val="19"/>
              </w:rPr>
              <w:t xml:space="preserve">5</w:t>
            </w:r>
          </w:p>
        </w:tc>
        <w:tc>
          <w:tcPr>
            <w:tcW w:type="dxa" w:w="2450"/>
            <w:shd w:fill="EAF4EE" w:val="clear"/>
            <w:tcMar>
              <w:top w:type="dxa" w:w="90"/>
              <w:left w:type="dxa" w:w="120"/>
              <w:bottom w:type="dxa" w:w="90"/>
              <w:right w:type="dxa" w:w="120"/>
            </w:tcMar>
            <w:vAlign w:val="center"/>
          </w:tcPr>
          <w:p>
            <w:r>
              <w:rPr>
                <w:color w:val="222222"/>
                <w:sz w:val="19"/>
                <w:szCs w:val="19"/>
              </w:rPr>
              <w:t xml:space="preserve">Multiple rows / zip prefix</w:t>
            </w:r>
          </w:p>
        </w:tc>
      </w:tr>
      <w:tr>
        <w:tc>
          <w:tcPr>
            <w:tcW w:type="dxa" w:w="500"/>
            <w:shd w:fill="FFFFFF" w:val="clear"/>
            <w:tcMar>
              <w:top w:type="dxa" w:w="90"/>
              <w:left w:type="dxa" w:w="120"/>
              <w:bottom w:type="dxa" w:w="90"/>
              <w:right w:type="dxa" w:w="120"/>
            </w:tcMar>
            <w:vAlign w:val="center"/>
          </w:tcPr>
          <w:p>
            <w:r>
              <w:rPr>
                <w:color w:val="222222"/>
                <w:sz w:val="19"/>
                <w:szCs w:val="19"/>
              </w:rPr>
              <w:t xml:space="preserve">3</w:t>
            </w:r>
          </w:p>
        </w:tc>
        <w:tc>
          <w:tcPr>
            <w:tcW w:type="dxa" w:w="3400"/>
            <w:shd w:fill="FFFFFF" w:val="clear"/>
            <w:tcMar>
              <w:top w:type="dxa" w:w="90"/>
              <w:left w:type="dxa" w:w="120"/>
              <w:bottom w:type="dxa" w:w="90"/>
              <w:right w:type="dxa" w:w="120"/>
            </w:tcMar>
            <w:vAlign w:val="center"/>
          </w:tcPr>
          <w:p>
            <w:r>
              <w:rPr>
                <w:color w:val="222222"/>
                <w:sz w:val="19"/>
                <w:szCs w:val="19"/>
              </w:rPr>
              <w:t xml:space="preserve">olist_order_items_dataset.csv</w:t>
            </w:r>
          </w:p>
        </w:tc>
        <w:tc>
          <w:tcPr>
            <w:tcW w:type="dxa" w:w="1600"/>
            <w:shd w:fill="FFFFFF" w:val="clear"/>
            <w:tcMar>
              <w:top w:type="dxa" w:w="90"/>
              <w:left w:type="dxa" w:w="120"/>
              <w:bottom w:type="dxa" w:w="90"/>
              <w:right w:type="dxa" w:w="120"/>
            </w:tcMar>
            <w:vAlign w:val="center"/>
          </w:tcPr>
          <w:p>
            <w:r>
              <w:rPr>
                <w:color w:val="222222"/>
                <w:sz w:val="19"/>
                <w:szCs w:val="19"/>
              </w:rPr>
              <w:t xml:space="preserve">112,650</w:t>
            </w:r>
          </w:p>
        </w:tc>
        <w:tc>
          <w:tcPr>
            <w:tcW w:type="dxa" w:w="1400"/>
            <w:shd w:fill="FFFFFF" w:val="clear"/>
            <w:tcMar>
              <w:top w:type="dxa" w:w="90"/>
              <w:left w:type="dxa" w:w="120"/>
              <w:bottom w:type="dxa" w:w="90"/>
              <w:right w:type="dxa" w:w="120"/>
            </w:tcMar>
            <w:vAlign w:val="center"/>
          </w:tcPr>
          <w:p>
            <w:r>
              <w:rPr>
                <w:color w:val="222222"/>
                <w:sz w:val="19"/>
                <w:szCs w:val="19"/>
              </w:rPr>
              <w:t xml:space="preserve">7</w:t>
            </w:r>
          </w:p>
        </w:tc>
        <w:tc>
          <w:tcPr>
            <w:tcW w:type="dxa" w:w="2450"/>
            <w:shd w:fill="FFFFFF" w:val="clear"/>
            <w:tcMar>
              <w:top w:type="dxa" w:w="90"/>
              <w:left w:type="dxa" w:w="120"/>
              <w:bottom w:type="dxa" w:w="90"/>
              <w:right w:type="dxa" w:w="120"/>
            </w:tcMar>
            <w:vAlign w:val="center"/>
          </w:tcPr>
          <w:p>
            <w:r>
              <w:rPr>
                <w:color w:val="222222"/>
                <w:sz w:val="19"/>
                <w:szCs w:val="19"/>
              </w:rPr>
              <w:t xml:space="preserve">1 row / order item</w:t>
            </w:r>
          </w:p>
        </w:tc>
      </w:tr>
      <w:tr>
        <w:tc>
          <w:tcPr>
            <w:tcW w:type="dxa" w:w="500"/>
            <w:shd w:fill="EAF4EE" w:val="clear"/>
            <w:tcMar>
              <w:top w:type="dxa" w:w="90"/>
              <w:left w:type="dxa" w:w="120"/>
              <w:bottom w:type="dxa" w:w="90"/>
              <w:right w:type="dxa" w:w="120"/>
            </w:tcMar>
            <w:vAlign w:val="center"/>
          </w:tcPr>
          <w:p>
            <w:r>
              <w:rPr>
                <w:color w:val="222222"/>
                <w:sz w:val="19"/>
                <w:szCs w:val="19"/>
              </w:rPr>
              <w:t xml:space="preserve">4</w:t>
            </w:r>
          </w:p>
        </w:tc>
        <w:tc>
          <w:tcPr>
            <w:tcW w:type="dxa" w:w="3400"/>
            <w:shd w:fill="EAF4EE" w:val="clear"/>
            <w:tcMar>
              <w:top w:type="dxa" w:w="90"/>
              <w:left w:type="dxa" w:w="120"/>
              <w:bottom w:type="dxa" w:w="90"/>
              <w:right w:type="dxa" w:w="120"/>
            </w:tcMar>
            <w:vAlign w:val="center"/>
          </w:tcPr>
          <w:p>
            <w:r>
              <w:rPr>
                <w:color w:val="222222"/>
                <w:sz w:val="19"/>
                <w:szCs w:val="19"/>
              </w:rPr>
              <w:t xml:space="preserve">olist_order_payments_dataset.csv</w:t>
            </w:r>
          </w:p>
        </w:tc>
        <w:tc>
          <w:tcPr>
            <w:tcW w:type="dxa" w:w="1600"/>
            <w:shd w:fill="EAF4EE" w:val="clear"/>
            <w:tcMar>
              <w:top w:type="dxa" w:w="90"/>
              <w:left w:type="dxa" w:w="120"/>
              <w:bottom w:type="dxa" w:w="90"/>
              <w:right w:type="dxa" w:w="120"/>
            </w:tcMar>
            <w:vAlign w:val="center"/>
          </w:tcPr>
          <w:p>
            <w:r>
              <w:rPr>
                <w:color w:val="222222"/>
                <w:sz w:val="19"/>
                <w:szCs w:val="19"/>
              </w:rPr>
              <w:t xml:space="preserve">103,886</w:t>
            </w:r>
          </w:p>
        </w:tc>
        <w:tc>
          <w:tcPr>
            <w:tcW w:type="dxa" w:w="1400"/>
            <w:shd w:fill="EAF4EE" w:val="clear"/>
            <w:tcMar>
              <w:top w:type="dxa" w:w="90"/>
              <w:left w:type="dxa" w:w="120"/>
              <w:bottom w:type="dxa" w:w="90"/>
              <w:right w:type="dxa" w:w="120"/>
            </w:tcMar>
            <w:vAlign w:val="center"/>
          </w:tcPr>
          <w:p>
            <w:r>
              <w:rPr>
                <w:color w:val="222222"/>
                <w:sz w:val="19"/>
                <w:szCs w:val="19"/>
              </w:rPr>
              <w:t xml:space="preserve">5</w:t>
            </w:r>
          </w:p>
        </w:tc>
        <w:tc>
          <w:tcPr>
            <w:tcW w:type="dxa" w:w="2450"/>
            <w:shd w:fill="EAF4EE" w:val="clear"/>
            <w:tcMar>
              <w:top w:type="dxa" w:w="90"/>
              <w:left w:type="dxa" w:w="120"/>
              <w:bottom w:type="dxa" w:w="90"/>
              <w:right w:type="dxa" w:w="120"/>
            </w:tcMar>
            <w:vAlign w:val="center"/>
          </w:tcPr>
          <w:p>
            <w:r>
              <w:rPr>
                <w:color w:val="222222"/>
                <w:sz w:val="19"/>
                <w:szCs w:val="19"/>
              </w:rPr>
              <w:t xml:space="preserve">1+ rows / order</w:t>
            </w:r>
          </w:p>
        </w:tc>
      </w:tr>
      <w:tr>
        <w:tc>
          <w:tcPr>
            <w:tcW w:type="dxa" w:w="500"/>
            <w:shd w:fill="FFFFFF" w:val="clear"/>
            <w:tcMar>
              <w:top w:type="dxa" w:w="90"/>
              <w:left w:type="dxa" w:w="120"/>
              <w:bottom w:type="dxa" w:w="90"/>
              <w:right w:type="dxa" w:w="120"/>
            </w:tcMar>
            <w:vAlign w:val="center"/>
          </w:tcPr>
          <w:p>
            <w:r>
              <w:rPr>
                <w:color w:val="222222"/>
                <w:sz w:val="19"/>
                <w:szCs w:val="19"/>
              </w:rPr>
              <w:t xml:space="preserve">5</w:t>
            </w:r>
          </w:p>
        </w:tc>
        <w:tc>
          <w:tcPr>
            <w:tcW w:type="dxa" w:w="3400"/>
            <w:shd w:fill="FFFFFF" w:val="clear"/>
            <w:tcMar>
              <w:top w:type="dxa" w:w="90"/>
              <w:left w:type="dxa" w:w="120"/>
              <w:bottom w:type="dxa" w:w="90"/>
              <w:right w:type="dxa" w:w="120"/>
            </w:tcMar>
            <w:vAlign w:val="center"/>
          </w:tcPr>
          <w:p>
            <w:r>
              <w:rPr>
                <w:color w:val="222222"/>
                <w:sz w:val="19"/>
                <w:szCs w:val="19"/>
              </w:rPr>
              <w:t xml:space="preserve">olist_order_reviews_dataset.csv</w:t>
            </w:r>
          </w:p>
        </w:tc>
        <w:tc>
          <w:tcPr>
            <w:tcW w:type="dxa" w:w="1600"/>
            <w:shd w:fill="FFFFFF" w:val="clear"/>
            <w:tcMar>
              <w:top w:type="dxa" w:w="90"/>
              <w:left w:type="dxa" w:w="120"/>
              <w:bottom w:type="dxa" w:w="90"/>
              <w:right w:type="dxa" w:w="120"/>
            </w:tcMar>
            <w:vAlign w:val="center"/>
          </w:tcPr>
          <w:p>
            <w:r>
              <w:rPr>
                <w:color w:val="222222"/>
                <w:sz w:val="19"/>
                <w:szCs w:val="19"/>
              </w:rPr>
              <w:t xml:space="preserve">99,224</w:t>
            </w:r>
          </w:p>
        </w:tc>
        <w:tc>
          <w:tcPr>
            <w:tcW w:type="dxa" w:w="1400"/>
            <w:shd w:fill="FFFFFF" w:val="clear"/>
            <w:tcMar>
              <w:top w:type="dxa" w:w="90"/>
              <w:left w:type="dxa" w:w="120"/>
              <w:bottom w:type="dxa" w:w="90"/>
              <w:right w:type="dxa" w:w="120"/>
            </w:tcMar>
            <w:vAlign w:val="center"/>
          </w:tcPr>
          <w:p>
            <w:r>
              <w:rPr>
                <w:color w:val="222222"/>
                <w:sz w:val="19"/>
                <w:szCs w:val="19"/>
              </w:rPr>
              <w:t xml:space="preserve">7</w:t>
            </w:r>
          </w:p>
        </w:tc>
        <w:tc>
          <w:tcPr>
            <w:tcW w:type="dxa" w:w="2450"/>
            <w:shd w:fill="FFFFFF" w:val="clear"/>
            <w:tcMar>
              <w:top w:type="dxa" w:w="90"/>
              <w:left w:type="dxa" w:w="120"/>
              <w:bottom w:type="dxa" w:w="90"/>
              <w:right w:type="dxa" w:w="120"/>
            </w:tcMar>
            <w:vAlign w:val="center"/>
          </w:tcPr>
          <w:p>
            <w:r>
              <w:rPr>
                <w:color w:val="222222"/>
                <w:sz w:val="19"/>
                <w:szCs w:val="19"/>
              </w:rPr>
              <w:t xml:space="preserve">1 row / review</w:t>
            </w:r>
          </w:p>
        </w:tc>
      </w:tr>
      <w:tr>
        <w:tc>
          <w:tcPr>
            <w:tcW w:type="dxa" w:w="500"/>
            <w:shd w:fill="EAF4EE" w:val="clear"/>
            <w:tcMar>
              <w:top w:type="dxa" w:w="90"/>
              <w:left w:type="dxa" w:w="120"/>
              <w:bottom w:type="dxa" w:w="90"/>
              <w:right w:type="dxa" w:w="120"/>
            </w:tcMar>
            <w:vAlign w:val="center"/>
          </w:tcPr>
          <w:p>
            <w:r>
              <w:rPr>
                <w:color w:val="222222"/>
                <w:sz w:val="19"/>
                <w:szCs w:val="19"/>
              </w:rPr>
              <w:t xml:space="preserve">6</w:t>
            </w:r>
          </w:p>
        </w:tc>
        <w:tc>
          <w:tcPr>
            <w:tcW w:type="dxa" w:w="3400"/>
            <w:shd w:fill="EAF4EE" w:val="clear"/>
            <w:tcMar>
              <w:top w:type="dxa" w:w="90"/>
              <w:left w:type="dxa" w:w="120"/>
              <w:bottom w:type="dxa" w:w="90"/>
              <w:right w:type="dxa" w:w="120"/>
            </w:tcMar>
            <w:vAlign w:val="center"/>
          </w:tcPr>
          <w:p>
            <w:r>
              <w:rPr>
                <w:color w:val="222222"/>
                <w:sz w:val="19"/>
                <w:szCs w:val="19"/>
              </w:rPr>
              <w:t xml:space="preserve">olist_orders_dataset.csv</w:t>
            </w:r>
          </w:p>
        </w:tc>
        <w:tc>
          <w:tcPr>
            <w:tcW w:type="dxa" w:w="1600"/>
            <w:shd w:fill="EAF4EE" w:val="clear"/>
            <w:tcMar>
              <w:top w:type="dxa" w:w="90"/>
              <w:left w:type="dxa" w:w="120"/>
              <w:bottom w:type="dxa" w:w="90"/>
              <w:right w:type="dxa" w:w="120"/>
            </w:tcMar>
            <w:vAlign w:val="center"/>
          </w:tcPr>
          <w:p>
            <w:r>
              <w:rPr>
                <w:color w:val="222222"/>
                <w:sz w:val="19"/>
                <w:szCs w:val="19"/>
              </w:rPr>
              <w:t xml:space="preserve">99,441</w:t>
            </w:r>
          </w:p>
        </w:tc>
        <w:tc>
          <w:tcPr>
            <w:tcW w:type="dxa" w:w="1400"/>
            <w:shd w:fill="EAF4EE" w:val="clear"/>
            <w:tcMar>
              <w:top w:type="dxa" w:w="90"/>
              <w:left w:type="dxa" w:w="120"/>
              <w:bottom w:type="dxa" w:w="90"/>
              <w:right w:type="dxa" w:w="120"/>
            </w:tcMar>
            <w:vAlign w:val="center"/>
          </w:tcPr>
          <w:p>
            <w:r>
              <w:rPr>
                <w:color w:val="222222"/>
                <w:sz w:val="19"/>
                <w:szCs w:val="19"/>
              </w:rPr>
              <w:t xml:space="preserve">8</w:t>
            </w:r>
          </w:p>
        </w:tc>
        <w:tc>
          <w:tcPr>
            <w:tcW w:type="dxa" w:w="2450"/>
            <w:shd w:fill="EAF4EE" w:val="clear"/>
            <w:tcMar>
              <w:top w:type="dxa" w:w="90"/>
              <w:left w:type="dxa" w:w="120"/>
              <w:bottom w:type="dxa" w:w="90"/>
              <w:right w:type="dxa" w:w="120"/>
            </w:tcMar>
            <w:vAlign w:val="center"/>
          </w:tcPr>
          <w:p>
            <w:r>
              <w:rPr>
                <w:color w:val="222222"/>
                <w:sz w:val="19"/>
                <w:szCs w:val="19"/>
              </w:rPr>
              <w:t xml:space="preserve">1 row / order</w:t>
            </w:r>
          </w:p>
        </w:tc>
      </w:tr>
      <w:tr>
        <w:tc>
          <w:tcPr>
            <w:tcW w:type="dxa" w:w="500"/>
            <w:shd w:fill="FFFFFF" w:val="clear"/>
            <w:tcMar>
              <w:top w:type="dxa" w:w="90"/>
              <w:left w:type="dxa" w:w="120"/>
              <w:bottom w:type="dxa" w:w="90"/>
              <w:right w:type="dxa" w:w="120"/>
            </w:tcMar>
            <w:vAlign w:val="center"/>
          </w:tcPr>
          <w:p>
            <w:r>
              <w:rPr>
                <w:color w:val="222222"/>
                <w:sz w:val="19"/>
                <w:szCs w:val="19"/>
              </w:rPr>
              <w:t xml:space="preserve">7</w:t>
            </w:r>
          </w:p>
        </w:tc>
        <w:tc>
          <w:tcPr>
            <w:tcW w:type="dxa" w:w="3400"/>
            <w:shd w:fill="FFFFFF" w:val="clear"/>
            <w:tcMar>
              <w:top w:type="dxa" w:w="90"/>
              <w:left w:type="dxa" w:w="120"/>
              <w:bottom w:type="dxa" w:w="90"/>
              <w:right w:type="dxa" w:w="120"/>
            </w:tcMar>
            <w:vAlign w:val="center"/>
          </w:tcPr>
          <w:p>
            <w:r>
              <w:rPr>
                <w:color w:val="222222"/>
                <w:sz w:val="19"/>
                <w:szCs w:val="19"/>
              </w:rPr>
              <w:t xml:space="preserve">olist_products_dataset.csv</w:t>
            </w:r>
          </w:p>
        </w:tc>
        <w:tc>
          <w:tcPr>
            <w:tcW w:type="dxa" w:w="1600"/>
            <w:shd w:fill="FFFFFF" w:val="clear"/>
            <w:tcMar>
              <w:top w:type="dxa" w:w="90"/>
              <w:left w:type="dxa" w:w="120"/>
              <w:bottom w:type="dxa" w:w="90"/>
              <w:right w:type="dxa" w:w="120"/>
            </w:tcMar>
            <w:vAlign w:val="center"/>
          </w:tcPr>
          <w:p>
            <w:r>
              <w:rPr>
                <w:color w:val="222222"/>
                <w:sz w:val="19"/>
                <w:szCs w:val="19"/>
              </w:rPr>
              <w:t xml:space="preserve">32,951</w:t>
            </w:r>
          </w:p>
        </w:tc>
        <w:tc>
          <w:tcPr>
            <w:tcW w:type="dxa" w:w="1400"/>
            <w:shd w:fill="FFFFFF" w:val="clear"/>
            <w:tcMar>
              <w:top w:type="dxa" w:w="90"/>
              <w:left w:type="dxa" w:w="120"/>
              <w:bottom w:type="dxa" w:w="90"/>
              <w:right w:type="dxa" w:w="120"/>
            </w:tcMar>
            <w:vAlign w:val="center"/>
          </w:tcPr>
          <w:p>
            <w:r>
              <w:rPr>
                <w:color w:val="222222"/>
                <w:sz w:val="19"/>
                <w:szCs w:val="19"/>
              </w:rPr>
              <w:t xml:space="preserve">9</w:t>
            </w:r>
          </w:p>
        </w:tc>
        <w:tc>
          <w:tcPr>
            <w:tcW w:type="dxa" w:w="2450"/>
            <w:shd w:fill="FFFFFF" w:val="clear"/>
            <w:tcMar>
              <w:top w:type="dxa" w:w="90"/>
              <w:left w:type="dxa" w:w="120"/>
              <w:bottom w:type="dxa" w:w="90"/>
              <w:right w:type="dxa" w:w="120"/>
            </w:tcMar>
            <w:vAlign w:val="center"/>
          </w:tcPr>
          <w:p>
            <w:r>
              <w:rPr>
                <w:color w:val="222222"/>
                <w:sz w:val="19"/>
                <w:szCs w:val="19"/>
              </w:rPr>
              <w:t xml:space="preserve">1 row / product</w:t>
            </w:r>
          </w:p>
        </w:tc>
      </w:tr>
      <w:tr>
        <w:tc>
          <w:tcPr>
            <w:tcW w:type="dxa" w:w="500"/>
            <w:shd w:fill="EAF4EE" w:val="clear"/>
            <w:tcMar>
              <w:top w:type="dxa" w:w="90"/>
              <w:left w:type="dxa" w:w="120"/>
              <w:bottom w:type="dxa" w:w="90"/>
              <w:right w:type="dxa" w:w="120"/>
            </w:tcMar>
            <w:vAlign w:val="center"/>
          </w:tcPr>
          <w:p>
            <w:r>
              <w:rPr>
                <w:color w:val="222222"/>
                <w:sz w:val="19"/>
                <w:szCs w:val="19"/>
              </w:rPr>
              <w:t xml:space="preserve">8</w:t>
            </w:r>
          </w:p>
        </w:tc>
        <w:tc>
          <w:tcPr>
            <w:tcW w:type="dxa" w:w="3400"/>
            <w:shd w:fill="EAF4EE" w:val="clear"/>
            <w:tcMar>
              <w:top w:type="dxa" w:w="90"/>
              <w:left w:type="dxa" w:w="120"/>
              <w:bottom w:type="dxa" w:w="90"/>
              <w:right w:type="dxa" w:w="120"/>
            </w:tcMar>
            <w:vAlign w:val="center"/>
          </w:tcPr>
          <w:p>
            <w:r>
              <w:rPr>
                <w:color w:val="222222"/>
                <w:sz w:val="19"/>
                <w:szCs w:val="19"/>
              </w:rPr>
              <w:t xml:space="preserve">olist_sellers_dataset.csv</w:t>
            </w:r>
          </w:p>
        </w:tc>
        <w:tc>
          <w:tcPr>
            <w:tcW w:type="dxa" w:w="1600"/>
            <w:shd w:fill="EAF4EE" w:val="clear"/>
            <w:tcMar>
              <w:top w:type="dxa" w:w="90"/>
              <w:left w:type="dxa" w:w="120"/>
              <w:bottom w:type="dxa" w:w="90"/>
              <w:right w:type="dxa" w:w="120"/>
            </w:tcMar>
            <w:vAlign w:val="center"/>
          </w:tcPr>
          <w:p>
            <w:r>
              <w:rPr>
                <w:color w:val="222222"/>
                <w:sz w:val="19"/>
                <w:szCs w:val="19"/>
              </w:rPr>
              <w:t xml:space="preserve">3,095</w:t>
            </w:r>
          </w:p>
        </w:tc>
        <w:tc>
          <w:tcPr>
            <w:tcW w:type="dxa" w:w="1400"/>
            <w:shd w:fill="EAF4EE" w:val="clear"/>
            <w:tcMar>
              <w:top w:type="dxa" w:w="90"/>
              <w:left w:type="dxa" w:w="120"/>
              <w:bottom w:type="dxa" w:w="90"/>
              <w:right w:type="dxa" w:w="120"/>
            </w:tcMar>
            <w:vAlign w:val="center"/>
          </w:tcPr>
          <w:p>
            <w:r>
              <w:rPr>
                <w:color w:val="222222"/>
                <w:sz w:val="19"/>
                <w:szCs w:val="19"/>
              </w:rPr>
              <w:t xml:space="preserve">4</w:t>
            </w:r>
          </w:p>
        </w:tc>
        <w:tc>
          <w:tcPr>
            <w:tcW w:type="dxa" w:w="2450"/>
            <w:shd w:fill="EAF4EE" w:val="clear"/>
            <w:tcMar>
              <w:top w:type="dxa" w:w="90"/>
              <w:left w:type="dxa" w:w="120"/>
              <w:bottom w:type="dxa" w:w="90"/>
              <w:right w:type="dxa" w:w="120"/>
            </w:tcMar>
            <w:vAlign w:val="center"/>
          </w:tcPr>
          <w:p>
            <w:r>
              <w:rPr>
                <w:color w:val="222222"/>
                <w:sz w:val="19"/>
                <w:szCs w:val="19"/>
              </w:rPr>
              <w:t xml:space="preserve">1 row / seller</w:t>
            </w:r>
          </w:p>
        </w:tc>
      </w:tr>
      <w:tr>
        <w:tc>
          <w:tcPr>
            <w:tcW w:type="dxa" w:w="500"/>
            <w:shd w:fill="FFFFFF" w:val="clear"/>
            <w:tcMar>
              <w:top w:type="dxa" w:w="90"/>
              <w:left w:type="dxa" w:w="120"/>
              <w:bottom w:type="dxa" w:w="90"/>
              <w:right w:type="dxa" w:w="120"/>
            </w:tcMar>
            <w:vAlign w:val="center"/>
          </w:tcPr>
          <w:p>
            <w:r>
              <w:rPr>
                <w:color w:val="222222"/>
                <w:sz w:val="19"/>
                <w:szCs w:val="19"/>
              </w:rPr>
              <w:t xml:space="preserve">9</w:t>
            </w:r>
          </w:p>
        </w:tc>
        <w:tc>
          <w:tcPr>
            <w:tcW w:type="dxa" w:w="3400"/>
            <w:shd w:fill="FFFFFF" w:val="clear"/>
            <w:tcMar>
              <w:top w:type="dxa" w:w="90"/>
              <w:left w:type="dxa" w:w="120"/>
              <w:bottom w:type="dxa" w:w="90"/>
              <w:right w:type="dxa" w:w="120"/>
            </w:tcMar>
            <w:vAlign w:val="center"/>
          </w:tcPr>
          <w:p>
            <w:r>
              <w:rPr>
                <w:color w:val="222222"/>
                <w:sz w:val="19"/>
                <w:szCs w:val="19"/>
              </w:rPr>
              <w:t xml:space="preserve">product_category_name_translation.csv</w:t>
            </w:r>
          </w:p>
        </w:tc>
        <w:tc>
          <w:tcPr>
            <w:tcW w:type="dxa" w:w="1600"/>
            <w:shd w:fill="FFFFFF" w:val="clear"/>
            <w:tcMar>
              <w:top w:type="dxa" w:w="90"/>
              <w:left w:type="dxa" w:w="120"/>
              <w:bottom w:type="dxa" w:w="90"/>
              <w:right w:type="dxa" w:w="120"/>
            </w:tcMar>
            <w:vAlign w:val="center"/>
          </w:tcPr>
          <w:p>
            <w:r>
              <w:rPr>
                <w:color w:val="222222"/>
                <w:sz w:val="19"/>
                <w:szCs w:val="19"/>
              </w:rPr>
              <w:t xml:space="preserve">71</w:t>
            </w:r>
          </w:p>
        </w:tc>
        <w:tc>
          <w:tcPr>
            <w:tcW w:type="dxa" w:w="1400"/>
            <w:shd w:fill="FFFFFF" w:val="clear"/>
            <w:tcMar>
              <w:top w:type="dxa" w:w="90"/>
              <w:left w:type="dxa" w:w="120"/>
              <w:bottom w:type="dxa" w:w="90"/>
              <w:right w:type="dxa" w:w="120"/>
            </w:tcMar>
            <w:vAlign w:val="center"/>
          </w:tcPr>
          <w:p>
            <w:r>
              <w:rPr>
                <w:color w:val="222222"/>
                <w:sz w:val="19"/>
                <w:szCs w:val="19"/>
              </w:rPr>
              <w:t xml:space="preserve">2</w:t>
            </w:r>
          </w:p>
        </w:tc>
        <w:tc>
          <w:tcPr>
            <w:tcW w:type="dxa" w:w="2450"/>
            <w:shd w:fill="FFFFFF" w:val="clear"/>
            <w:tcMar>
              <w:top w:type="dxa" w:w="90"/>
              <w:left w:type="dxa" w:w="120"/>
              <w:bottom w:type="dxa" w:w="90"/>
              <w:right w:type="dxa" w:w="120"/>
            </w:tcMar>
            <w:vAlign w:val="center"/>
          </w:tcPr>
          <w:p>
            <w:r>
              <w:rPr>
                <w:color w:val="222222"/>
                <w:sz w:val="19"/>
                <w:szCs w:val="19"/>
              </w:rPr>
              <w:t xml:space="preserve">1 row / category</w:t>
            </w:r>
          </w:p>
        </w:tc>
      </w:tr>
    </w:tbl>
    <w:p>
      <w:pPr>
        <w:spacing w:after="120"/>
      </w:pPr>
    </w:p>
    <w:p>
      <w:pPr>
        <w:spacing w:after="160" w:line="300"/>
      </w:pPr>
      <w:r>
        <w:rPr>
          <w:color w:val="222222"/>
          <w:sz w:val="21"/>
          <w:szCs w:val="21"/>
        </w:rPr>
        <w:t xml:space="preserve">Total rows across all tables: 1,521,321. Time span: 2016-09-04 to 2018-10-17.</w:t>
      </w:r>
    </w:p>
    <w:p>
      <w:pPr>
        <w:pStyle w:val="Heading2"/>
        <w:spacing w:after="150" w:before="300"/>
      </w:pPr>
      <w:r>
        <w:rPr>
          <w:b/>
          <w:bCs/>
          <w:color w:val="2E7D4F"/>
          <w:sz w:val="26"/>
          <w:szCs w:val="26"/>
        </w:rPr>
        <w:t xml:space="preserve">3.2 Entity Relationship Diagram</w:t>
      </w:r>
    </w:p>
    <w:p>
      <w:pPr>
        <w:spacing w:after="80"/>
        <w:jc w:val="center"/>
      </w:pPr>
      <w:r>
        <w:drawing>
          <wp:inline distT="0" distB="0" distL="0" distR="0">
            <wp:extent cx="5334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86200"/>
                    </a:xfrm>
                    <a:prstGeom prst="rect">
                      <a:avLst/>
                    </a:prstGeom>
                  </pic:spPr>
                </pic:pic>
              </a:graphicData>
            </a:graphic>
          </wp:inline>
        </w:drawing>
      </w:r>
    </w:p>
    <w:p>
      <w:pPr>
        <w:spacing w:after="200"/>
        <w:jc w:val="center"/>
      </w:pPr>
      <w:r>
        <w:rPr>
          <w:i/>
          <w:iCs/>
          <w:color w:val="595959"/>
          <w:sz w:val="18"/>
          <w:szCs w:val="18"/>
        </w:rPr>
        <w:t xml:space="preserve">Figure 1 — Relational schema: customers → orders → order_items → products / sellers, with order_payments and order_reviews attached at the order level, and geolocation linked via zip code prefix.</w:t>
      </w:r>
    </w:p>
    <w:p>
      <w:pPr>
        <w:pStyle w:val="Heading2"/>
        <w:spacing w:after="150" w:before="300"/>
      </w:pPr>
      <w:r>
        <w:rPr>
          <w:b/>
          <w:bCs/>
          <w:color w:val="2E7D4F"/>
          <w:sz w:val="26"/>
          <w:szCs w:val="26"/>
        </w:rPr>
        <w:t xml:space="preserve">3.3 Relational Structure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650"/>
        <w:gridCol w:w="3100"/>
      </w:tblGrid>
      <w:tr>
        <w:trPr>
          <w:tblHeader/>
        </w:trPr>
        <w:tc>
          <w:tcPr>
            <w:tcW w:type="dxa" w:w="3600"/>
            <w:shd w:fill="2E5B41" w:val="clear"/>
            <w:tcMar>
              <w:top w:type="dxa" w:w="100"/>
              <w:left w:type="dxa" w:w="120"/>
              <w:bottom w:type="dxa" w:w="100"/>
              <w:right w:type="dxa" w:w="120"/>
            </w:tcMar>
            <w:vAlign w:val="center"/>
          </w:tcPr>
          <w:p>
            <w:r>
              <w:rPr>
                <w:b/>
                <w:bCs/>
                <w:color w:val="FFFFFF"/>
                <w:sz w:val="19"/>
                <w:szCs w:val="19"/>
              </w:rPr>
              <w:t xml:space="preserve">Relationship</w:t>
            </w:r>
          </w:p>
        </w:tc>
        <w:tc>
          <w:tcPr>
            <w:tcW w:type="dxa" w:w="2650"/>
            <w:shd w:fill="2E5B41" w:val="clear"/>
            <w:tcMar>
              <w:top w:type="dxa" w:w="100"/>
              <w:left w:type="dxa" w:w="120"/>
              <w:bottom w:type="dxa" w:w="100"/>
              <w:right w:type="dxa" w:w="120"/>
            </w:tcMar>
            <w:vAlign w:val="center"/>
          </w:tcPr>
          <w:p>
            <w:r>
              <w:rPr>
                <w:b/>
                <w:bCs/>
                <w:color w:val="FFFFFF"/>
                <w:sz w:val="19"/>
                <w:szCs w:val="19"/>
              </w:rPr>
              <w:t xml:space="preserve">Cardinality</w:t>
            </w:r>
          </w:p>
        </w:tc>
        <w:tc>
          <w:tcPr>
            <w:tcW w:type="dxa" w:w="3100"/>
            <w:shd w:fill="2E5B41" w:val="clear"/>
            <w:tcMar>
              <w:top w:type="dxa" w:w="100"/>
              <w:left w:type="dxa" w:w="120"/>
              <w:bottom w:type="dxa" w:w="100"/>
              <w:right w:type="dxa" w:w="120"/>
            </w:tcMar>
            <w:vAlign w:val="center"/>
          </w:tcPr>
          <w:p>
            <w:r>
              <w:rPr>
                <w:b/>
                <w:bCs/>
                <w:color w:val="FFFFFF"/>
                <w:sz w:val="19"/>
                <w:szCs w:val="19"/>
              </w:rPr>
              <w:t xml:space="preserve">Status</w:t>
            </w:r>
          </w:p>
        </w:tc>
      </w:tr>
      <w:tr>
        <w:tc>
          <w:tcPr>
            <w:tcW w:type="dxa" w:w="3600"/>
            <w:shd w:fill="FFFFFF" w:val="clear"/>
            <w:tcMar>
              <w:top w:type="dxa" w:w="90"/>
              <w:left w:type="dxa" w:w="120"/>
              <w:bottom w:type="dxa" w:w="90"/>
              <w:right w:type="dxa" w:w="120"/>
            </w:tcMar>
            <w:vAlign w:val="center"/>
          </w:tcPr>
          <w:p>
            <w:r>
              <w:rPr>
                <w:color w:val="222222"/>
                <w:sz w:val="19"/>
                <w:szCs w:val="19"/>
              </w:rPr>
              <w:t xml:space="preserve">customers → orders</w:t>
            </w:r>
          </w:p>
        </w:tc>
        <w:tc>
          <w:tcPr>
            <w:tcW w:type="dxa" w:w="2650"/>
            <w:shd w:fill="FFFFFF" w:val="clear"/>
            <w:tcMar>
              <w:top w:type="dxa" w:w="90"/>
              <w:left w:type="dxa" w:w="120"/>
              <w:bottom w:type="dxa" w:w="90"/>
              <w:right w:type="dxa" w:w="120"/>
            </w:tcMar>
            <w:vAlign w:val="center"/>
          </w:tcPr>
          <w:p>
            <w:r>
              <w:rPr>
                <w:color w:val="222222"/>
                <w:sz w:val="19"/>
                <w:szCs w:val="19"/>
              </w:rPr>
              <w:t xml:space="preserve">1 : M</w:t>
            </w:r>
          </w:p>
        </w:tc>
        <w:tc>
          <w:tcPr>
            <w:tcW w:type="dxa" w:w="3100"/>
            <w:shd w:fill="FFFFFF" w:val="clear"/>
            <w:tcMar>
              <w:top w:type="dxa" w:w="90"/>
              <w:left w:type="dxa" w:w="120"/>
              <w:bottom w:type="dxa" w:w="90"/>
              <w:right w:type="dxa" w:w="120"/>
            </w:tcMar>
            <w:vAlign w:val="center"/>
          </w:tcPr>
          <w:p>
            <w:r>
              <w:rPr>
                <w:color w:val="222222"/>
                <w:sz w:val="19"/>
                <w:szCs w:val="19"/>
              </w:rPr>
              <w:t xml:space="preserve">Pass — 1 customer_id per order</w:t>
            </w:r>
          </w:p>
        </w:tc>
      </w:tr>
      <w:tr>
        <w:tc>
          <w:tcPr>
            <w:tcW w:type="dxa" w:w="3600"/>
            <w:shd w:fill="EAF4EE" w:val="clear"/>
            <w:tcMar>
              <w:top w:type="dxa" w:w="90"/>
              <w:left w:type="dxa" w:w="120"/>
              <w:bottom w:type="dxa" w:w="90"/>
              <w:right w:type="dxa" w:w="120"/>
            </w:tcMar>
            <w:vAlign w:val="center"/>
          </w:tcPr>
          <w:p>
            <w:r>
              <w:rPr>
                <w:color w:val="222222"/>
                <w:sz w:val="19"/>
                <w:szCs w:val="19"/>
              </w:rPr>
              <w:t xml:space="preserve">orders → order_items</w:t>
            </w:r>
          </w:p>
        </w:tc>
        <w:tc>
          <w:tcPr>
            <w:tcW w:type="dxa" w:w="2650"/>
            <w:shd w:fill="EAF4EE" w:val="clear"/>
            <w:tcMar>
              <w:top w:type="dxa" w:w="90"/>
              <w:left w:type="dxa" w:w="120"/>
              <w:bottom w:type="dxa" w:w="90"/>
              <w:right w:type="dxa" w:w="120"/>
            </w:tcMar>
            <w:vAlign w:val="center"/>
          </w:tcPr>
          <w:p>
            <w:r>
              <w:rPr>
                <w:color w:val="222222"/>
                <w:sz w:val="19"/>
                <w:szCs w:val="19"/>
              </w:rPr>
              <w:t xml:space="preserve">1 : M</w:t>
            </w:r>
          </w:p>
        </w:tc>
        <w:tc>
          <w:tcPr>
            <w:tcW w:type="dxa" w:w="3100"/>
            <w:shd w:fill="EAF4EE" w:val="clear"/>
            <w:tcMar>
              <w:top w:type="dxa" w:w="90"/>
              <w:left w:type="dxa" w:w="120"/>
              <w:bottom w:type="dxa" w:w="90"/>
              <w:right w:type="dxa" w:w="120"/>
            </w:tcMar>
            <w:vAlign w:val="center"/>
          </w:tcPr>
          <w:p>
            <w:r>
              <w:rPr>
                <w:color w:val="222222"/>
                <w:sz w:val="19"/>
                <w:szCs w:val="19"/>
              </w:rPr>
              <w:t xml:space="preserve">Pass — 775 orders have zero items</w:t>
            </w:r>
          </w:p>
        </w:tc>
      </w:tr>
      <w:tr>
        <w:tc>
          <w:tcPr>
            <w:tcW w:type="dxa" w:w="3600"/>
            <w:shd w:fill="FFFFFF" w:val="clear"/>
            <w:tcMar>
              <w:top w:type="dxa" w:w="90"/>
              <w:left w:type="dxa" w:w="120"/>
              <w:bottom w:type="dxa" w:w="90"/>
              <w:right w:type="dxa" w:w="120"/>
            </w:tcMar>
            <w:vAlign w:val="center"/>
          </w:tcPr>
          <w:p>
            <w:r>
              <w:rPr>
                <w:color w:val="222222"/>
                <w:sz w:val="19"/>
                <w:szCs w:val="19"/>
              </w:rPr>
              <w:t xml:space="preserve">orders → order_payments</w:t>
            </w:r>
          </w:p>
        </w:tc>
        <w:tc>
          <w:tcPr>
            <w:tcW w:type="dxa" w:w="2650"/>
            <w:shd w:fill="FFFFFF" w:val="clear"/>
            <w:tcMar>
              <w:top w:type="dxa" w:w="90"/>
              <w:left w:type="dxa" w:w="120"/>
              <w:bottom w:type="dxa" w:w="90"/>
              <w:right w:type="dxa" w:w="120"/>
            </w:tcMar>
            <w:vAlign w:val="center"/>
          </w:tcPr>
          <w:p>
            <w:r>
              <w:rPr>
                <w:color w:val="222222"/>
                <w:sz w:val="19"/>
                <w:szCs w:val="19"/>
              </w:rPr>
              <w:t xml:space="preserve">1 : M</w:t>
            </w:r>
          </w:p>
        </w:tc>
        <w:tc>
          <w:tcPr>
            <w:tcW w:type="dxa" w:w="3100"/>
            <w:shd w:fill="FFFFFF" w:val="clear"/>
            <w:tcMar>
              <w:top w:type="dxa" w:w="90"/>
              <w:left w:type="dxa" w:w="120"/>
              <w:bottom w:type="dxa" w:w="90"/>
              <w:right w:type="dxa" w:w="120"/>
            </w:tcMar>
            <w:vAlign w:val="center"/>
          </w:tcPr>
          <w:p>
            <w:r>
              <w:rPr>
                <w:color w:val="222222"/>
                <w:sz w:val="19"/>
                <w:szCs w:val="19"/>
              </w:rPr>
              <w:t xml:space="preserve">Pass — 1 order missing payment record</w:t>
            </w:r>
          </w:p>
        </w:tc>
      </w:tr>
      <w:tr>
        <w:tc>
          <w:tcPr>
            <w:tcW w:type="dxa" w:w="3600"/>
            <w:shd w:fill="EAF4EE" w:val="clear"/>
            <w:tcMar>
              <w:top w:type="dxa" w:w="90"/>
              <w:left w:type="dxa" w:w="120"/>
              <w:bottom w:type="dxa" w:w="90"/>
              <w:right w:type="dxa" w:w="120"/>
            </w:tcMar>
            <w:vAlign w:val="center"/>
          </w:tcPr>
          <w:p>
            <w:r>
              <w:rPr>
                <w:color w:val="222222"/>
                <w:sz w:val="19"/>
                <w:szCs w:val="19"/>
              </w:rPr>
              <w:t xml:space="preserve">orders → order_reviews</w:t>
            </w:r>
          </w:p>
        </w:tc>
        <w:tc>
          <w:tcPr>
            <w:tcW w:type="dxa" w:w="2650"/>
            <w:shd w:fill="EAF4EE" w:val="clear"/>
            <w:tcMar>
              <w:top w:type="dxa" w:w="90"/>
              <w:left w:type="dxa" w:w="120"/>
              <w:bottom w:type="dxa" w:w="90"/>
              <w:right w:type="dxa" w:w="120"/>
            </w:tcMar>
            <w:vAlign w:val="center"/>
          </w:tcPr>
          <w:p>
            <w:r>
              <w:rPr>
                <w:color w:val="222222"/>
                <w:sz w:val="19"/>
                <w:szCs w:val="19"/>
              </w:rPr>
              <w:t xml:space="preserve">1 : M (expected 1:1)</w:t>
            </w:r>
          </w:p>
        </w:tc>
        <w:tc>
          <w:tcPr>
            <w:tcW w:type="dxa" w:w="3100"/>
            <w:shd w:fill="EAF4EE" w:val="clear"/>
            <w:tcMar>
              <w:top w:type="dxa" w:w="90"/>
              <w:left w:type="dxa" w:w="120"/>
              <w:bottom w:type="dxa" w:w="90"/>
              <w:right w:type="dxa" w:w="120"/>
            </w:tcMar>
            <w:vAlign w:val="center"/>
          </w:tcPr>
          <w:p>
            <w:r>
              <w:rPr>
                <w:color w:val="222222"/>
                <w:sz w:val="19"/>
                <w:szCs w:val="19"/>
              </w:rPr>
              <w:t xml:space="preserve">Partial — 768 orders missing review; 1,098 have &gt;1 review</w:t>
            </w:r>
          </w:p>
        </w:tc>
      </w:tr>
      <w:tr>
        <w:tc>
          <w:tcPr>
            <w:tcW w:type="dxa" w:w="3600"/>
            <w:shd w:fill="FFFFFF" w:val="clear"/>
            <w:tcMar>
              <w:top w:type="dxa" w:w="90"/>
              <w:left w:type="dxa" w:w="120"/>
              <w:bottom w:type="dxa" w:w="90"/>
              <w:right w:type="dxa" w:w="120"/>
            </w:tcMar>
            <w:vAlign w:val="center"/>
          </w:tcPr>
          <w:p>
            <w:r>
              <w:rPr>
                <w:color w:val="222222"/>
                <w:sz w:val="19"/>
                <w:szCs w:val="19"/>
              </w:rPr>
              <w:t xml:space="preserve">order_items → products</w:t>
            </w:r>
          </w:p>
        </w:tc>
        <w:tc>
          <w:tcPr>
            <w:tcW w:type="dxa" w:w="2650"/>
            <w:shd w:fill="FFFFFF" w:val="clear"/>
            <w:tcMar>
              <w:top w:type="dxa" w:w="90"/>
              <w:left w:type="dxa" w:w="120"/>
              <w:bottom w:type="dxa" w:w="90"/>
              <w:right w:type="dxa" w:w="120"/>
            </w:tcMar>
            <w:vAlign w:val="center"/>
          </w:tcPr>
          <w:p>
            <w:r>
              <w:rPr>
                <w:color w:val="222222"/>
                <w:sz w:val="19"/>
                <w:szCs w:val="19"/>
              </w:rPr>
              <w:t xml:space="preserve">M : 1</w:t>
            </w:r>
          </w:p>
        </w:tc>
        <w:tc>
          <w:tcPr>
            <w:tcW w:type="dxa" w:w="3100"/>
            <w:shd w:fill="FFFFFF" w:val="clear"/>
            <w:tcMar>
              <w:top w:type="dxa" w:w="90"/>
              <w:left w:type="dxa" w:w="120"/>
              <w:bottom w:type="dxa" w:w="90"/>
              <w:right w:type="dxa" w:w="120"/>
            </w:tcMar>
            <w:vAlign w:val="center"/>
          </w:tcPr>
          <w:p>
            <w:r>
              <w:rPr>
                <w:color w:val="222222"/>
                <w:sz w:val="19"/>
                <w:szCs w:val="19"/>
              </w:rPr>
              <w:t xml:space="preserve">Pass — full match</w:t>
            </w:r>
          </w:p>
        </w:tc>
      </w:tr>
      <w:tr>
        <w:tc>
          <w:tcPr>
            <w:tcW w:type="dxa" w:w="3600"/>
            <w:shd w:fill="EAF4EE" w:val="clear"/>
            <w:tcMar>
              <w:top w:type="dxa" w:w="90"/>
              <w:left w:type="dxa" w:w="120"/>
              <w:bottom w:type="dxa" w:w="90"/>
              <w:right w:type="dxa" w:w="120"/>
            </w:tcMar>
            <w:vAlign w:val="center"/>
          </w:tcPr>
          <w:p>
            <w:r>
              <w:rPr>
                <w:color w:val="222222"/>
                <w:sz w:val="19"/>
                <w:szCs w:val="19"/>
              </w:rPr>
              <w:t xml:space="preserve">order_items → sellers</w:t>
            </w:r>
          </w:p>
        </w:tc>
        <w:tc>
          <w:tcPr>
            <w:tcW w:type="dxa" w:w="2650"/>
            <w:shd w:fill="EAF4EE" w:val="clear"/>
            <w:tcMar>
              <w:top w:type="dxa" w:w="90"/>
              <w:left w:type="dxa" w:w="120"/>
              <w:bottom w:type="dxa" w:w="90"/>
              <w:right w:type="dxa" w:w="120"/>
            </w:tcMar>
            <w:vAlign w:val="center"/>
          </w:tcPr>
          <w:p>
            <w:r>
              <w:rPr>
                <w:color w:val="222222"/>
                <w:sz w:val="19"/>
                <w:szCs w:val="19"/>
              </w:rPr>
              <w:t xml:space="preserve">M : 1</w:t>
            </w:r>
          </w:p>
        </w:tc>
        <w:tc>
          <w:tcPr>
            <w:tcW w:type="dxa" w:w="3100"/>
            <w:shd w:fill="EAF4EE" w:val="clear"/>
            <w:tcMar>
              <w:top w:type="dxa" w:w="90"/>
              <w:left w:type="dxa" w:w="120"/>
              <w:bottom w:type="dxa" w:w="90"/>
              <w:right w:type="dxa" w:w="120"/>
            </w:tcMar>
            <w:vAlign w:val="center"/>
          </w:tcPr>
          <w:p>
            <w:r>
              <w:rPr>
                <w:color w:val="222222"/>
                <w:sz w:val="19"/>
                <w:szCs w:val="19"/>
              </w:rPr>
              <w:t xml:space="preserve">Pass — full match</w:t>
            </w:r>
          </w:p>
        </w:tc>
      </w:tr>
      <w:tr>
        <w:tc>
          <w:tcPr>
            <w:tcW w:type="dxa" w:w="3600"/>
            <w:shd w:fill="FFFFFF" w:val="clear"/>
            <w:tcMar>
              <w:top w:type="dxa" w:w="90"/>
              <w:left w:type="dxa" w:w="120"/>
              <w:bottom w:type="dxa" w:w="90"/>
              <w:right w:type="dxa" w:w="120"/>
            </w:tcMar>
            <w:vAlign w:val="center"/>
          </w:tcPr>
          <w:p>
            <w:r>
              <w:rPr>
                <w:color w:val="222222"/>
                <w:sz w:val="19"/>
                <w:szCs w:val="19"/>
              </w:rPr>
              <w:t xml:space="preserve">products → category_translation</w:t>
            </w:r>
          </w:p>
        </w:tc>
        <w:tc>
          <w:tcPr>
            <w:tcW w:type="dxa" w:w="2650"/>
            <w:shd w:fill="FFFFFF" w:val="clear"/>
            <w:tcMar>
              <w:top w:type="dxa" w:w="90"/>
              <w:left w:type="dxa" w:w="120"/>
              <w:bottom w:type="dxa" w:w="90"/>
              <w:right w:type="dxa" w:w="120"/>
            </w:tcMar>
            <w:vAlign w:val="center"/>
          </w:tcPr>
          <w:p>
            <w:r>
              <w:rPr>
                <w:color w:val="222222"/>
                <w:sz w:val="19"/>
                <w:szCs w:val="19"/>
              </w:rPr>
              <w:t xml:space="preserve">M : 1</w:t>
            </w:r>
          </w:p>
        </w:tc>
        <w:tc>
          <w:tcPr>
            <w:tcW w:type="dxa" w:w="3100"/>
            <w:shd w:fill="FFFFFF" w:val="clear"/>
            <w:tcMar>
              <w:top w:type="dxa" w:w="90"/>
              <w:left w:type="dxa" w:w="120"/>
              <w:bottom w:type="dxa" w:w="90"/>
              <w:right w:type="dxa" w:w="120"/>
            </w:tcMar>
            <w:vAlign w:val="center"/>
          </w:tcPr>
          <w:p>
            <w:r>
              <w:rPr>
                <w:color w:val="222222"/>
                <w:sz w:val="19"/>
                <w:szCs w:val="19"/>
              </w:rPr>
              <w:t xml:space="preserve">Partial — 13 categories unmatched</w:t>
            </w:r>
          </w:p>
        </w:tc>
      </w:tr>
      <w:tr>
        <w:tc>
          <w:tcPr>
            <w:tcW w:type="dxa" w:w="3600"/>
            <w:shd w:fill="EAF4EE" w:val="clear"/>
            <w:tcMar>
              <w:top w:type="dxa" w:w="90"/>
              <w:left w:type="dxa" w:w="120"/>
              <w:bottom w:type="dxa" w:w="90"/>
              <w:right w:type="dxa" w:w="120"/>
            </w:tcMar>
            <w:vAlign w:val="center"/>
          </w:tcPr>
          <w:p>
            <w:r>
              <w:rPr>
                <w:color w:val="222222"/>
                <w:sz w:val="19"/>
                <w:szCs w:val="19"/>
              </w:rPr>
              <w:t xml:space="preserve">customers / sellers → geolocation</w:t>
            </w:r>
          </w:p>
        </w:tc>
        <w:tc>
          <w:tcPr>
            <w:tcW w:type="dxa" w:w="2650"/>
            <w:shd w:fill="EAF4EE" w:val="clear"/>
            <w:tcMar>
              <w:top w:type="dxa" w:w="90"/>
              <w:left w:type="dxa" w:w="120"/>
              <w:bottom w:type="dxa" w:w="90"/>
              <w:right w:type="dxa" w:w="120"/>
            </w:tcMar>
            <w:vAlign w:val="center"/>
          </w:tcPr>
          <w:p>
            <w:r>
              <w:rPr>
                <w:color w:val="222222"/>
                <w:sz w:val="19"/>
                <w:szCs w:val="19"/>
              </w:rPr>
              <w:t xml:space="preserve">M : 1 (via zip prefix)</w:t>
            </w:r>
          </w:p>
        </w:tc>
        <w:tc>
          <w:tcPr>
            <w:tcW w:type="dxa" w:w="3100"/>
            <w:shd w:fill="EAF4EE" w:val="clear"/>
            <w:tcMar>
              <w:top w:type="dxa" w:w="90"/>
              <w:left w:type="dxa" w:w="120"/>
              <w:bottom w:type="dxa" w:w="90"/>
              <w:right w:type="dxa" w:w="120"/>
            </w:tcMar>
            <w:vAlign w:val="center"/>
          </w:tcPr>
          <w:p>
            <w:r>
              <w:rPr>
                <w:color w:val="222222"/>
                <w:sz w:val="19"/>
                <w:szCs w:val="19"/>
              </w:rPr>
              <w:t xml:space="preserve">Partial — ~0.3% zip prefixes unmatched</w:t>
            </w:r>
          </w:p>
        </w:tc>
      </w:tr>
    </w:tbl>
    <w:p>
      <w:r>
        <w:br w:type="page"/>
      </w:r>
    </w:p>
    <w:p>
      <w:pPr>
        <w:pStyle w:val="Heading1"/>
        <w:pBdr>
          <w:bottom w:val="single" w:color="2E7D4F" w:sz="8" w:space="4"/>
        </w:pBdr>
        <w:spacing w:after="200" w:before="400"/>
      </w:pPr>
      <w:r>
        <w:rPr>
          <w:b/>
          <w:bCs/>
          <w:color w:val="1F3D2E"/>
          <w:sz w:val="32"/>
          <w:szCs w:val="32"/>
        </w:rPr>
        <w:t xml:space="preserve">4. Data Validation &amp; Quality</w:t>
      </w:r>
    </w:p>
    <w:p>
      <w:pPr>
        <w:spacing w:after="160" w:line="300"/>
      </w:pPr>
      <w:r>
        <w:rPr>
          <w:color w:val="222222"/>
          <w:sz w:val="21"/>
          <w:szCs w:val="21"/>
        </w:rPr>
        <w:t xml:space="preserve">Before any analysis, all nine tables were validated for structural integrity, data types, missing values, duplicates, referential integrity, and business-rule compliance.</w:t>
      </w:r>
    </w:p>
    <w:p>
      <w:pPr>
        <w:pStyle w:val="Heading2"/>
        <w:spacing w:after="150" w:before="300"/>
      </w:pPr>
      <w:r>
        <w:rPr>
          <w:b/>
          <w:bCs/>
          <w:color w:val="2E7D4F"/>
          <w:sz w:val="26"/>
          <w:szCs w:val="26"/>
        </w:rPr>
        <w:t xml:space="preserve">4.1 Structural &amp; Data Type Validation</w:t>
      </w:r>
    </w:p>
    <w:p>
      <w:pPr>
        <w:pStyle w:val="ListParagraph"/>
        <w:numPr>
          <w:ilvl w:val="0"/>
          <w:numId w:val="1"/>
        </w:numPr>
        <w:spacing w:after="100"/>
      </w:pPr>
      <w:r>
        <w:rPr>
          <w:color w:val="222222"/>
          <w:sz w:val="21"/>
          <w:szCs w:val="21"/>
        </w:rPr>
        <w:t xml:space="preserve">Consistent column counts, header rows, and comma delimiters — Pass across all 9 files.</w:t>
      </w:r>
    </w:p>
    <w:p>
      <w:pPr>
        <w:pStyle w:val="ListParagraph"/>
        <w:numPr>
          <w:ilvl w:val="0"/>
          <w:numId w:val="1"/>
        </w:numPr>
        <w:spacing w:after="100"/>
      </w:pPr>
      <w:r>
        <w:rPr>
          <w:color w:val="222222"/>
          <w:sz w:val="21"/>
          <w:szCs w:val="21"/>
        </w:rPr>
        <w:t xml:space="preserve">Minor encoding issue: a byte-order-mark (BOM) character in the category translation header.</w:t>
      </w:r>
    </w:p>
    <w:p>
      <w:pPr>
        <w:pStyle w:val="ListParagraph"/>
        <w:numPr>
          <w:ilvl w:val="0"/>
          <w:numId w:val="1"/>
        </w:numPr>
        <w:spacing w:after="100"/>
      </w:pPr>
      <w:r>
        <w:rPr>
          <w:color w:val="222222"/>
          <w:sz w:val="21"/>
          <w:szCs w:val="21"/>
        </w:rPr>
        <w:t xml:space="preserve">All timestamp columns (orders, order_items, order_reviews) were stored as text and required conversion to datetime.</w:t>
      </w:r>
    </w:p>
    <w:p>
      <w:pPr>
        <w:pStyle w:val="ListParagraph"/>
        <w:numPr>
          <w:ilvl w:val="0"/>
          <w:numId w:val="1"/>
        </w:numPr>
        <w:spacing w:after="100"/>
      </w:pPr>
      <w:r>
        <w:rPr>
          <w:color w:val="222222"/>
          <w:sz w:val="21"/>
          <w:szCs w:val="21"/>
        </w:rPr>
        <w:t xml:space="preserve">Price, freight, payment value, and review score fields matched their expected types.</w:t>
      </w:r>
    </w:p>
    <w:p>
      <w:pPr>
        <w:pStyle w:val="Heading2"/>
        <w:spacing w:after="150" w:before="300"/>
      </w:pPr>
      <w:r>
        <w:rPr>
          <w:b/>
          <w:bCs/>
          <w:color w:val="2E7D4F"/>
          <w:sz w:val="26"/>
          <w:szCs w:val="26"/>
        </w:rPr>
        <w:t xml:space="preserve">4.2 Missing Values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800"/>
        <w:gridCol w:w="1550"/>
      </w:tblGrid>
      <w:tr>
        <w:trPr>
          <w:tblHeader/>
        </w:trPr>
        <w:tc>
          <w:tcPr>
            <w:tcW w:type="dxa" w:w="1800"/>
            <w:shd w:fill="2E5B41" w:val="clear"/>
            <w:tcMar>
              <w:top w:type="dxa" w:w="100"/>
              <w:left w:type="dxa" w:w="120"/>
              <w:bottom w:type="dxa" w:w="100"/>
              <w:right w:type="dxa" w:w="120"/>
            </w:tcMar>
            <w:vAlign w:val="center"/>
          </w:tcPr>
          <w:p>
            <w:r>
              <w:rPr>
                <w:b/>
                <w:bCs/>
                <w:color w:val="FFFFFF"/>
                <w:sz w:val="19"/>
                <w:szCs w:val="19"/>
              </w:rPr>
              <w:t xml:space="preserve">Table</w:t>
            </w:r>
          </w:p>
        </w:tc>
        <w:tc>
          <w:tcPr>
            <w:tcW w:type="dxa" w:w="4200"/>
            <w:shd w:fill="2E5B41" w:val="clear"/>
            <w:tcMar>
              <w:top w:type="dxa" w:w="100"/>
              <w:left w:type="dxa" w:w="120"/>
              <w:bottom w:type="dxa" w:w="100"/>
              <w:right w:type="dxa" w:w="120"/>
            </w:tcMar>
            <w:vAlign w:val="center"/>
          </w:tcPr>
          <w:p>
            <w:r>
              <w:rPr>
                <w:b/>
                <w:bCs/>
                <w:color w:val="FFFFFF"/>
                <w:sz w:val="19"/>
                <w:szCs w:val="19"/>
              </w:rPr>
              <w:t xml:space="preserve">Column</w:t>
            </w:r>
          </w:p>
        </w:tc>
        <w:tc>
          <w:tcPr>
            <w:tcW w:type="dxa" w:w="1800"/>
            <w:shd w:fill="2E5B41" w:val="clear"/>
            <w:tcMar>
              <w:top w:type="dxa" w:w="100"/>
              <w:left w:type="dxa" w:w="120"/>
              <w:bottom w:type="dxa" w:w="100"/>
              <w:right w:type="dxa" w:w="120"/>
            </w:tcMar>
            <w:vAlign w:val="center"/>
          </w:tcPr>
          <w:p>
            <w:r>
              <w:rPr>
                <w:b/>
                <w:bCs/>
                <w:color w:val="FFFFFF"/>
                <w:sz w:val="19"/>
                <w:szCs w:val="19"/>
              </w:rPr>
              <w:t xml:space="preserve">Missing Count</w:t>
            </w:r>
          </w:p>
        </w:tc>
        <w:tc>
          <w:tcPr>
            <w:tcW w:type="dxa" w:w="1550"/>
            <w:shd w:fill="2E5B41" w:val="clear"/>
            <w:tcMar>
              <w:top w:type="dxa" w:w="100"/>
              <w:left w:type="dxa" w:w="120"/>
              <w:bottom w:type="dxa" w:w="100"/>
              <w:right w:type="dxa" w:w="120"/>
            </w:tcMar>
            <w:vAlign w:val="center"/>
          </w:tcPr>
          <w:p>
            <w:r>
              <w:rPr>
                <w:b/>
                <w:bCs/>
                <w:color w:val="FFFFFF"/>
                <w:sz w:val="19"/>
                <w:szCs w:val="19"/>
              </w:rPr>
              <w:t xml:space="preserve">Missing %</w:t>
            </w:r>
          </w:p>
        </w:tc>
      </w:tr>
      <w:tr>
        <w:tc>
          <w:tcPr>
            <w:tcW w:type="dxa" w:w="1800"/>
            <w:shd w:fill="FFFFFF" w:val="clear"/>
            <w:tcMar>
              <w:top w:type="dxa" w:w="90"/>
              <w:left w:type="dxa" w:w="120"/>
              <w:bottom w:type="dxa" w:w="90"/>
              <w:right w:type="dxa" w:w="120"/>
            </w:tcMar>
            <w:vAlign w:val="center"/>
          </w:tcPr>
          <w:p>
            <w:r>
              <w:rPr>
                <w:color w:val="222222"/>
                <w:sz w:val="19"/>
                <w:szCs w:val="19"/>
              </w:rPr>
              <w:t xml:space="preserve">order_reviews</w:t>
            </w:r>
          </w:p>
        </w:tc>
        <w:tc>
          <w:tcPr>
            <w:tcW w:type="dxa" w:w="4200"/>
            <w:shd w:fill="FFFFFF" w:val="clear"/>
            <w:tcMar>
              <w:top w:type="dxa" w:w="90"/>
              <w:left w:type="dxa" w:w="120"/>
              <w:bottom w:type="dxa" w:w="90"/>
              <w:right w:type="dxa" w:w="120"/>
            </w:tcMar>
            <w:vAlign w:val="center"/>
          </w:tcPr>
          <w:p>
            <w:r>
              <w:rPr>
                <w:color w:val="222222"/>
                <w:sz w:val="19"/>
                <w:szCs w:val="19"/>
              </w:rPr>
              <w:t xml:space="preserve">review_comment_title</w:t>
            </w:r>
          </w:p>
        </w:tc>
        <w:tc>
          <w:tcPr>
            <w:tcW w:type="dxa" w:w="1800"/>
            <w:shd w:fill="FFFFFF" w:val="clear"/>
            <w:tcMar>
              <w:top w:type="dxa" w:w="90"/>
              <w:left w:type="dxa" w:w="120"/>
              <w:bottom w:type="dxa" w:w="90"/>
              <w:right w:type="dxa" w:w="120"/>
            </w:tcMar>
            <w:vAlign w:val="center"/>
          </w:tcPr>
          <w:p>
            <w:r>
              <w:rPr>
                <w:color w:val="222222"/>
                <w:sz w:val="19"/>
                <w:szCs w:val="19"/>
              </w:rPr>
              <w:t xml:space="preserve">87,656</w:t>
            </w:r>
          </w:p>
        </w:tc>
        <w:tc>
          <w:tcPr>
            <w:tcW w:type="dxa" w:w="1550"/>
            <w:shd w:fill="FFFFFF" w:val="clear"/>
            <w:tcMar>
              <w:top w:type="dxa" w:w="90"/>
              <w:left w:type="dxa" w:w="120"/>
              <w:bottom w:type="dxa" w:w="90"/>
              <w:right w:type="dxa" w:w="120"/>
            </w:tcMar>
            <w:vAlign w:val="center"/>
          </w:tcPr>
          <w:p>
            <w:r>
              <w:rPr>
                <w:color w:val="222222"/>
                <w:sz w:val="19"/>
                <w:szCs w:val="19"/>
              </w:rPr>
              <w:t xml:space="preserve">88.34%</w:t>
            </w:r>
          </w:p>
        </w:tc>
      </w:tr>
      <w:tr>
        <w:tc>
          <w:tcPr>
            <w:tcW w:type="dxa" w:w="1800"/>
            <w:shd w:fill="EAF4EE" w:val="clear"/>
            <w:tcMar>
              <w:top w:type="dxa" w:w="90"/>
              <w:left w:type="dxa" w:w="120"/>
              <w:bottom w:type="dxa" w:w="90"/>
              <w:right w:type="dxa" w:w="120"/>
            </w:tcMar>
            <w:vAlign w:val="center"/>
          </w:tcPr>
          <w:p>
            <w:r>
              <w:rPr>
                <w:color w:val="222222"/>
                <w:sz w:val="19"/>
                <w:szCs w:val="19"/>
              </w:rPr>
              <w:t xml:space="preserve">order_reviews</w:t>
            </w:r>
          </w:p>
        </w:tc>
        <w:tc>
          <w:tcPr>
            <w:tcW w:type="dxa" w:w="4200"/>
            <w:shd w:fill="EAF4EE" w:val="clear"/>
            <w:tcMar>
              <w:top w:type="dxa" w:w="90"/>
              <w:left w:type="dxa" w:w="120"/>
              <w:bottom w:type="dxa" w:w="90"/>
              <w:right w:type="dxa" w:w="120"/>
            </w:tcMar>
            <w:vAlign w:val="center"/>
          </w:tcPr>
          <w:p>
            <w:r>
              <w:rPr>
                <w:color w:val="222222"/>
                <w:sz w:val="19"/>
                <w:szCs w:val="19"/>
              </w:rPr>
              <w:t xml:space="preserve">review_comment_message</w:t>
            </w:r>
          </w:p>
        </w:tc>
        <w:tc>
          <w:tcPr>
            <w:tcW w:type="dxa" w:w="1800"/>
            <w:shd w:fill="EAF4EE" w:val="clear"/>
            <w:tcMar>
              <w:top w:type="dxa" w:w="90"/>
              <w:left w:type="dxa" w:w="120"/>
              <w:bottom w:type="dxa" w:w="90"/>
              <w:right w:type="dxa" w:w="120"/>
            </w:tcMar>
            <w:vAlign w:val="center"/>
          </w:tcPr>
          <w:p>
            <w:r>
              <w:rPr>
                <w:color w:val="222222"/>
                <w:sz w:val="19"/>
                <w:szCs w:val="19"/>
              </w:rPr>
              <w:t xml:space="preserve">58,247</w:t>
            </w:r>
          </w:p>
        </w:tc>
        <w:tc>
          <w:tcPr>
            <w:tcW w:type="dxa" w:w="1550"/>
            <w:shd w:fill="EAF4EE" w:val="clear"/>
            <w:tcMar>
              <w:top w:type="dxa" w:w="90"/>
              <w:left w:type="dxa" w:w="120"/>
              <w:bottom w:type="dxa" w:w="90"/>
              <w:right w:type="dxa" w:w="120"/>
            </w:tcMar>
            <w:vAlign w:val="center"/>
          </w:tcPr>
          <w:p>
            <w:r>
              <w:rPr>
                <w:color w:val="222222"/>
                <w:sz w:val="19"/>
                <w:szCs w:val="19"/>
              </w:rPr>
              <w:t xml:space="preserve">58.70%</w:t>
            </w:r>
          </w:p>
        </w:tc>
      </w:tr>
      <w:tr>
        <w:tc>
          <w:tcPr>
            <w:tcW w:type="dxa" w:w="1800"/>
            <w:shd w:fill="FFFFFF" w:val="clear"/>
            <w:tcMar>
              <w:top w:type="dxa" w:w="90"/>
              <w:left w:type="dxa" w:w="120"/>
              <w:bottom w:type="dxa" w:w="90"/>
              <w:right w:type="dxa" w:w="120"/>
            </w:tcMar>
            <w:vAlign w:val="center"/>
          </w:tcPr>
          <w:p>
            <w:r>
              <w:rPr>
                <w:color w:val="222222"/>
                <w:sz w:val="19"/>
                <w:szCs w:val="19"/>
              </w:rPr>
              <w:t xml:space="preserve">orders</w:t>
            </w:r>
          </w:p>
        </w:tc>
        <w:tc>
          <w:tcPr>
            <w:tcW w:type="dxa" w:w="4200"/>
            <w:shd w:fill="FFFFFF" w:val="clear"/>
            <w:tcMar>
              <w:top w:type="dxa" w:w="90"/>
              <w:left w:type="dxa" w:w="120"/>
              <w:bottom w:type="dxa" w:w="90"/>
              <w:right w:type="dxa" w:w="120"/>
            </w:tcMar>
            <w:vAlign w:val="center"/>
          </w:tcPr>
          <w:p>
            <w:r>
              <w:rPr>
                <w:color w:val="222222"/>
                <w:sz w:val="19"/>
                <w:szCs w:val="19"/>
              </w:rPr>
              <w:t xml:space="preserve">order_delivered_customer_date</w:t>
            </w:r>
          </w:p>
        </w:tc>
        <w:tc>
          <w:tcPr>
            <w:tcW w:type="dxa" w:w="1800"/>
            <w:shd w:fill="FFFFFF" w:val="clear"/>
            <w:tcMar>
              <w:top w:type="dxa" w:w="90"/>
              <w:left w:type="dxa" w:w="120"/>
              <w:bottom w:type="dxa" w:w="90"/>
              <w:right w:type="dxa" w:w="120"/>
            </w:tcMar>
            <w:vAlign w:val="center"/>
          </w:tcPr>
          <w:p>
            <w:r>
              <w:rPr>
                <w:color w:val="222222"/>
                <w:sz w:val="19"/>
                <w:szCs w:val="19"/>
              </w:rPr>
              <w:t xml:space="preserve">2,965</w:t>
            </w:r>
          </w:p>
        </w:tc>
        <w:tc>
          <w:tcPr>
            <w:tcW w:type="dxa" w:w="1550"/>
            <w:shd w:fill="FFFFFF" w:val="clear"/>
            <w:tcMar>
              <w:top w:type="dxa" w:w="90"/>
              <w:left w:type="dxa" w:w="120"/>
              <w:bottom w:type="dxa" w:w="90"/>
              <w:right w:type="dxa" w:w="120"/>
            </w:tcMar>
            <w:vAlign w:val="center"/>
          </w:tcPr>
          <w:p>
            <w:r>
              <w:rPr>
                <w:color w:val="222222"/>
                <w:sz w:val="19"/>
                <w:szCs w:val="19"/>
              </w:rPr>
              <w:t xml:space="preserve">2.98%</w:t>
            </w:r>
          </w:p>
        </w:tc>
      </w:tr>
      <w:tr>
        <w:tc>
          <w:tcPr>
            <w:tcW w:type="dxa" w:w="1800"/>
            <w:shd w:fill="EAF4EE" w:val="clear"/>
            <w:tcMar>
              <w:top w:type="dxa" w:w="90"/>
              <w:left w:type="dxa" w:w="120"/>
              <w:bottom w:type="dxa" w:w="90"/>
              <w:right w:type="dxa" w:w="120"/>
            </w:tcMar>
            <w:vAlign w:val="center"/>
          </w:tcPr>
          <w:p>
            <w:r>
              <w:rPr>
                <w:color w:val="222222"/>
                <w:sz w:val="19"/>
                <w:szCs w:val="19"/>
              </w:rPr>
              <w:t xml:space="preserve">orders</w:t>
            </w:r>
          </w:p>
        </w:tc>
        <w:tc>
          <w:tcPr>
            <w:tcW w:type="dxa" w:w="4200"/>
            <w:shd w:fill="EAF4EE" w:val="clear"/>
            <w:tcMar>
              <w:top w:type="dxa" w:w="90"/>
              <w:left w:type="dxa" w:w="120"/>
              <w:bottom w:type="dxa" w:w="90"/>
              <w:right w:type="dxa" w:w="120"/>
            </w:tcMar>
            <w:vAlign w:val="center"/>
          </w:tcPr>
          <w:p>
            <w:r>
              <w:rPr>
                <w:color w:val="222222"/>
                <w:sz w:val="19"/>
                <w:szCs w:val="19"/>
              </w:rPr>
              <w:t xml:space="preserve">order_delivered_carrier_date</w:t>
            </w:r>
          </w:p>
        </w:tc>
        <w:tc>
          <w:tcPr>
            <w:tcW w:type="dxa" w:w="1800"/>
            <w:shd w:fill="EAF4EE" w:val="clear"/>
            <w:tcMar>
              <w:top w:type="dxa" w:w="90"/>
              <w:left w:type="dxa" w:w="120"/>
              <w:bottom w:type="dxa" w:w="90"/>
              <w:right w:type="dxa" w:w="120"/>
            </w:tcMar>
            <w:vAlign w:val="center"/>
          </w:tcPr>
          <w:p>
            <w:r>
              <w:rPr>
                <w:color w:val="222222"/>
                <w:sz w:val="19"/>
                <w:szCs w:val="19"/>
              </w:rPr>
              <w:t xml:space="preserve">1,783</w:t>
            </w:r>
          </w:p>
        </w:tc>
        <w:tc>
          <w:tcPr>
            <w:tcW w:type="dxa" w:w="1550"/>
            <w:shd w:fill="EAF4EE" w:val="clear"/>
            <w:tcMar>
              <w:top w:type="dxa" w:w="90"/>
              <w:left w:type="dxa" w:w="120"/>
              <w:bottom w:type="dxa" w:w="90"/>
              <w:right w:type="dxa" w:w="120"/>
            </w:tcMar>
            <w:vAlign w:val="center"/>
          </w:tcPr>
          <w:p>
            <w:r>
              <w:rPr>
                <w:color w:val="222222"/>
                <w:sz w:val="19"/>
                <w:szCs w:val="19"/>
              </w:rPr>
              <w:t xml:space="preserve">1.79%</w:t>
            </w:r>
          </w:p>
        </w:tc>
      </w:tr>
      <w:tr>
        <w:tc>
          <w:tcPr>
            <w:tcW w:type="dxa" w:w="1800"/>
            <w:shd w:fill="FFFFFF" w:val="clear"/>
            <w:tcMar>
              <w:top w:type="dxa" w:w="90"/>
              <w:left w:type="dxa" w:w="120"/>
              <w:bottom w:type="dxa" w:w="90"/>
              <w:right w:type="dxa" w:w="120"/>
            </w:tcMar>
            <w:vAlign w:val="center"/>
          </w:tcPr>
          <w:p>
            <w:r>
              <w:rPr>
                <w:color w:val="222222"/>
                <w:sz w:val="19"/>
                <w:szCs w:val="19"/>
              </w:rPr>
              <w:t xml:space="preserve">products</w:t>
            </w:r>
          </w:p>
        </w:tc>
        <w:tc>
          <w:tcPr>
            <w:tcW w:type="dxa" w:w="4200"/>
            <w:shd w:fill="FFFFFF" w:val="clear"/>
            <w:tcMar>
              <w:top w:type="dxa" w:w="90"/>
              <w:left w:type="dxa" w:w="120"/>
              <w:bottom w:type="dxa" w:w="90"/>
              <w:right w:type="dxa" w:w="120"/>
            </w:tcMar>
            <w:vAlign w:val="center"/>
          </w:tcPr>
          <w:p>
            <w:r>
              <w:rPr>
                <w:color w:val="222222"/>
                <w:sz w:val="19"/>
                <w:szCs w:val="19"/>
              </w:rPr>
              <w:t xml:space="preserve">category name / name length / desc length / photos qty</w:t>
            </w:r>
          </w:p>
        </w:tc>
        <w:tc>
          <w:tcPr>
            <w:tcW w:type="dxa" w:w="1800"/>
            <w:shd w:fill="FFFFFF" w:val="clear"/>
            <w:tcMar>
              <w:top w:type="dxa" w:w="90"/>
              <w:left w:type="dxa" w:w="120"/>
              <w:bottom w:type="dxa" w:w="90"/>
              <w:right w:type="dxa" w:w="120"/>
            </w:tcMar>
            <w:vAlign w:val="center"/>
          </w:tcPr>
          <w:p>
            <w:r>
              <w:rPr>
                <w:color w:val="222222"/>
                <w:sz w:val="19"/>
                <w:szCs w:val="19"/>
              </w:rPr>
              <w:t xml:space="preserve">610</w:t>
            </w:r>
          </w:p>
        </w:tc>
        <w:tc>
          <w:tcPr>
            <w:tcW w:type="dxa" w:w="1550"/>
            <w:shd w:fill="FFFFFF" w:val="clear"/>
            <w:tcMar>
              <w:top w:type="dxa" w:w="90"/>
              <w:left w:type="dxa" w:w="120"/>
              <w:bottom w:type="dxa" w:w="90"/>
              <w:right w:type="dxa" w:w="120"/>
            </w:tcMar>
            <w:vAlign w:val="center"/>
          </w:tcPr>
          <w:p>
            <w:r>
              <w:rPr>
                <w:color w:val="222222"/>
                <w:sz w:val="19"/>
                <w:szCs w:val="19"/>
              </w:rPr>
              <w:t xml:space="preserve">1.85%</w:t>
            </w:r>
          </w:p>
        </w:tc>
      </w:tr>
      <w:tr>
        <w:tc>
          <w:tcPr>
            <w:tcW w:type="dxa" w:w="1800"/>
            <w:shd w:fill="EAF4EE" w:val="clear"/>
            <w:tcMar>
              <w:top w:type="dxa" w:w="90"/>
              <w:left w:type="dxa" w:w="120"/>
              <w:bottom w:type="dxa" w:w="90"/>
              <w:right w:type="dxa" w:w="120"/>
            </w:tcMar>
            <w:vAlign w:val="center"/>
          </w:tcPr>
          <w:p>
            <w:r>
              <w:rPr>
                <w:color w:val="222222"/>
                <w:sz w:val="19"/>
                <w:szCs w:val="19"/>
              </w:rPr>
              <w:t xml:space="preserve">orders</w:t>
            </w:r>
          </w:p>
        </w:tc>
        <w:tc>
          <w:tcPr>
            <w:tcW w:type="dxa" w:w="4200"/>
            <w:shd w:fill="EAF4EE" w:val="clear"/>
            <w:tcMar>
              <w:top w:type="dxa" w:w="90"/>
              <w:left w:type="dxa" w:w="120"/>
              <w:bottom w:type="dxa" w:w="90"/>
              <w:right w:type="dxa" w:w="120"/>
            </w:tcMar>
            <w:vAlign w:val="center"/>
          </w:tcPr>
          <w:p>
            <w:r>
              <w:rPr>
                <w:color w:val="222222"/>
                <w:sz w:val="19"/>
                <w:szCs w:val="19"/>
              </w:rPr>
              <w:t xml:space="preserve">order_approved_at</w:t>
            </w:r>
          </w:p>
        </w:tc>
        <w:tc>
          <w:tcPr>
            <w:tcW w:type="dxa" w:w="1800"/>
            <w:shd w:fill="EAF4EE" w:val="clear"/>
            <w:tcMar>
              <w:top w:type="dxa" w:w="90"/>
              <w:left w:type="dxa" w:w="120"/>
              <w:bottom w:type="dxa" w:w="90"/>
              <w:right w:type="dxa" w:w="120"/>
            </w:tcMar>
            <w:vAlign w:val="center"/>
          </w:tcPr>
          <w:p>
            <w:r>
              <w:rPr>
                <w:color w:val="222222"/>
                <w:sz w:val="19"/>
                <w:szCs w:val="19"/>
              </w:rPr>
              <w:t xml:space="preserve">160</w:t>
            </w:r>
          </w:p>
        </w:tc>
        <w:tc>
          <w:tcPr>
            <w:tcW w:type="dxa" w:w="1550"/>
            <w:shd w:fill="EAF4EE" w:val="clear"/>
            <w:tcMar>
              <w:top w:type="dxa" w:w="90"/>
              <w:left w:type="dxa" w:w="120"/>
              <w:bottom w:type="dxa" w:w="90"/>
              <w:right w:type="dxa" w:w="120"/>
            </w:tcMar>
            <w:vAlign w:val="center"/>
          </w:tcPr>
          <w:p>
            <w:r>
              <w:rPr>
                <w:color w:val="222222"/>
                <w:sz w:val="19"/>
                <w:szCs w:val="19"/>
              </w:rPr>
              <w:t xml:space="preserve">0.16%</w:t>
            </w:r>
          </w:p>
        </w:tc>
      </w:tr>
      <w:tr>
        <w:tc>
          <w:tcPr>
            <w:tcW w:type="dxa" w:w="1800"/>
            <w:shd w:fill="FFFFFF" w:val="clear"/>
            <w:tcMar>
              <w:top w:type="dxa" w:w="90"/>
              <w:left w:type="dxa" w:w="120"/>
              <w:bottom w:type="dxa" w:w="90"/>
              <w:right w:type="dxa" w:w="120"/>
            </w:tcMar>
            <w:vAlign w:val="center"/>
          </w:tcPr>
          <w:p>
            <w:r>
              <w:rPr>
                <w:color w:val="222222"/>
                <w:sz w:val="19"/>
                <w:szCs w:val="19"/>
              </w:rPr>
              <w:t xml:space="preserve">products</w:t>
            </w:r>
          </w:p>
        </w:tc>
        <w:tc>
          <w:tcPr>
            <w:tcW w:type="dxa" w:w="4200"/>
            <w:shd w:fill="FFFFFF" w:val="clear"/>
            <w:tcMar>
              <w:top w:type="dxa" w:w="90"/>
              <w:left w:type="dxa" w:w="120"/>
              <w:bottom w:type="dxa" w:w="90"/>
              <w:right w:type="dxa" w:w="120"/>
            </w:tcMar>
            <w:vAlign w:val="center"/>
          </w:tcPr>
          <w:p>
            <w:r>
              <w:rPr>
                <w:color w:val="222222"/>
                <w:sz w:val="19"/>
                <w:szCs w:val="19"/>
              </w:rPr>
              <w:t xml:space="preserve">weight_g / dimensions</w:t>
            </w:r>
          </w:p>
        </w:tc>
        <w:tc>
          <w:tcPr>
            <w:tcW w:type="dxa" w:w="1800"/>
            <w:shd w:fill="FFFFFF" w:val="clear"/>
            <w:tcMar>
              <w:top w:type="dxa" w:w="90"/>
              <w:left w:type="dxa" w:w="120"/>
              <w:bottom w:type="dxa" w:w="90"/>
              <w:right w:type="dxa" w:w="120"/>
            </w:tcMar>
            <w:vAlign w:val="center"/>
          </w:tcPr>
          <w:p>
            <w:r>
              <w:rPr>
                <w:color w:val="222222"/>
                <w:sz w:val="19"/>
                <w:szCs w:val="19"/>
              </w:rPr>
              <w:t xml:space="preserve">2</w:t>
            </w:r>
          </w:p>
        </w:tc>
        <w:tc>
          <w:tcPr>
            <w:tcW w:type="dxa" w:w="1550"/>
            <w:shd w:fill="FFFFFF" w:val="clear"/>
            <w:tcMar>
              <w:top w:type="dxa" w:w="90"/>
              <w:left w:type="dxa" w:w="120"/>
              <w:bottom w:type="dxa" w:w="90"/>
              <w:right w:type="dxa" w:w="120"/>
            </w:tcMar>
            <w:vAlign w:val="center"/>
          </w:tcPr>
          <w:p>
            <w:r>
              <w:rPr>
                <w:color w:val="222222"/>
                <w:sz w:val="19"/>
                <w:szCs w:val="19"/>
              </w:rPr>
              <w:t xml:space="preserve">0.01%</w:t>
            </w:r>
          </w:p>
        </w:tc>
      </w:tr>
    </w:tbl>
    <w:p>
      <w:pPr>
        <w:spacing w:after="120"/>
      </w:pPr>
    </w:p>
    <w:p>
      <w:pPr>
        <w:spacing w:after="160" w:line="300"/>
      </w:pPr>
      <w:r>
        <w:rPr>
          <w:color w:val="222222"/>
          <w:sz w:val="21"/>
          <w:szCs w:val="21"/>
        </w:rPr>
        <w:t xml:space="preserve">Missing review comment fields are expected — writing a comment is optional. Missing delivery dates cluster in orders that were canceled or never delivered.</w:t>
      </w:r>
    </w:p>
    <w:p>
      <w:pPr>
        <w:pStyle w:val="Heading2"/>
        <w:spacing w:after="150" w:before="300"/>
      </w:pPr>
      <w:r>
        <w:rPr>
          <w:b/>
          <w:bCs/>
          <w:color w:val="2E7D4F"/>
          <w:sz w:val="26"/>
          <w:szCs w:val="26"/>
        </w:rPr>
        <w:t xml:space="preserve">4.3 Duplicate Records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450"/>
      </w:tblGrid>
      <w:tr>
        <w:trPr>
          <w:tblHeader/>
        </w:trPr>
        <w:tc>
          <w:tcPr>
            <w:tcW w:type="dxa" w:w="2600"/>
            <w:shd w:fill="2E5B41" w:val="clear"/>
            <w:tcMar>
              <w:top w:type="dxa" w:w="100"/>
              <w:left w:type="dxa" w:w="120"/>
              <w:bottom w:type="dxa" w:w="100"/>
              <w:right w:type="dxa" w:w="120"/>
            </w:tcMar>
            <w:vAlign w:val="center"/>
          </w:tcPr>
          <w:p>
            <w:r>
              <w:rPr>
                <w:b/>
                <w:bCs/>
                <w:color w:val="FFFFFF"/>
                <w:sz w:val="19"/>
                <w:szCs w:val="19"/>
              </w:rPr>
              <w:t xml:space="preserve">Table</w:t>
            </w:r>
          </w:p>
        </w:tc>
        <w:tc>
          <w:tcPr>
            <w:tcW w:type="dxa" w:w="4300"/>
            <w:shd w:fill="2E5B41" w:val="clear"/>
            <w:tcMar>
              <w:top w:type="dxa" w:w="100"/>
              <w:left w:type="dxa" w:w="120"/>
              <w:bottom w:type="dxa" w:w="100"/>
              <w:right w:type="dxa" w:w="120"/>
            </w:tcMar>
            <w:vAlign w:val="center"/>
          </w:tcPr>
          <w:p>
            <w:r>
              <w:rPr>
                <w:b/>
                <w:bCs/>
                <w:color w:val="FFFFFF"/>
                <w:sz w:val="19"/>
                <w:szCs w:val="19"/>
              </w:rPr>
              <w:t xml:space="preserve">Duplicate Type</w:t>
            </w:r>
          </w:p>
        </w:tc>
        <w:tc>
          <w:tcPr>
            <w:tcW w:type="dxa" w:w="2450"/>
            <w:shd w:fill="2E5B41" w:val="clear"/>
            <w:tcMar>
              <w:top w:type="dxa" w:w="100"/>
              <w:left w:type="dxa" w:w="120"/>
              <w:bottom w:type="dxa" w:w="100"/>
              <w:right w:type="dxa" w:w="120"/>
            </w:tcMar>
            <w:vAlign w:val="center"/>
          </w:tcPr>
          <w:p>
            <w:r>
              <w:rPr>
                <w:b/>
                <w:bCs/>
                <w:color w:val="FFFFFF"/>
                <w:sz w:val="19"/>
                <w:szCs w:val="19"/>
              </w:rPr>
              <w:t xml:space="preserve">Count</w:t>
            </w:r>
          </w:p>
        </w:tc>
      </w:tr>
      <w:tr>
        <w:tc>
          <w:tcPr>
            <w:tcW w:type="dxa" w:w="2600"/>
            <w:shd w:fill="FFFFFF" w:val="clear"/>
            <w:tcMar>
              <w:top w:type="dxa" w:w="90"/>
              <w:left w:type="dxa" w:w="120"/>
              <w:bottom w:type="dxa" w:w="90"/>
              <w:right w:type="dxa" w:w="120"/>
            </w:tcMar>
            <w:vAlign w:val="center"/>
          </w:tcPr>
          <w:p>
            <w:r>
              <w:rPr>
                <w:color w:val="222222"/>
                <w:sz w:val="19"/>
                <w:szCs w:val="19"/>
              </w:rPr>
              <w:t xml:space="preserve">geolocation</w:t>
            </w:r>
          </w:p>
        </w:tc>
        <w:tc>
          <w:tcPr>
            <w:tcW w:type="dxa" w:w="4300"/>
            <w:shd w:fill="FFFFFF" w:val="clear"/>
            <w:tcMar>
              <w:top w:type="dxa" w:w="90"/>
              <w:left w:type="dxa" w:w="120"/>
              <w:bottom w:type="dxa" w:w="90"/>
              <w:right w:type="dxa" w:w="120"/>
            </w:tcMar>
            <w:vAlign w:val="center"/>
          </w:tcPr>
          <w:p>
            <w:r>
              <w:rPr>
                <w:color w:val="222222"/>
                <w:sz w:val="19"/>
                <w:szCs w:val="19"/>
              </w:rPr>
              <w:t xml:space="preserve">Full-row duplicates</w:t>
            </w:r>
          </w:p>
        </w:tc>
        <w:tc>
          <w:tcPr>
            <w:tcW w:type="dxa" w:w="2450"/>
            <w:shd w:fill="FFFFFF" w:val="clear"/>
            <w:tcMar>
              <w:top w:type="dxa" w:w="90"/>
              <w:left w:type="dxa" w:w="120"/>
              <w:bottom w:type="dxa" w:w="90"/>
              <w:right w:type="dxa" w:w="120"/>
            </w:tcMar>
            <w:vAlign w:val="center"/>
          </w:tcPr>
          <w:p>
            <w:r>
              <w:rPr>
                <w:color w:val="222222"/>
                <w:sz w:val="19"/>
                <w:szCs w:val="19"/>
              </w:rPr>
              <w:t xml:space="preserve">261,831</w:t>
            </w:r>
          </w:p>
        </w:tc>
      </w:tr>
      <w:tr>
        <w:tc>
          <w:tcPr>
            <w:tcW w:type="dxa" w:w="2600"/>
            <w:shd w:fill="EAF4EE" w:val="clear"/>
            <w:tcMar>
              <w:top w:type="dxa" w:w="90"/>
              <w:left w:type="dxa" w:w="120"/>
              <w:bottom w:type="dxa" w:w="90"/>
              <w:right w:type="dxa" w:w="120"/>
            </w:tcMar>
            <w:vAlign w:val="center"/>
          </w:tcPr>
          <w:p>
            <w:r>
              <w:rPr>
                <w:color w:val="222222"/>
                <w:sz w:val="19"/>
                <w:szCs w:val="19"/>
              </w:rPr>
              <w:t xml:space="preserve">order_reviews</w:t>
            </w:r>
          </w:p>
        </w:tc>
        <w:tc>
          <w:tcPr>
            <w:tcW w:type="dxa" w:w="4300"/>
            <w:shd w:fill="EAF4EE" w:val="clear"/>
            <w:tcMar>
              <w:top w:type="dxa" w:w="90"/>
              <w:left w:type="dxa" w:w="120"/>
              <w:bottom w:type="dxa" w:w="90"/>
              <w:right w:type="dxa" w:w="120"/>
            </w:tcMar>
            <w:vAlign w:val="center"/>
          </w:tcPr>
          <w:p>
            <w:r>
              <w:rPr>
                <w:color w:val="222222"/>
                <w:sz w:val="19"/>
                <w:szCs w:val="19"/>
              </w:rPr>
              <w:t xml:space="preserve">Duplicate review_id</w:t>
            </w:r>
          </w:p>
        </w:tc>
        <w:tc>
          <w:tcPr>
            <w:tcW w:type="dxa" w:w="2450"/>
            <w:shd w:fill="EAF4EE" w:val="clear"/>
            <w:tcMar>
              <w:top w:type="dxa" w:w="90"/>
              <w:left w:type="dxa" w:w="120"/>
              <w:bottom w:type="dxa" w:w="90"/>
              <w:right w:type="dxa" w:w="120"/>
            </w:tcMar>
            <w:vAlign w:val="center"/>
          </w:tcPr>
          <w:p>
            <w:r>
              <w:rPr>
                <w:color w:val="222222"/>
                <w:sz w:val="19"/>
                <w:szCs w:val="19"/>
              </w:rPr>
              <w:t xml:space="preserve">1,603 rows (814 IDs)</w:t>
            </w:r>
          </w:p>
        </w:tc>
      </w:tr>
      <w:tr>
        <w:tc>
          <w:tcPr>
            <w:tcW w:type="dxa" w:w="2600"/>
            <w:shd w:fill="FFFFFF" w:val="clear"/>
            <w:tcMar>
              <w:top w:type="dxa" w:w="90"/>
              <w:left w:type="dxa" w:w="120"/>
              <w:bottom w:type="dxa" w:w="90"/>
              <w:right w:type="dxa" w:w="120"/>
            </w:tcMar>
            <w:vAlign w:val="center"/>
          </w:tcPr>
          <w:p>
            <w:r>
              <w:rPr>
                <w:color w:val="222222"/>
                <w:sz w:val="19"/>
                <w:szCs w:val="19"/>
              </w:rPr>
              <w:t xml:space="preserve">order_reviews</w:t>
            </w:r>
          </w:p>
        </w:tc>
        <w:tc>
          <w:tcPr>
            <w:tcW w:type="dxa" w:w="4300"/>
            <w:shd w:fill="FFFFFF" w:val="clear"/>
            <w:tcMar>
              <w:top w:type="dxa" w:w="90"/>
              <w:left w:type="dxa" w:w="120"/>
              <w:bottom w:type="dxa" w:w="90"/>
              <w:right w:type="dxa" w:w="120"/>
            </w:tcMar>
            <w:vAlign w:val="center"/>
          </w:tcPr>
          <w:p>
            <w:r>
              <w:rPr>
                <w:color w:val="222222"/>
                <w:sz w:val="19"/>
                <w:szCs w:val="19"/>
              </w:rPr>
              <w:t xml:space="preserve">Duplicate order_id (multiple reviews/order)</w:t>
            </w:r>
          </w:p>
        </w:tc>
        <w:tc>
          <w:tcPr>
            <w:tcW w:type="dxa" w:w="2450"/>
            <w:shd w:fill="FFFFFF" w:val="clear"/>
            <w:tcMar>
              <w:top w:type="dxa" w:w="90"/>
              <w:left w:type="dxa" w:w="120"/>
              <w:bottom w:type="dxa" w:w="90"/>
              <w:right w:type="dxa" w:w="120"/>
            </w:tcMar>
            <w:vAlign w:val="center"/>
          </w:tcPr>
          <w:p>
            <w:r>
              <w:rPr>
                <w:color w:val="222222"/>
                <w:sz w:val="19"/>
                <w:szCs w:val="19"/>
              </w:rPr>
              <w:t xml:space="preserve">1,098 rows</w:t>
            </w:r>
          </w:p>
        </w:tc>
      </w:tr>
      <w:tr>
        <w:tc>
          <w:tcPr>
            <w:tcW w:type="dxa" w:w="2600"/>
            <w:shd w:fill="EAF4EE" w:val="clear"/>
            <w:tcMar>
              <w:top w:type="dxa" w:w="90"/>
              <w:left w:type="dxa" w:w="120"/>
              <w:bottom w:type="dxa" w:w="90"/>
              <w:right w:type="dxa" w:w="120"/>
            </w:tcMar>
            <w:vAlign w:val="center"/>
          </w:tcPr>
          <w:p>
            <w:r>
              <w:rPr>
                <w:color w:val="222222"/>
                <w:sz w:val="19"/>
                <w:szCs w:val="19"/>
              </w:rPr>
              <w:t xml:space="preserve">customers / order_items / order_payments / orders / products / sellers</w:t>
            </w:r>
          </w:p>
        </w:tc>
        <w:tc>
          <w:tcPr>
            <w:tcW w:type="dxa" w:w="4300"/>
            <w:shd w:fill="EAF4EE" w:val="clear"/>
            <w:tcMar>
              <w:top w:type="dxa" w:w="90"/>
              <w:left w:type="dxa" w:w="120"/>
              <w:bottom w:type="dxa" w:w="90"/>
              <w:right w:type="dxa" w:w="120"/>
            </w:tcMar>
            <w:vAlign w:val="center"/>
          </w:tcPr>
          <w:p>
            <w:r>
              <w:rPr>
                <w:color w:val="222222"/>
                <w:sz w:val="19"/>
                <w:szCs w:val="19"/>
              </w:rPr>
              <w:t xml:space="preserve">Full-row duplicates</w:t>
            </w:r>
          </w:p>
        </w:tc>
        <w:tc>
          <w:tcPr>
            <w:tcW w:type="dxa" w:w="2450"/>
            <w:shd w:fill="EAF4EE" w:val="clear"/>
            <w:tcMar>
              <w:top w:type="dxa" w:w="90"/>
              <w:left w:type="dxa" w:w="120"/>
              <w:bottom w:type="dxa" w:w="90"/>
              <w:right w:type="dxa" w:w="120"/>
            </w:tcMar>
            <w:vAlign w:val="center"/>
          </w:tcPr>
          <w:p>
            <w:r>
              <w:rPr>
                <w:color w:val="222222"/>
                <w:sz w:val="19"/>
                <w:szCs w:val="19"/>
              </w:rPr>
              <w:t xml:space="preserve">0</w:t>
            </w:r>
          </w:p>
        </w:tc>
      </w:tr>
    </w:tbl>
    <w:p>
      <w:pPr>
        <w:spacing w:after="120"/>
      </w:pPr>
    </w:p>
    <w:tbl>
      <w:tblPr>
        <w:tblW w:type="dxa" w:w="9350"/>
        <w:tblBorders>
          <w:top w:val="single" w:color="4CA372" w:sz="4"/>
          <w:left w:val="single" w:color="4CA372" w:sz="24"/>
          <w:bottom w:val="single" w:color="4CA372" w:sz="4"/>
          <w:right w:val="single" w:color="4CA372" w:sz="4"/>
          <w:insideH w:val="single" w:color="auto" w:sz="4"/>
          <w:insideV w:val="single" w:color="auto" w:sz="4"/>
        </w:tblBorders>
      </w:tblPr>
      <w:tblGrid>
        <w:gridCol w:w="100"/>
      </w:tblGrid>
      <w:tr>
        <w:tc>
          <w:tcPr>
            <w:shd w:fill="EAF4EE" w:val="clear"/>
            <w:tcMar>
              <w:top w:type="dxa" w:w="160"/>
              <w:left w:type="dxa" w:w="220"/>
              <w:bottom w:type="dxa" w:w="160"/>
              <w:right w:type="dxa" w:w="220"/>
            </w:tcMar>
          </w:tcPr>
          <w:p>
            <w:pPr>
              <w:spacing w:after="60"/>
            </w:pPr>
            <w:r>
              <w:rPr>
                <w:b/>
                <w:bCs/>
                <w:color w:val="2E7D4F"/>
                <w:sz w:val="18"/>
                <w:szCs w:val="18"/>
              </w:rPr>
              <w:t xml:space="preserve">CRITICAL ISSUE</w:t>
            </w:r>
          </w:p>
          <w:p>
            <w:pPr>
              <w:spacing w:after="0"/>
            </w:pPr>
            <w:r>
              <w:rPr>
                <w:color w:val="222222"/>
                <w:sz w:val="21"/>
                <w:szCs w:val="21"/>
              </w:rPr>
              <w:t xml:space="preserve">The 261,831 duplicate rows in geolocation (26% of that table) is the single largest data-quality issue in the dataset and required deduplication before the table could be reliably used for zip-code-level joins.</w:t>
            </w:r>
          </w:p>
        </w:tc>
      </w:tr>
    </w:tbl>
    <w:p>
      <w:pPr>
        <w:pStyle w:val="Heading2"/>
        <w:spacing w:after="150" w:before="300"/>
      </w:pPr>
      <w:r>
        <w:rPr>
          <w:b/>
          <w:bCs/>
          <w:color w:val="2E7D4F"/>
          <w:sz w:val="26"/>
          <w:szCs w:val="26"/>
        </w:rPr>
        <w:t xml:space="preserve">4.4 Business Rule Validation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200"/>
        <w:gridCol w:w="4150"/>
      </w:tblGrid>
      <w:tr>
        <w:trPr>
          <w:tblHeader/>
        </w:trPr>
        <w:tc>
          <w:tcPr>
            <w:tcW w:type="dxa" w:w="5200"/>
            <w:shd w:fill="2E5B41" w:val="clear"/>
            <w:tcMar>
              <w:top w:type="dxa" w:w="100"/>
              <w:left w:type="dxa" w:w="120"/>
              <w:bottom w:type="dxa" w:w="100"/>
              <w:right w:type="dxa" w:w="120"/>
            </w:tcMar>
            <w:vAlign w:val="center"/>
          </w:tcPr>
          <w:p>
            <w:r>
              <w:rPr>
                <w:b/>
                <w:bCs/>
                <w:color w:val="FFFFFF"/>
                <w:sz w:val="19"/>
                <w:szCs w:val="19"/>
              </w:rPr>
              <w:t xml:space="preserve">Rule</w:t>
            </w:r>
          </w:p>
        </w:tc>
        <w:tc>
          <w:tcPr>
            <w:tcW w:type="dxa" w:w="4150"/>
            <w:shd w:fill="2E5B41" w:val="clear"/>
            <w:tcMar>
              <w:top w:type="dxa" w:w="100"/>
              <w:left w:type="dxa" w:w="120"/>
              <w:bottom w:type="dxa" w:w="100"/>
              <w:right w:type="dxa" w:w="120"/>
            </w:tcMar>
            <w:vAlign w:val="center"/>
          </w:tcPr>
          <w:p>
            <w:r>
              <w:rPr>
                <w:b/>
                <w:bCs/>
                <w:color w:val="FFFFFF"/>
                <w:sz w:val="19"/>
                <w:szCs w:val="19"/>
              </w:rPr>
              <w:t xml:space="preserve">Result</w:t>
            </w:r>
          </w:p>
        </w:tc>
      </w:tr>
      <w:tr>
        <w:tc>
          <w:tcPr>
            <w:tcW w:type="dxa" w:w="5200"/>
            <w:shd w:fill="FFFFFF" w:val="clear"/>
            <w:tcMar>
              <w:top w:type="dxa" w:w="90"/>
              <w:left w:type="dxa" w:w="120"/>
              <w:bottom w:type="dxa" w:w="90"/>
              <w:right w:type="dxa" w:w="120"/>
            </w:tcMar>
            <w:vAlign w:val="center"/>
          </w:tcPr>
          <w:p>
            <w:r>
              <w:rPr>
                <w:color w:val="222222"/>
                <w:sz w:val="19"/>
                <w:szCs w:val="19"/>
              </w:rPr>
              <w:t xml:space="preserve">price &gt; 0</w:t>
            </w:r>
          </w:p>
        </w:tc>
        <w:tc>
          <w:tcPr>
            <w:tcW w:type="dxa" w:w="4150"/>
            <w:shd w:fill="FFFFFF" w:val="clear"/>
            <w:tcMar>
              <w:top w:type="dxa" w:w="90"/>
              <w:left w:type="dxa" w:w="120"/>
              <w:bottom w:type="dxa" w:w="90"/>
              <w:right w:type="dxa" w:w="120"/>
            </w:tcMar>
            <w:vAlign w:val="center"/>
          </w:tcPr>
          <w:p>
            <w:r>
              <w:rPr>
                <w:color w:val="222222"/>
                <w:sz w:val="19"/>
                <w:szCs w:val="19"/>
              </w:rPr>
              <w:t xml:space="preserve">Pass (0 violations)</w:t>
            </w:r>
          </w:p>
        </w:tc>
      </w:tr>
      <w:tr>
        <w:tc>
          <w:tcPr>
            <w:tcW w:type="dxa" w:w="5200"/>
            <w:shd w:fill="EAF4EE" w:val="clear"/>
            <w:tcMar>
              <w:top w:type="dxa" w:w="90"/>
              <w:left w:type="dxa" w:w="120"/>
              <w:bottom w:type="dxa" w:w="90"/>
              <w:right w:type="dxa" w:w="120"/>
            </w:tcMar>
            <w:vAlign w:val="center"/>
          </w:tcPr>
          <w:p>
            <w:r>
              <w:rPr>
                <w:color w:val="222222"/>
                <w:sz w:val="19"/>
                <w:szCs w:val="19"/>
              </w:rPr>
              <w:t xml:space="preserve">freight_value &gt;= 0</w:t>
            </w:r>
          </w:p>
        </w:tc>
        <w:tc>
          <w:tcPr>
            <w:tcW w:type="dxa" w:w="4150"/>
            <w:shd w:fill="EAF4EE" w:val="clear"/>
            <w:tcMar>
              <w:top w:type="dxa" w:w="90"/>
              <w:left w:type="dxa" w:w="120"/>
              <w:bottom w:type="dxa" w:w="90"/>
              <w:right w:type="dxa" w:w="120"/>
            </w:tcMar>
            <w:vAlign w:val="center"/>
          </w:tcPr>
          <w:p>
            <w:r>
              <w:rPr>
                <w:color w:val="222222"/>
                <w:sz w:val="19"/>
                <w:szCs w:val="19"/>
              </w:rPr>
              <w:t xml:space="preserve">Pass (0 violations)</w:t>
            </w:r>
          </w:p>
        </w:tc>
      </w:tr>
      <w:tr>
        <w:tc>
          <w:tcPr>
            <w:tcW w:type="dxa" w:w="5200"/>
            <w:shd w:fill="FFFFFF" w:val="clear"/>
            <w:tcMar>
              <w:top w:type="dxa" w:w="90"/>
              <w:left w:type="dxa" w:w="120"/>
              <w:bottom w:type="dxa" w:w="90"/>
              <w:right w:type="dxa" w:w="120"/>
            </w:tcMar>
            <w:vAlign w:val="center"/>
          </w:tcPr>
          <w:p>
            <w:r>
              <w:rPr>
                <w:color w:val="222222"/>
                <w:sz w:val="19"/>
                <w:szCs w:val="19"/>
              </w:rPr>
              <w:t xml:space="preserve">payment_value &gt; 0</w:t>
            </w:r>
          </w:p>
        </w:tc>
        <w:tc>
          <w:tcPr>
            <w:tcW w:type="dxa" w:w="4150"/>
            <w:shd w:fill="FFFFFF" w:val="clear"/>
            <w:tcMar>
              <w:top w:type="dxa" w:w="90"/>
              <w:left w:type="dxa" w:w="120"/>
              <w:bottom w:type="dxa" w:w="90"/>
              <w:right w:type="dxa" w:w="120"/>
            </w:tcMar>
            <w:vAlign w:val="center"/>
          </w:tcPr>
          <w:p>
            <w:r>
              <w:rPr>
                <w:color w:val="222222"/>
                <w:sz w:val="19"/>
                <w:szCs w:val="19"/>
              </w:rPr>
              <w:t xml:space="preserve">Fail — 9 rows ≤ 0</w:t>
            </w:r>
          </w:p>
        </w:tc>
      </w:tr>
      <w:tr>
        <w:tc>
          <w:tcPr>
            <w:tcW w:type="dxa" w:w="5200"/>
            <w:shd w:fill="EAF4EE" w:val="clear"/>
            <w:tcMar>
              <w:top w:type="dxa" w:w="90"/>
              <w:left w:type="dxa" w:w="120"/>
              <w:bottom w:type="dxa" w:w="90"/>
              <w:right w:type="dxa" w:w="120"/>
            </w:tcMar>
            <w:vAlign w:val="center"/>
          </w:tcPr>
          <w:p>
            <w:r>
              <w:rPr>
                <w:color w:val="222222"/>
                <w:sz w:val="19"/>
                <w:szCs w:val="19"/>
              </w:rPr>
              <w:t xml:space="preserve">payment_installments &gt;= 1</w:t>
            </w:r>
          </w:p>
        </w:tc>
        <w:tc>
          <w:tcPr>
            <w:tcW w:type="dxa" w:w="4150"/>
            <w:shd w:fill="EAF4EE" w:val="clear"/>
            <w:tcMar>
              <w:top w:type="dxa" w:w="90"/>
              <w:left w:type="dxa" w:w="120"/>
              <w:bottom w:type="dxa" w:w="90"/>
              <w:right w:type="dxa" w:w="120"/>
            </w:tcMar>
            <w:vAlign w:val="center"/>
          </w:tcPr>
          <w:p>
            <w:r>
              <w:rPr>
                <w:color w:val="222222"/>
                <w:sz w:val="19"/>
                <w:szCs w:val="19"/>
              </w:rPr>
              <w:t xml:space="preserve">Fail — 2 rows with 0 installments</w:t>
            </w:r>
          </w:p>
        </w:tc>
      </w:tr>
      <w:tr>
        <w:tc>
          <w:tcPr>
            <w:tcW w:type="dxa" w:w="5200"/>
            <w:shd w:fill="FFFFFF" w:val="clear"/>
            <w:tcMar>
              <w:top w:type="dxa" w:w="90"/>
              <w:left w:type="dxa" w:w="120"/>
              <w:bottom w:type="dxa" w:w="90"/>
              <w:right w:type="dxa" w:w="120"/>
            </w:tcMar>
            <w:vAlign w:val="center"/>
          </w:tcPr>
          <w:p>
            <w:r>
              <w:rPr>
                <w:color w:val="222222"/>
                <w:sz w:val="19"/>
                <w:szCs w:val="19"/>
              </w:rPr>
              <w:t xml:space="preserve">payment_type in defined set</w:t>
            </w:r>
          </w:p>
        </w:tc>
        <w:tc>
          <w:tcPr>
            <w:tcW w:type="dxa" w:w="4150"/>
            <w:shd w:fill="FFFFFF" w:val="clear"/>
            <w:tcMar>
              <w:top w:type="dxa" w:w="90"/>
              <w:left w:type="dxa" w:w="120"/>
              <w:bottom w:type="dxa" w:w="90"/>
              <w:right w:type="dxa" w:w="120"/>
            </w:tcMar>
            <w:vAlign w:val="center"/>
          </w:tcPr>
          <w:p>
            <w:r>
              <w:rPr>
                <w:color w:val="222222"/>
                <w:sz w:val="19"/>
                <w:szCs w:val="19"/>
              </w:rPr>
              <w:t xml:space="preserve">Pass (incl. 'not_defined', 3 rows)</w:t>
            </w:r>
          </w:p>
        </w:tc>
      </w:tr>
      <w:tr>
        <w:tc>
          <w:tcPr>
            <w:tcW w:type="dxa" w:w="5200"/>
            <w:shd w:fill="EAF4EE" w:val="clear"/>
            <w:tcMar>
              <w:top w:type="dxa" w:w="90"/>
              <w:left w:type="dxa" w:w="120"/>
              <w:bottom w:type="dxa" w:w="90"/>
              <w:right w:type="dxa" w:w="120"/>
            </w:tcMar>
            <w:vAlign w:val="center"/>
          </w:tcPr>
          <w:p>
            <w:r>
              <w:rPr>
                <w:color w:val="222222"/>
                <w:sz w:val="19"/>
                <w:szCs w:val="19"/>
              </w:rPr>
              <w:t xml:space="preserve">review_score between 1–5</w:t>
            </w:r>
          </w:p>
        </w:tc>
        <w:tc>
          <w:tcPr>
            <w:tcW w:type="dxa" w:w="4150"/>
            <w:shd w:fill="EAF4EE" w:val="clear"/>
            <w:tcMar>
              <w:top w:type="dxa" w:w="90"/>
              <w:left w:type="dxa" w:w="120"/>
              <w:bottom w:type="dxa" w:w="90"/>
              <w:right w:type="dxa" w:w="120"/>
            </w:tcMar>
            <w:vAlign w:val="center"/>
          </w:tcPr>
          <w:p>
            <w:r>
              <w:rPr>
                <w:color w:val="222222"/>
                <w:sz w:val="19"/>
                <w:szCs w:val="19"/>
              </w:rPr>
              <w:t xml:space="preserve">Pass (0 violations)</w:t>
            </w:r>
          </w:p>
        </w:tc>
      </w:tr>
      <w:tr>
        <w:tc>
          <w:tcPr>
            <w:tcW w:type="dxa" w:w="5200"/>
            <w:shd w:fill="FFFFFF" w:val="clear"/>
            <w:tcMar>
              <w:top w:type="dxa" w:w="90"/>
              <w:left w:type="dxa" w:w="120"/>
              <w:bottom w:type="dxa" w:w="90"/>
              <w:right w:type="dxa" w:w="120"/>
            </w:tcMar>
            <w:vAlign w:val="center"/>
          </w:tcPr>
          <w:p>
            <w:r>
              <w:rPr>
                <w:color w:val="222222"/>
                <w:sz w:val="19"/>
                <w:szCs w:val="19"/>
              </w:rPr>
              <w:t xml:space="preserve">order_status = delivered ⇒ delivery date not null</w:t>
            </w:r>
          </w:p>
        </w:tc>
        <w:tc>
          <w:tcPr>
            <w:tcW w:type="dxa" w:w="4150"/>
            <w:shd w:fill="FFFFFF" w:val="clear"/>
            <w:tcMar>
              <w:top w:type="dxa" w:w="90"/>
              <w:left w:type="dxa" w:w="120"/>
              <w:bottom w:type="dxa" w:w="90"/>
              <w:right w:type="dxa" w:w="120"/>
            </w:tcMar>
            <w:vAlign w:val="center"/>
          </w:tcPr>
          <w:p>
            <w:r>
              <w:rPr>
                <w:color w:val="222222"/>
                <w:sz w:val="19"/>
                <w:szCs w:val="19"/>
              </w:rPr>
              <w:t xml:space="preserve">Fail — 8 rows violate</w:t>
            </w:r>
          </w:p>
        </w:tc>
      </w:tr>
      <w:tr>
        <w:tc>
          <w:tcPr>
            <w:tcW w:type="dxa" w:w="5200"/>
            <w:shd w:fill="EAF4EE" w:val="clear"/>
            <w:tcMar>
              <w:top w:type="dxa" w:w="90"/>
              <w:left w:type="dxa" w:w="120"/>
              <w:bottom w:type="dxa" w:w="90"/>
              <w:right w:type="dxa" w:w="120"/>
            </w:tcMar>
            <w:vAlign w:val="center"/>
          </w:tcPr>
          <w:p>
            <w:r>
              <w:rPr>
                <w:color w:val="222222"/>
                <w:sz w:val="19"/>
                <w:szCs w:val="19"/>
              </w:rPr>
              <w:t xml:space="preserve">product weight/dimensions &gt; 0</w:t>
            </w:r>
          </w:p>
        </w:tc>
        <w:tc>
          <w:tcPr>
            <w:tcW w:type="dxa" w:w="4150"/>
            <w:shd w:fill="EAF4EE" w:val="clear"/>
            <w:tcMar>
              <w:top w:type="dxa" w:w="90"/>
              <w:left w:type="dxa" w:w="120"/>
              <w:bottom w:type="dxa" w:w="90"/>
              <w:right w:type="dxa" w:w="120"/>
            </w:tcMar>
            <w:vAlign w:val="center"/>
          </w:tcPr>
          <w:p>
            <w:r>
              <w:rPr>
                <w:color w:val="222222"/>
                <w:sz w:val="19"/>
                <w:szCs w:val="19"/>
              </w:rPr>
              <w:t xml:space="preserve">Fail — 4 rows with 0 weight</w:t>
            </w:r>
          </w:p>
        </w:tc>
      </w:tr>
      <w:tr>
        <w:tc>
          <w:tcPr>
            <w:tcW w:type="dxa" w:w="5200"/>
            <w:shd w:fill="FFFFFF" w:val="clear"/>
            <w:tcMar>
              <w:top w:type="dxa" w:w="90"/>
              <w:left w:type="dxa" w:w="120"/>
              <w:bottom w:type="dxa" w:w="90"/>
              <w:right w:type="dxa" w:w="120"/>
            </w:tcMar>
            <w:vAlign w:val="center"/>
          </w:tcPr>
          <w:p>
            <w:r>
              <w:rPr>
                <w:color w:val="222222"/>
                <w:sz w:val="19"/>
                <w:szCs w:val="19"/>
              </w:rPr>
              <w:t xml:space="preserve">customer_state / seller_state valid Brazilian UF codes</w:t>
            </w:r>
          </w:p>
        </w:tc>
        <w:tc>
          <w:tcPr>
            <w:tcW w:type="dxa" w:w="4150"/>
            <w:shd w:fill="FFFFFF" w:val="clear"/>
            <w:tcMar>
              <w:top w:type="dxa" w:w="90"/>
              <w:left w:type="dxa" w:w="120"/>
              <w:bottom w:type="dxa" w:w="90"/>
              <w:right w:type="dxa" w:w="120"/>
            </w:tcMar>
            <w:vAlign w:val="center"/>
          </w:tcPr>
          <w:p>
            <w:r>
              <w:rPr>
                <w:color w:val="222222"/>
                <w:sz w:val="19"/>
                <w:szCs w:val="19"/>
              </w:rPr>
              <w:t xml:space="preserve">Pass (27 / 23 states)</w:t>
            </w:r>
          </w:p>
        </w:tc>
      </w:tr>
    </w:tbl>
    <w:p>
      <w:pPr>
        <w:pStyle w:val="Heading2"/>
        <w:spacing w:after="150" w:before="300"/>
      </w:pPr>
      <w:r>
        <w:rPr>
          <w:b/>
          <w:bCs/>
          <w:color w:val="2E7D4F"/>
          <w:sz w:val="26"/>
          <w:szCs w:val="26"/>
        </w:rPr>
        <w:t xml:space="preserve">4.5 Date Logic Validation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200"/>
        <w:gridCol w:w="3150"/>
      </w:tblGrid>
      <w:tr>
        <w:trPr>
          <w:tblHeader/>
        </w:trPr>
        <w:tc>
          <w:tcPr>
            <w:tcW w:type="dxa" w:w="6200"/>
            <w:shd w:fill="2E5B41" w:val="clear"/>
            <w:tcMar>
              <w:top w:type="dxa" w:w="100"/>
              <w:left w:type="dxa" w:w="120"/>
              <w:bottom w:type="dxa" w:w="100"/>
              <w:right w:type="dxa" w:w="120"/>
            </w:tcMar>
            <w:vAlign w:val="center"/>
          </w:tcPr>
          <w:p>
            <w:r>
              <w:rPr>
                <w:b/>
                <w:bCs/>
                <w:color w:val="FFFFFF"/>
                <w:sz w:val="19"/>
                <w:szCs w:val="19"/>
              </w:rPr>
              <w:t xml:space="preserve">Check</w:t>
            </w:r>
          </w:p>
        </w:tc>
        <w:tc>
          <w:tcPr>
            <w:tcW w:type="dxa" w:w="3150"/>
            <w:shd w:fill="2E5B41" w:val="clear"/>
            <w:tcMar>
              <w:top w:type="dxa" w:w="100"/>
              <w:left w:type="dxa" w:w="120"/>
              <w:bottom w:type="dxa" w:w="100"/>
              <w:right w:type="dxa" w:w="120"/>
            </w:tcMar>
            <w:vAlign w:val="center"/>
          </w:tcPr>
          <w:p>
            <w:r>
              <w:rPr>
                <w:b/>
                <w:bCs/>
                <w:color w:val="FFFFFF"/>
                <w:sz w:val="19"/>
                <w:szCs w:val="19"/>
              </w:rPr>
              <w:t xml:space="preserve">Violations</w:t>
            </w:r>
          </w:p>
        </w:tc>
      </w:tr>
      <w:tr>
        <w:tc>
          <w:tcPr>
            <w:tcW w:type="dxa" w:w="6200"/>
            <w:shd w:fill="FFFFFF" w:val="clear"/>
            <w:tcMar>
              <w:top w:type="dxa" w:w="90"/>
              <w:left w:type="dxa" w:w="120"/>
              <w:bottom w:type="dxa" w:w="90"/>
              <w:right w:type="dxa" w:w="120"/>
            </w:tcMar>
            <w:vAlign w:val="center"/>
          </w:tcPr>
          <w:p>
            <w:r>
              <w:rPr>
                <w:color w:val="222222"/>
                <w:sz w:val="19"/>
                <w:szCs w:val="19"/>
              </w:rPr>
              <w:t xml:space="preserve">order_approved_at &gt;= order_purchase_timestamp</w:t>
            </w:r>
          </w:p>
        </w:tc>
        <w:tc>
          <w:tcPr>
            <w:tcW w:type="dxa" w:w="3150"/>
            <w:shd w:fill="FFFFFF" w:val="clear"/>
            <w:tcMar>
              <w:top w:type="dxa" w:w="90"/>
              <w:left w:type="dxa" w:w="120"/>
              <w:bottom w:type="dxa" w:w="90"/>
              <w:right w:type="dxa" w:w="120"/>
            </w:tcMar>
            <w:vAlign w:val="center"/>
          </w:tcPr>
          <w:p>
            <w:r>
              <w:rPr>
                <w:color w:val="222222"/>
                <w:sz w:val="19"/>
                <w:szCs w:val="19"/>
              </w:rPr>
              <w:t xml:space="preserve">0</w:t>
            </w:r>
          </w:p>
        </w:tc>
      </w:tr>
      <w:tr>
        <w:tc>
          <w:tcPr>
            <w:tcW w:type="dxa" w:w="6200"/>
            <w:shd w:fill="EAF4EE" w:val="clear"/>
            <w:tcMar>
              <w:top w:type="dxa" w:w="90"/>
              <w:left w:type="dxa" w:w="120"/>
              <w:bottom w:type="dxa" w:w="90"/>
              <w:right w:type="dxa" w:w="120"/>
            </w:tcMar>
            <w:vAlign w:val="center"/>
          </w:tcPr>
          <w:p>
            <w:r>
              <w:rPr>
                <w:color w:val="222222"/>
                <w:sz w:val="19"/>
                <w:szCs w:val="19"/>
              </w:rPr>
              <w:t xml:space="preserve">order_delivered_carrier_date &gt;= order_approved_at</w:t>
            </w:r>
          </w:p>
        </w:tc>
        <w:tc>
          <w:tcPr>
            <w:tcW w:type="dxa" w:w="3150"/>
            <w:shd w:fill="EAF4EE" w:val="clear"/>
            <w:tcMar>
              <w:top w:type="dxa" w:w="90"/>
              <w:left w:type="dxa" w:w="120"/>
              <w:bottom w:type="dxa" w:w="90"/>
              <w:right w:type="dxa" w:w="120"/>
            </w:tcMar>
            <w:vAlign w:val="center"/>
          </w:tcPr>
          <w:p>
            <w:r>
              <w:rPr>
                <w:color w:val="222222"/>
                <w:sz w:val="19"/>
                <w:szCs w:val="19"/>
              </w:rPr>
              <w:t xml:space="preserve">1,359</w:t>
            </w:r>
          </w:p>
        </w:tc>
      </w:tr>
      <w:tr>
        <w:tc>
          <w:tcPr>
            <w:tcW w:type="dxa" w:w="6200"/>
            <w:shd w:fill="FFFFFF" w:val="clear"/>
            <w:tcMar>
              <w:top w:type="dxa" w:w="90"/>
              <w:left w:type="dxa" w:w="120"/>
              <w:bottom w:type="dxa" w:w="90"/>
              <w:right w:type="dxa" w:w="120"/>
            </w:tcMar>
            <w:vAlign w:val="center"/>
          </w:tcPr>
          <w:p>
            <w:r>
              <w:rPr>
                <w:color w:val="222222"/>
                <w:sz w:val="19"/>
                <w:szCs w:val="19"/>
              </w:rPr>
              <w:t xml:space="preserve">order_delivered_customer_date &gt;= order_delivered_carrier_date</w:t>
            </w:r>
          </w:p>
        </w:tc>
        <w:tc>
          <w:tcPr>
            <w:tcW w:type="dxa" w:w="3150"/>
            <w:shd w:fill="FFFFFF" w:val="clear"/>
            <w:tcMar>
              <w:top w:type="dxa" w:w="90"/>
              <w:left w:type="dxa" w:w="120"/>
              <w:bottom w:type="dxa" w:w="90"/>
              <w:right w:type="dxa" w:w="120"/>
            </w:tcMar>
            <w:vAlign w:val="center"/>
          </w:tcPr>
          <w:p>
            <w:r>
              <w:rPr>
                <w:color w:val="222222"/>
                <w:sz w:val="19"/>
                <w:szCs w:val="19"/>
              </w:rPr>
              <w:t xml:space="preserve">23</w:t>
            </w:r>
          </w:p>
        </w:tc>
      </w:tr>
      <w:tr>
        <w:tc>
          <w:tcPr>
            <w:tcW w:type="dxa" w:w="6200"/>
            <w:shd w:fill="EAF4EE" w:val="clear"/>
            <w:tcMar>
              <w:top w:type="dxa" w:w="90"/>
              <w:left w:type="dxa" w:w="120"/>
              <w:bottom w:type="dxa" w:w="90"/>
              <w:right w:type="dxa" w:w="120"/>
            </w:tcMar>
            <w:vAlign w:val="center"/>
          </w:tcPr>
          <w:p>
            <w:r>
              <w:rPr>
                <w:color w:val="222222"/>
                <w:sz w:val="19"/>
                <w:szCs w:val="19"/>
              </w:rPr>
              <w:t xml:space="preserve">order_delivered_customer_date &gt;= order_purchase_timestamp</w:t>
            </w:r>
          </w:p>
        </w:tc>
        <w:tc>
          <w:tcPr>
            <w:tcW w:type="dxa" w:w="3150"/>
            <w:shd w:fill="EAF4EE" w:val="clear"/>
            <w:tcMar>
              <w:top w:type="dxa" w:w="90"/>
              <w:left w:type="dxa" w:w="120"/>
              <w:bottom w:type="dxa" w:w="90"/>
              <w:right w:type="dxa" w:w="120"/>
            </w:tcMar>
            <w:vAlign w:val="center"/>
          </w:tcPr>
          <w:p>
            <w:r>
              <w:rPr>
                <w:color w:val="222222"/>
                <w:sz w:val="19"/>
                <w:szCs w:val="19"/>
              </w:rPr>
              <w:t xml:space="preserve">0</w:t>
            </w:r>
          </w:p>
        </w:tc>
      </w:tr>
      <w:tr>
        <w:tc>
          <w:tcPr>
            <w:tcW w:type="dxa" w:w="6200"/>
            <w:shd w:fill="FFFFFF" w:val="clear"/>
            <w:tcMar>
              <w:top w:type="dxa" w:w="90"/>
              <w:left w:type="dxa" w:w="120"/>
              <w:bottom w:type="dxa" w:w="90"/>
              <w:right w:type="dxa" w:w="120"/>
            </w:tcMar>
            <w:vAlign w:val="center"/>
          </w:tcPr>
          <w:p>
            <w:r>
              <w:rPr>
                <w:color w:val="222222"/>
                <w:sz w:val="19"/>
                <w:szCs w:val="19"/>
              </w:rPr>
              <w:t xml:space="preserve">Delivered after order_estimated_delivery_date (late orders)</w:t>
            </w:r>
          </w:p>
        </w:tc>
        <w:tc>
          <w:tcPr>
            <w:tcW w:type="dxa" w:w="3150"/>
            <w:shd w:fill="FFFFFF" w:val="clear"/>
            <w:tcMar>
              <w:top w:type="dxa" w:w="90"/>
              <w:left w:type="dxa" w:w="120"/>
              <w:bottom w:type="dxa" w:w="90"/>
              <w:right w:type="dxa" w:w="120"/>
            </w:tcMar>
            <w:vAlign w:val="center"/>
          </w:tcPr>
          <w:p>
            <w:r>
              <w:rPr>
                <w:color w:val="222222"/>
                <w:sz w:val="19"/>
                <w:szCs w:val="19"/>
              </w:rPr>
              <w:t xml:space="preserve">7,827 (7.87% of orders)</w:t>
            </w:r>
          </w:p>
        </w:tc>
      </w:tr>
    </w:tbl>
    <w:p>
      <w:pPr>
        <w:pStyle w:val="Heading2"/>
        <w:spacing w:after="150" w:before="300"/>
      </w:pPr>
      <w:r>
        <w:rPr>
          <w:b/>
          <w:bCs/>
          <w:color w:val="2E7D4F"/>
          <w:sz w:val="26"/>
          <w:szCs w:val="26"/>
        </w:rPr>
        <w:t xml:space="preserve">4.6 Final Validation Summary &amp; SQL Readiness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2E5B41" w:val="clear"/>
            <w:tcMar>
              <w:top w:type="dxa" w:w="100"/>
              <w:left w:type="dxa" w:w="120"/>
              <w:bottom w:type="dxa" w:w="100"/>
              <w:right w:type="dxa" w:w="120"/>
            </w:tcMar>
            <w:vAlign w:val="center"/>
          </w:tcPr>
          <w:p>
            <w:r>
              <w:rPr>
                <w:b/>
                <w:bCs/>
                <w:color w:val="FFFFFF"/>
                <w:sz w:val="19"/>
                <w:szCs w:val="19"/>
              </w:rPr>
              <w:t xml:space="preserve">Metric</w:t>
            </w:r>
          </w:p>
        </w:tc>
        <w:tc>
          <w:tcPr>
            <w:tcW w:type="dxa" w:w="5750"/>
            <w:shd w:fill="2E5B41" w:val="clear"/>
            <w:tcMar>
              <w:top w:type="dxa" w:w="100"/>
              <w:left w:type="dxa" w:w="120"/>
              <w:bottom w:type="dxa" w:w="100"/>
              <w:right w:type="dxa" w:w="120"/>
            </w:tcMar>
            <w:vAlign w:val="center"/>
          </w:tcPr>
          <w:p>
            <w:r>
              <w:rPr>
                <w:b/>
                <w:bCs/>
                <w:color w:val="FFFFFF"/>
                <w:sz w:val="19"/>
                <w:szCs w:val="19"/>
              </w:rPr>
              <w:t xml:space="preserve">Result</w:t>
            </w:r>
          </w:p>
        </w:tc>
      </w:tr>
      <w:tr>
        <w:tc>
          <w:tcPr>
            <w:tcW w:type="dxa" w:w="3600"/>
            <w:shd w:fill="FFFFFF" w:val="clear"/>
            <w:tcMar>
              <w:top w:type="dxa" w:w="90"/>
              <w:left w:type="dxa" w:w="120"/>
              <w:bottom w:type="dxa" w:w="90"/>
              <w:right w:type="dxa" w:w="120"/>
            </w:tcMar>
            <w:vAlign w:val="center"/>
          </w:tcPr>
          <w:p>
            <w:r>
              <w:rPr>
                <w:color w:val="222222"/>
                <w:sz w:val="19"/>
                <w:szCs w:val="19"/>
              </w:rPr>
              <w:t xml:space="preserve">Tables validated</w:t>
            </w:r>
          </w:p>
        </w:tc>
        <w:tc>
          <w:tcPr>
            <w:tcW w:type="dxa" w:w="5750"/>
            <w:shd w:fill="FFFFFF" w:val="clear"/>
            <w:tcMar>
              <w:top w:type="dxa" w:w="90"/>
              <w:left w:type="dxa" w:w="120"/>
              <w:bottom w:type="dxa" w:w="90"/>
              <w:right w:type="dxa" w:w="120"/>
            </w:tcMar>
            <w:vAlign w:val="center"/>
          </w:tcPr>
          <w:p>
            <w:r>
              <w:rPr>
                <w:color w:val="222222"/>
                <w:sz w:val="19"/>
                <w:szCs w:val="19"/>
              </w:rPr>
              <w:t xml:space="preserve">9 / 9</w:t>
            </w:r>
          </w:p>
        </w:tc>
      </w:tr>
      <w:tr>
        <w:tc>
          <w:tcPr>
            <w:tcW w:type="dxa" w:w="3600"/>
            <w:shd w:fill="EAF4EE" w:val="clear"/>
            <w:tcMar>
              <w:top w:type="dxa" w:w="90"/>
              <w:left w:type="dxa" w:w="120"/>
              <w:bottom w:type="dxa" w:w="90"/>
              <w:right w:type="dxa" w:w="120"/>
            </w:tcMar>
            <w:vAlign w:val="center"/>
          </w:tcPr>
          <w:p>
            <w:r>
              <w:rPr>
                <w:color w:val="222222"/>
                <w:sz w:val="19"/>
                <w:szCs w:val="19"/>
              </w:rPr>
              <w:t xml:space="preserve">Structural integrity</w:t>
            </w:r>
          </w:p>
        </w:tc>
        <w:tc>
          <w:tcPr>
            <w:tcW w:type="dxa" w:w="5750"/>
            <w:shd w:fill="EAF4EE" w:val="clear"/>
            <w:tcMar>
              <w:top w:type="dxa" w:w="90"/>
              <w:left w:type="dxa" w:w="120"/>
              <w:bottom w:type="dxa" w:w="90"/>
              <w:right w:type="dxa" w:w="120"/>
            </w:tcMar>
            <w:vAlign w:val="center"/>
          </w:tcPr>
          <w:p>
            <w:r>
              <w:rPr>
                <w:color w:val="222222"/>
                <w:sz w:val="19"/>
                <w:szCs w:val="19"/>
              </w:rPr>
              <w:t xml:space="preserve">Pass</w:t>
            </w:r>
          </w:p>
        </w:tc>
      </w:tr>
      <w:tr>
        <w:tc>
          <w:tcPr>
            <w:tcW w:type="dxa" w:w="3600"/>
            <w:shd w:fill="FFFFFF" w:val="clear"/>
            <w:tcMar>
              <w:top w:type="dxa" w:w="90"/>
              <w:left w:type="dxa" w:w="120"/>
              <w:bottom w:type="dxa" w:w="90"/>
              <w:right w:type="dxa" w:w="120"/>
            </w:tcMar>
            <w:vAlign w:val="center"/>
          </w:tcPr>
          <w:p>
            <w:r>
              <w:rPr>
                <w:color w:val="222222"/>
                <w:sz w:val="19"/>
                <w:szCs w:val="19"/>
              </w:rPr>
              <w:t xml:space="preserve">Primary key integrity</w:t>
            </w:r>
          </w:p>
        </w:tc>
        <w:tc>
          <w:tcPr>
            <w:tcW w:type="dxa" w:w="5750"/>
            <w:shd w:fill="FFFFFF" w:val="clear"/>
            <w:tcMar>
              <w:top w:type="dxa" w:w="90"/>
              <w:left w:type="dxa" w:w="120"/>
              <w:bottom w:type="dxa" w:w="90"/>
              <w:right w:type="dxa" w:w="120"/>
            </w:tcMar>
            <w:vAlign w:val="center"/>
          </w:tcPr>
          <w:p>
            <w:r>
              <w:rPr>
                <w:color w:val="222222"/>
                <w:sz w:val="19"/>
                <w:szCs w:val="19"/>
              </w:rPr>
              <w:t xml:space="preserve">8 / 9 Pass (order_reviews fails on review_id uniqueness)</w:t>
            </w:r>
          </w:p>
        </w:tc>
      </w:tr>
      <w:tr>
        <w:tc>
          <w:tcPr>
            <w:tcW w:type="dxa" w:w="3600"/>
            <w:shd w:fill="EAF4EE" w:val="clear"/>
            <w:tcMar>
              <w:top w:type="dxa" w:w="90"/>
              <w:left w:type="dxa" w:w="120"/>
              <w:bottom w:type="dxa" w:w="90"/>
              <w:right w:type="dxa" w:w="120"/>
            </w:tcMar>
            <w:vAlign w:val="center"/>
          </w:tcPr>
          <w:p>
            <w:r>
              <w:rPr>
                <w:color w:val="222222"/>
                <w:sz w:val="19"/>
                <w:szCs w:val="19"/>
              </w:rPr>
              <w:t xml:space="preserve">Foreign key integrity</w:t>
            </w:r>
          </w:p>
        </w:tc>
        <w:tc>
          <w:tcPr>
            <w:tcW w:type="dxa" w:w="5750"/>
            <w:shd w:fill="EAF4EE" w:val="clear"/>
            <w:tcMar>
              <w:top w:type="dxa" w:w="90"/>
              <w:left w:type="dxa" w:w="120"/>
              <w:bottom w:type="dxa" w:w="90"/>
              <w:right w:type="dxa" w:w="120"/>
            </w:tcMar>
            <w:vAlign w:val="center"/>
          </w:tcPr>
          <w:p>
            <w:r>
              <w:rPr>
                <w:color w:val="222222"/>
                <w:sz w:val="19"/>
                <w:szCs w:val="19"/>
              </w:rPr>
              <w:t xml:space="preserve">Pass (&gt;99.7% across all relationships)</w:t>
            </w:r>
          </w:p>
        </w:tc>
      </w:tr>
      <w:tr>
        <w:tc>
          <w:tcPr>
            <w:tcW w:type="dxa" w:w="3600"/>
            <w:shd w:fill="FFFFFF" w:val="clear"/>
            <w:tcMar>
              <w:top w:type="dxa" w:w="90"/>
              <w:left w:type="dxa" w:w="120"/>
              <w:bottom w:type="dxa" w:w="90"/>
              <w:right w:type="dxa" w:w="120"/>
            </w:tcMar>
            <w:vAlign w:val="center"/>
          </w:tcPr>
          <w:p>
            <w:r>
              <w:rPr>
                <w:color w:val="222222"/>
                <w:sz w:val="19"/>
                <w:szCs w:val="19"/>
              </w:rPr>
              <w:t xml:space="preserve">Overall data quality</w:t>
            </w:r>
          </w:p>
        </w:tc>
        <w:tc>
          <w:tcPr>
            <w:tcW w:type="dxa" w:w="5750"/>
            <w:shd w:fill="FFFFFF" w:val="clear"/>
            <w:tcMar>
              <w:top w:type="dxa" w:w="90"/>
              <w:left w:type="dxa" w:w="120"/>
              <w:bottom w:type="dxa" w:w="90"/>
              <w:right w:type="dxa" w:w="120"/>
            </w:tcMar>
            <w:vAlign w:val="center"/>
          </w:tcPr>
          <w:p>
            <w:r>
              <w:rPr>
                <w:color w:val="222222"/>
                <w:sz w:val="19"/>
                <w:szCs w:val="19"/>
              </w:rPr>
              <w:t xml:space="preserve">Good — usable after targeted cleaning</w:t>
            </w:r>
          </w:p>
        </w:tc>
      </w:tr>
    </w:tbl>
    <w:p>
      <w:pPr>
        <w:spacing w:after="120"/>
      </w:pPr>
    </w:p>
    <w:tbl>
      <w:tblPr>
        <w:tblW w:type="dxa" w:w="9350"/>
        <w:tblBorders>
          <w:top w:val="single" w:color="4CA372" w:sz="4"/>
          <w:left w:val="single" w:color="4CA372" w:sz="24"/>
          <w:bottom w:val="single" w:color="4CA372" w:sz="4"/>
          <w:right w:val="single" w:color="4CA372" w:sz="4"/>
          <w:insideH w:val="single" w:color="auto" w:sz="4"/>
          <w:insideV w:val="single" w:color="auto" w:sz="4"/>
        </w:tblBorders>
      </w:tblPr>
      <w:tblGrid>
        <w:gridCol w:w="100"/>
      </w:tblGrid>
      <w:tr>
        <w:tc>
          <w:tcPr>
            <w:shd w:fill="EAF4EE" w:val="clear"/>
            <w:tcMar>
              <w:top w:type="dxa" w:w="160"/>
              <w:left w:type="dxa" w:w="220"/>
              <w:bottom w:type="dxa" w:w="160"/>
              <w:right w:type="dxa" w:w="220"/>
            </w:tcMar>
          </w:tcPr>
          <w:p>
            <w:pPr>
              <w:spacing w:after="60"/>
            </w:pPr>
            <w:r>
              <w:rPr>
                <w:b/>
                <w:bCs/>
                <w:color w:val="2E7D4F"/>
                <w:sz w:val="18"/>
                <w:szCs w:val="18"/>
              </w:rPr>
              <w:t xml:space="preserve">SQL READINESS DECISION</w:t>
            </w:r>
          </w:p>
          <w:p>
            <w:pPr>
              <w:spacing w:after="0"/>
            </w:pPr>
            <w:r>
              <w:rPr>
                <w:color w:val="222222"/>
                <w:sz w:val="21"/>
                <w:szCs w:val="21"/>
              </w:rPr>
              <w:t xml:space="preserve">Ready for SQL load after: (1) datetime casting on all timestamp columns, (2) geolocation deduplication, (3) a review_id surrogate key / dedup strategy, and (4) resolving the 13 unmatched product categories.</w:t>
            </w:r>
          </w:p>
        </w:tc>
      </w:tr>
    </w:tbl>
    <w:p>
      <w:r>
        <w:br w:type="page"/>
      </w:r>
    </w:p>
    <w:p>
      <w:pPr>
        <w:pStyle w:val="Heading1"/>
        <w:pBdr>
          <w:bottom w:val="single" w:color="2E7D4F" w:sz="8" w:space="4"/>
        </w:pBdr>
        <w:spacing w:after="200" w:before="400"/>
      </w:pPr>
      <w:r>
        <w:rPr>
          <w:b/>
          <w:bCs/>
          <w:color w:val="1F3D2E"/>
          <w:sz w:val="32"/>
          <w:szCs w:val="32"/>
        </w:rPr>
        <w:t xml:space="preserve">5. Methodology</w:t>
      </w:r>
    </w:p>
    <w:p>
      <w:pPr>
        <w:pStyle w:val="Heading2"/>
        <w:spacing w:after="150" w:before="300"/>
      </w:pPr>
      <w:r>
        <w:rPr>
          <w:b/>
          <w:bCs/>
          <w:color w:val="2E7D4F"/>
          <w:sz w:val="26"/>
          <w:szCs w:val="26"/>
        </w:rPr>
        <w:t xml:space="preserve">5.1 Python — Data Preparation</w:t>
      </w:r>
    </w:p>
    <w:p>
      <w:pPr>
        <w:spacing w:after="160" w:line="300"/>
      </w:pPr>
      <w:r>
        <w:rPr>
          <w:color w:val="222222"/>
          <w:sz w:val="21"/>
          <w:szCs w:val="21"/>
        </w:rPr>
        <w:t xml:space="preserve">Python was used to inspect and validate all nine source files, clean and standardize them, integrate related tables, engineer analytical features (delivery days, late-delivery flags, repeat-customer flags, category revenue), explore distributions, and identify patterns and anomalies ahead of SQL loading.</w:t>
      </w:r>
    </w:p>
    <w:p>
      <w:pPr>
        <w:pStyle w:val="ListParagraph"/>
        <w:numPr>
          <w:ilvl w:val="0"/>
          <w:numId w:val="1"/>
        </w:numPr>
        <w:spacing w:after="100"/>
      </w:pPr>
      <w:r>
        <w:rPr>
          <w:color w:val="222222"/>
          <w:sz w:val="21"/>
          <w:szCs w:val="21"/>
        </w:rPr>
        <w:t xml:space="preserve">Structural, type, missing-value, duplicate, and business-rule validation across all tables (documented in Section 4)</w:t>
      </w:r>
    </w:p>
    <w:p>
      <w:pPr>
        <w:pStyle w:val="ListParagraph"/>
        <w:numPr>
          <w:ilvl w:val="0"/>
          <w:numId w:val="1"/>
        </w:numPr>
        <w:spacing w:after="100"/>
      </w:pPr>
      <w:r>
        <w:rPr>
          <w:color w:val="222222"/>
          <w:sz w:val="21"/>
          <w:szCs w:val="21"/>
        </w:rPr>
        <w:t xml:space="preserve">Timestamp conversion for all date columns</w:t>
      </w:r>
    </w:p>
    <w:p>
      <w:pPr>
        <w:pStyle w:val="ListParagraph"/>
        <w:numPr>
          <w:ilvl w:val="0"/>
          <w:numId w:val="1"/>
        </w:numPr>
        <w:spacing w:after="100"/>
      </w:pPr>
      <w:r>
        <w:rPr>
          <w:color w:val="222222"/>
          <w:sz w:val="21"/>
          <w:szCs w:val="21"/>
        </w:rPr>
        <w:t xml:space="preserve">Geolocation deduplication</w:t>
      </w:r>
    </w:p>
    <w:p>
      <w:pPr>
        <w:pStyle w:val="ListParagraph"/>
        <w:numPr>
          <w:ilvl w:val="0"/>
          <w:numId w:val="1"/>
        </w:numPr>
        <w:spacing w:after="100"/>
      </w:pPr>
      <w:r>
        <w:rPr>
          <w:color w:val="222222"/>
          <w:sz w:val="21"/>
          <w:szCs w:val="21"/>
        </w:rPr>
        <w:t xml:space="preserve">Feature engineering: delivery days, on-time/late flags, repeat vs. one-time customer classification</w:t>
      </w:r>
    </w:p>
    <w:p>
      <w:pPr>
        <w:pStyle w:val="Heading2"/>
        <w:spacing w:after="150" w:before="300"/>
      </w:pPr>
      <w:r>
        <w:rPr>
          <w:b/>
          <w:bCs/>
          <w:color w:val="2E7D4F"/>
          <w:sz w:val="26"/>
          <w:szCs w:val="26"/>
        </w:rPr>
        <w:t xml:space="preserve">5.2 SQL Server — Business Analysis</w:t>
      </w:r>
    </w:p>
    <w:p>
      <w:pPr>
        <w:spacing w:after="160" w:line="300"/>
      </w:pPr>
      <w:r>
        <w:rPr>
          <w:color w:val="222222"/>
          <w:sz w:val="21"/>
          <w:szCs w:val="21"/>
        </w:rPr>
        <w:t xml:space="preserve">A normalized SQL Server schema (see ERD, Section 3.2) was created with primary and foreign keys enforced across customers, orders, order_items, products, sellers, order_payments, and reviews. Seven reusable analytical views were then built directly on top of the relational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2E5B41" w:val="clear"/>
            <w:tcMar>
              <w:top w:type="dxa" w:w="100"/>
              <w:left w:type="dxa" w:w="120"/>
              <w:bottom w:type="dxa" w:w="100"/>
              <w:right w:type="dxa" w:w="120"/>
            </w:tcMar>
            <w:vAlign w:val="center"/>
          </w:tcPr>
          <w:p>
            <w:r>
              <w:rPr>
                <w:b/>
                <w:bCs/>
                <w:color w:val="FFFFFF"/>
                <w:sz w:val="19"/>
                <w:szCs w:val="19"/>
              </w:rPr>
              <w:t xml:space="preserve">View</w:t>
            </w:r>
          </w:p>
        </w:tc>
        <w:tc>
          <w:tcPr>
            <w:tcW w:type="dxa" w:w="6550"/>
            <w:shd w:fill="2E5B41" w:val="clear"/>
            <w:tcMar>
              <w:top w:type="dxa" w:w="100"/>
              <w:left w:type="dxa" w:w="120"/>
              <w:bottom w:type="dxa" w:w="100"/>
              <w:right w:type="dxa" w:w="120"/>
            </w:tcMar>
            <w:vAlign w:val="center"/>
          </w:tcPr>
          <w:p>
            <w:r>
              <w:rPr>
                <w:b/>
                <w:bCs/>
                <w:color w:val="FFFFFF"/>
                <w:sz w:val="19"/>
                <w:szCs w:val="19"/>
              </w:rPr>
              <w:t xml:space="preserve">Purpose</w:t>
            </w:r>
          </w:p>
        </w:tc>
      </w:tr>
      <w:tr>
        <w:tc>
          <w:tcPr>
            <w:tcW w:type="dxa" w:w="2800"/>
            <w:shd w:fill="FFFFFF" w:val="clear"/>
            <w:tcMar>
              <w:top w:type="dxa" w:w="90"/>
              <w:left w:type="dxa" w:w="120"/>
              <w:bottom w:type="dxa" w:w="90"/>
              <w:right w:type="dxa" w:w="120"/>
            </w:tcMar>
            <w:vAlign w:val="center"/>
          </w:tcPr>
          <w:p>
            <w:r>
              <w:rPr>
                <w:color w:val="222222"/>
                <w:sz w:val="19"/>
                <w:szCs w:val="19"/>
              </w:rPr>
              <w:t xml:space="preserve">vw_MonthlySales</w:t>
            </w:r>
          </w:p>
        </w:tc>
        <w:tc>
          <w:tcPr>
            <w:tcW w:type="dxa" w:w="6550"/>
            <w:shd w:fill="FFFFFF" w:val="clear"/>
            <w:tcMar>
              <w:top w:type="dxa" w:w="90"/>
              <w:left w:type="dxa" w:w="120"/>
              <w:bottom w:type="dxa" w:w="90"/>
              <w:right w:type="dxa" w:w="120"/>
            </w:tcMar>
            <w:vAlign w:val="center"/>
          </w:tcPr>
          <w:p>
            <w:r>
              <w:rPr>
                <w:color w:val="222222"/>
                <w:sz w:val="19"/>
                <w:szCs w:val="19"/>
              </w:rPr>
              <w:t xml:space="preserve">Monthly order count and revenue trend</w:t>
            </w:r>
          </w:p>
        </w:tc>
      </w:tr>
      <w:tr>
        <w:tc>
          <w:tcPr>
            <w:tcW w:type="dxa" w:w="2800"/>
            <w:shd w:fill="EAF4EE" w:val="clear"/>
            <w:tcMar>
              <w:top w:type="dxa" w:w="90"/>
              <w:left w:type="dxa" w:w="120"/>
              <w:bottom w:type="dxa" w:w="90"/>
              <w:right w:type="dxa" w:w="120"/>
            </w:tcMar>
            <w:vAlign w:val="center"/>
          </w:tcPr>
          <w:p>
            <w:r>
              <w:rPr>
                <w:color w:val="222222"/>
                <w:sz w:val="19"/>
                <w:szCs w:val="19"/>
              </w:rPr>
              <w:t xml:space="preserve">vw_CategoryPerformance</w:t>
            </w:r>
          </w:p>
        </w:tc>
        <w:tc>
          <w:tcPr>
            <w:tcW w:type="dxa" w:w="6550"/>
            <w:shd w:fill="EAF4EE" w:val="clear"/>
            <w:tcMar>
              <w:top w:type="dxa" w:w="90"/>
              <w:left w:type="dxa" w:w="120"/>
              <w:bottom w:type="dxa" w:w="90"/>
              <w:right w:type="dxa" w:w="120"/>
            </w:tcMar>
            <w:vAlign w:val="center"/>
          </w:tcPr>
          <w:p>
            <w:r>
              <w:rPr>
                <w:color w:val="222222"/>
                <w:sz w:val="19"/>
                <w:szCs w:val="19"/>
              </w:rPr>
              <w:t xml:space="preserve">Items sold and revenue by product category</w:t>
            </w:r>
          </w:p>
        </w:tc>
      </w:tr>
      <w:tr>
        <w:tc>
          <w:tcPr>
            <w:tcW w:type="dxa" w:w="2800"/>
            <w:shd w:fill="FFFFFF" w:val="clear"/>
            <w:tcMar>
              <w:top w:type="dxa" w:w="90"/>
              <w:left w:type="dxa" w:w="120"/>
              <w:bottom w:type="dxa" w:w="90"/>
              <w:right w:type="dxa" w:w="120"/>
            </w:tcMar>
            <w:vAlign w:val="center"/>
          </w:tcPr>
          <w:p>
            <w:r>
              <w:rPr>
                <w:color w:val="222222"/>
                <w:sz w:val="19"/>
                <w:szCs w:val="19"/>
              </w:rPr>
              <w:t xml:space="preserve">vw_SellerPerformance</w:t>
            </w:r>
          </w:p>
        </w:tc>
        <w:tc>
          <w:tcPr>
            <w:tcW w:type="dxa" w:w="6550"/>
            <w:shd w:fill="FFFFFF" w:val="clear"/>
            <w:tcMar>
              <w:top w:type="dxa" w:w="90"/>
              <w:left w:type="dxa" w:w="120"/>
              <w:bottom w:type="dxa" w:w="90"/>
              <w:right w:type="dxa" w:w="120"/>
            </w:tcMar>
            <w:vAlign w:val="center"/>
          </w:tcPr>
          <w:p>
            <w:r>
              <w:rPr>
                <w:color w:val="222222"/>
                <w:sz w:val="19"/>
                <w:szCs w:val="19"/>
              </w:rPr>
              <w:t xml:space="preserve">Orders and revenue by seller</w:t>
            </w:r>
          </w:p>
        </w:tc>
      </w:tr>
      <w:tr>
        <w:tc>
          <w:tcPr>
            <w:tcW w:type="dxa" w:w="2800"/>
            <w:shd w:fill="EAF4EE" w:val="clear"/>
            <w:tcMar>
              <w:top w:type="dxa" w:w="90"/>
              <w:left w:type="dxa" w:w="120"/>
              <w:bottom w:type="dxa" w:w="90"/>
              <w:right w:type="dxa" w:w="120"/>
            </w:tcMar>
            <w:vAlign w:val="center"/>
          </w:tcPr>
          <w:p>
            <w:r>
              <w:rPr>
                <w:color w:val="222222"/>
                <w:sz w:val="19"/>
                <w:szCs w:val="19"/>
              </w:rPr>
              <w:t xml:space="preserve">vw_StatePerformance</w:t>
            </w:r>
          </w:p>
        </w:tc>
        <w:tc>
          <w:tcPr>
            <w:tcW w:type="dxa" w:w="6550"/>
            <w:shd w:fill="EAF4EE" w:val="clear"/>
            <w:tcMar>
              <w:top w:type="dxa" w:w="90"/>
              <w:left w:type="dxa" w:w="120"/>
              <w:bottom w:type="dxa" w:w="90"/>
              <w:right w:type="dxa" w:w="120"/>
            </w:tcMar>
            <w:vAlign w:val="center"/>
          </w:tcPr>
          <w:p>
            <w:r>
              <w:rPr>
                <w:color w:val="222222"/>
                <w:sz w:val="19"/>
                <w:szCs w:val="19"/>
              </w:rPr>
              <w:t xml:space="preserve">Orders and revenue by customer state</w:t>
            </w:r>
          </w:p>
        </w:tc>
      </w:tr>
      <w:tr>
        <w:tc>
          <w:tcPr>
            <w:tcW w:type="dxa" w:w="2800"/>
            <w:shd w:fill="FFFFFF" w:val="clear"/>
            <w:tcMar>
              <w:top w:type="dxa" w:w="90"/>
              <w:left w:type="dxa" w:w="120"/>
              <w:bottom w:type="dxa" w:w="90"/>
              <w:right w:type="dxa" w:w="120"/>
            </w:tcMar>
            <w:vAlign w:val="center"/>
          </w:tcPr>
          <w:p>
            <w:r>
              <w:rPr>
                <w:color w:val="222222"/>
                <w:sz w:val="19"/>
                <w:szCs w:val="19"/>
              </w:rPr>
              <w:t xml:space="preserve">vw_PaymentPerformance</w:t>
            </w:r>
          </w:p>
        </w:tc>
        <w:tc>
          <w:tcPr>
            <w:tcW w:type="dxa" w:w="6550"/>
            <w:shd w:fill="FFFFFF" w:val="clear"/>
            <w:tcMar>
              <w:top w:type="dxa" w:w="90"/>
              <w:left w:type="dxa" w:w="120"/>
              <w:bottom w:type="dxa" w:w="90"/>
              <w:right w:type="dxa" w:w="120"/>
            </w:tcMar>
            <w:vAlign w:val="center"/>
          </w:tcPr>
          <w:p>
            <w:r>
              <w:rPr>
                <w:color w:val="222222"/>
                <w:sz w:val="19"/>
                <w:szCs w:val="19"/>
              </w:rPr>
              <w:t xml:space="preserve">Payment count, total value, and average by payment type</w:t>
            </w:r>
          </w:p>
        </w:tc>
      </w:tr>
      <w:tr>
        <w:tc>
          <w:tcPr>
            <w:tcW w:type="dxa" w:w="2800"/>
            <w:shd w:fill="EAF4EE" w:val="clear"/>
            <w:tcMar>
              <w:top w:type="dxa" w:w="90"/>
              <w:left w:type="dxa" w:w="120"/>
              <w:bottom w:type="dxa" w:w="90"/>
              <w:right w:type="dxa" w:w="120"/>
            </w:tcMar>
            <w:vAlign w:val="center"/>
          </w:tcPr>
          <w:p>
            <w:r>
              <w:rPr>
                <w:color w:val="222222"/>
                <w:sz w:val="19"/>
                <w:szCs w:val="19"/>
              </w:rPr>
              <w:t xml:space="preserve">vw_DeliveryPerformance</w:t>
            </w:r>
          </w:p>
        </w:tc>
        <w:tc>
          <w:tcPr>
            <w:tcW w:type="dxa" w:w="6550"/>
            <w:shd w:fill="EAF4EE" w:val="clear"/>
            <w:tcMar>
              <w:top w:type="dxa" w:w="90"/>
              <w:left w:type="dxa" w:w="120"/>
              <w:bottom w:type="dxa" w:w="90"/>
              <w:right w:type="dxa" w:w="120"/>
            </w:tcMar>
            <w:vAlign w:val="center"/>
          </w:tcPr>
          <w:p>
            <w:r>
              <w:rPr>
                <w:color w:val="222222"/>
                <w:sz w:val="19"/>
                <w:szCs w:val="19"/>
              </w:rPr>
              <w:t xml:space="preserve">On-time vs. late delivery order counts</w:t>
            </w:r>
          </w:p>
        </w:tc>
      </w:tr>
      <w:tr>
        <w:tc>
          <w:tcPr>
            <w:tcW w:type="dxa" w:w="2800"/>
            <w:shd w:fill="FFFFFF" w:val="clear"/>
            <w:tcMar>
              <w:top w:type="dxa" w:w="90"/>
              <w:left w:type="dxa" w:w="120"/>
              <w:bottom w:type="dxa" w:w="90"/>
              <w:right w:type="dxa" w:w="120"/>
            </w:tcMar>
            <w:vAlign w:val="center"/>
          </w:tcPr>
          <w:p>
            <w:r>
              <w:rPr>
                <w:color w:val="222222"/>
                <w:sz w:val="19"/>
                <w:szCs w:val="19"/>
              </w:rPr>
              <w:t xml:space="preserve">vw_ReviewPerformance</w:t>
            </w:r>
          </w:p>
        </w:tc>
        <w:tc>
          <w:tcPr>
            <w:tcW w:type="dxa" w:w="6550"/>
            <w:shd w:fill="FFFFFF" w:val="clear"/>
            <w:tcMar>
              <w:top w:type="dxa" w:w="90"/>
              <w:left w:type="dxa" w:w="120"/>
              <w:bottom w:type="dxa" w:w="90"/>
              <w:right w:type="dxa" w:w="120"/>
            </w:tcMar>
            <w:vAlign w:val="center"/>
          </w:tcPr>
          <w:p>
            <w:r>
              <w:rPr>
                <w:color w:val="222222"/>
                <w:sz w:val="19"/>
                <w:szCs w:val="19"/>
              </w:rPr>
              <w:t xml:space="preserve">Distribution of review scores (1–5)</w:t>
            </w:r>
          </w:p>
        </w:tc>
      </w:tr>
    </w:tbl>
    <w:p>
      <w:pPr>
        <w:spacing w:after="120"/>
      </w:pPr>
    </w:p>
    <w:p>
      <w:pPr>
        <w:spacing w:after="160" w:line="300"/>
      </w:pPr>
      <w:r>
        <w:rPr>
          <w:color w:val="222222"/>
          <w:sz w:val="21"/>
          <w:szCs w:val="21"/>
        </w:rPr>
        <w:t xml:space="preserve">Building these as views (rather than one-off queries) makes the analysis reproducible: any management question about monthly trends, category performance, seller performance, state performance, payments, delivery, or reviews can be answered directly from the database without re-writing logic.</w:t>
      </w:r>
    </w:p>
    <w:p>
      <w:pPr>
        <w:pStyle w:val="Heading2"/>
        <w:spacing w:after="150" w:before="300"/>
      </w:pPr>
      <w:r>
        <w:rPr>
          <w:b/>
          <w:bCs/>
          <w:color w:val="2E7D4F"/>
          <w:sz w:val="26"/>
          <w:szCs w:val="26"/>
        </w:rPr>
        <w:t xml:space="preserve">5.3 Statistical Analysis</w:t>
      </w:r>
    </w:p>
    <w:p>
      <w:pPr>
        <w:spacing w:after="160" w:line="300"/>
      </w:pPr>
      <w:r>
        <w:rPr>
          <w:color w:val="222222"/>
          <w:sz w:val="21"/>
          <w:szCs w:val="21"/>
        </w:rPr>
        <w:t xml:space="preserve">Statistical analysis was used to understand the shape and variation of the data rather than relying only on totals — using mean, median, standard deviation, quartiles, IQR, percentiles, correlation, and outlier analysis.</w:t>
      </w:r>
    </w:p>
    <w:p>
      <w:pPr>
        <w:pStyle w:val="ListParagraph"/>
        <w:numPr>
          <w:ilvl w:val="0"/>
          <w:numId w:val="1"/>
        </w:numPr>
        <w:spacing w:after="100"/>
      </w:pPr>
      <w:r>
        <w:rPr>
          <w:color w:val="222222"/>
          <w:sz w:val="21"/>
          <w:szCs w:val="21"/>
        </w:rPr>
        <w:t xml:space="preserve">Skewed transaction data: a small number of high-value transactions can pull averages upward, so medians and percentiles were tracked alongside means.</w:t>
      </w:r>
    </w:p>
    <w:p>
      <w:pPr>
        <w:pStyle w:val="ListParagraph"/>
        <w:numPr>
          <w:ilvl w:val="0"/>
          <w:numId w:val="1"/>
        </w:numPr>
        <w:spacing w:after="100"/>
      </w:pPr>
      <w:r>
        <w:rPr>
          <w:color w:val="222222"/>
          <w:sz w:val="21"/>
          <w:szCs w:val="21"/>
        </w:rPr>
        <w:t xml:space="preserve">Delivery variation: average delivery time can mask a subset of extremely delayed orders — the distribution, not just the mean, matters operationally.</w:t>
      </w:r>
    </w:p>
    <w:p>
      <w:pPr>
        <w:pStyle w:val="ListParagraph"/>
        <w:numPr>
          <w:ilvl w:val="0"/>
          <w:numId w:val="1"/>
        </w:numPr>
        <w:spacing w:after="100"/>
      </w:pPr>
      <w:r>
        <w:rPr>
          <w:color w:val="222222"/>
          <w:sz w:val="21"/>
          <w:szCs w:val="21"/>
        </w:rPr>
        <w:t xml:space="preserve">Correlation analysis was used to examine the relationship between delivery time and review score (see Section 6.5).</w:t>
      </w:r>
    </w:p>
    <w:p>
      <w:pPr>
        <w:pStyle w:val="ListParagraph"/>
        <w:numPr>
          <w:ilvl w:val="0"/>
          <w:numId w:val="1"/>
        </w:numPr>
        <w:spacing w:after="100"/>
      </w:pPr>
      <w:r>
        <w:rPr>
          <w:color w:val="222222"/>
          <w:sz w:val="21"/>
          <w:szCs w:val="21"/>
        </w:rPr>
        <w:t xml:space="preserve">Outliers (very high-value orders, very long deliveries) were investigated rather than automatically removed, since they may represent genuine business cases or real operational failures.</w:t>
      </w:r>
    </w:p>
    <w:p>
      <w:pPr>
        <w:pStyle w:val="Heading2"/>
        <w:spacing w:after="150" w:before="300"/>
      </w:pPr>
      <w:r>
        <w:rPr>
          <w:b/>
          <w:bCs/>
          <w:color w:val="2E7D4F"/>
          <w:sz w:val="26"/>
          <w:szCs w:val="26"/>
        </w:rPr>
        <w:t xml:space="preserve">5.4 Power BI — Dashboard &amp; Reporting</w:t>
      </w:r>
    </w:p>
    <w:p>
      <w:pPr>
        <w:spacing w:after="160" w:line="300"/>
      </w:pPr>
      <w:r>
        <w:rPr>
          <w:color w:val="222222"/>
          <w:sz w:val="21"/>
          <w:szCs w:val="21"/>
        </w:rPr>
        <w:t xml:space="preserve">The final deliverable is a three-page interactive Power BI dashboard — Executive Overview, Customer &amp; Product Performance, and Delivery &amp; Customer Experience — with a year filter allowing stakeholders to explore trends over the full 2016–2018 period. Dashboard findings are detailed in Section 7.</w:t>
      </w:r>
    </w:p>
    <w:p>
      <w:r>
        <w:br w:type="page"/>
      </w:r>
    </w:p>
    <w:p>
      <w:pPr>
        <w:pStyle w:val="Heading1"/>
        <w:pBdr>
          <w:bottom w:val="single" w:color="2E7D4F" w:sz="8" w:space="4"/>
        </w:pBdr>
        <w:spacing w:after="200" w:before="400"/>
      </w:pPr>
      <w:r>
        <w:rPr>
          <w:b/>
          <w:bCs/>
          <w:color w:val="1F3D2E"/>
          <w:sz w:val="32"/>
          <w:szCs w:val="32"/>
        </w:rPr>
        <w:t xml:space="preserve">6. Analytical Findings</w:t>
      </w:r>
    </w:p>
    <w:p>
      <w:pPr>
        <w:pStyle w:val="Heading2"/>
        <w:spacing w:after="150" w:before="300"/>
      </w:pPr>
      <w:r>
        <w:rPr>
          <w:b/>
          <w:bCs/>
          <w:color w:val="2E7D4F"/>
          <w:sz w:val="26"/>
          <w:szCs w:val="26"/>
        </w:rPr>
        <w:t xml:space="preserve">6.1 Sales &amp; Revenue</w:t>
      </w:r>
    </w:p>
    <w:p>
      <w:pPr>
        <w:spacing w:after="160" w:line="300"/>
      </w:pPr>
      <w:r>
        <w:rPr>
          <w:color w:val="222222"/>
          <w:sz w:val="21"/>
          <w:szCs w:val="21"/>
        </w:rPr>
        <w:t xml:space="preserve">The marketplace processed roughly 99,000 orders from 99,000 unique customers, generating R$15.84M in total revenue at an average order value of R$159.33. The monthly revenue trend (see Section 7.1) shows the business scaling from late 2016 through a peak, before the visible decline toward the end of the observed window — consistent with the dataset's known 2018 cut-off rather than a genuine demand collapse.</w:t>
      </w:r>
    </w:p>
    <w:p>
      <w:pPr>
        <w:pStyle w:val="Heading2"/>
        <w:spacing w:after="150" w:before="300"/>
      </w:pPr>
      <w:r>
        <w:rPr>
          <w:b/>
          <w:bCs/>
          <w:color w:val="2E7D4F"/>
          <w:sz w:val="26"/>
          <w:szCs w:val="26"/>
        </w:rPr>
        <w:t xml:space="preserve">6.2 Geographic Concentration</w:t>
      </w:r>
    </w:p>
    <w:p>
      <w:pPr>
        <w:spacing w:after="160" w:line="300"/>
      </w:pPr>
      <w:r>
        <w:rPr>
          <w:color w:val="222222"/>
          <w:sz w:val="21"/>
          <w:szCs w:val="21"/>
        </w:rPr>
        <w:t xml:space="preserve">Revenue is heavily concentrated by state. Using the state-level revenue breakdown: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50"/>
        <w:gridCol w:w="2200"/>
      </w:tblGrid>
      <w:tr>
        <w:trPr>
          <w:tblHeader/>
        </w:trPr>
        <w:tc>
          <w:tcPr>
            <w:tcW w:type="dxa" w:w="2600"/>
            <w:shd w:fill="2E5B41" w:val="clear"/>
            <w:tcMar>
              <w:top w:type="dxa" w:w="100"/>
              <w:left w:type="dxa" w:w="120"/>
              <w:bottom w:type="dxa" w:w="100"/>
              <w:right w:type="dxa" w:w="120"/>
            </w:tcMar>
            <w:vAlign w:val="center"/>
          </w:tcPr>
          <w:p>
            <w:r>
              <w:rPr>
                <w:b/>
                <w:bCs/>
                <w:color w:val="FFFFFF"/>
                <w:sz w:val="19"/>
                <w:szCs w:val="19"/>
              </w:rPr>
              <w:t xml:space="preserve">State</w:t>
            </w:r>
          </w:p>
        </w:tc>
        <w:tc>
          <w:tcPr>
            <w:tcW w:type="dxa" w:w="2200"/>
            <w:shd w:fill="2E5B41" w:val="clear"/>
            <w:tcMar>
              <w:top w:type="dxa" w:w="100"/>
              <w:left w:type="dxa" w:w="120"/>
              <w:bottom w:type="dxa" w:w="100"/>
              <w:right w:type="dxa" w:w="120"/>
            </w:tcMar>
            <w:vAlign w:val="center"/>
          </w:tcPr>
          <w:p>
            <w:r>
              <w:rPr>
                <w:b/>
                <w:bCs/>
                <w:color w:val="FFFFFF"/>
                <w:sz w:val="19"/>
                <w:szCs w:val="19"/>
              </w:rPr>
              <w:t xml:space="preserve">Orders / Items</w:t>
            </w:r>
          </w:p>
        </w:tc>
        <w:tc>
          <w:tcPr>
            <w:tcW w:type="dxa" w:w="2350"/>
            <w:shd w:fill="2E5B41" w:val="clear"/>
            <w:tcMar>
              <w:top w:type="dxa" w:w="100"/>
              <w:left w:type="dxa" w:w="120"/>
              <w:bottom w:type="dxa" w:w="100"/>
              <w:right w:type="dxa" w:w="120"/>
            </w:tcMar>
            <w:vAlign w:val="center"/>
          </w:tcPr>
          <w:p>
            <w:r>
              <w:rPr>
                <w:b/>
                <w:bCs/>
                <w:color w:val="FFFFFF"/>
                <w:sz w:val="19"/>
                <w:szCs w:val="19"/>
              </w:rPr>
              <w:t xml:space="preserve">Revenue (R$)</w:t>
            </w:r>
          </w:p>
        </w:tc>
        <w:tc>
          <w:tcPr>
            <w:tcW w:type="dxa" w:w="2200"/>
            <w:shd w:fill="2E5B41" w:val="clear"/>
            <w:tcMar>
              <w:top w:type="dxa" w:w="100"/>
              <w:left w:type="dxa" w:w="120"/>
              <w:bottom w:type="dxa" w:w="100"/>
              <w:right w:type="dxa" w:w="120"/>
            </w:tcMar>
            <w:vAlign w:val="center"/>
          </w:tcPr>
          <w:p>
            <w:r>
              <w:rPr>
                <w:b/>
                <w:bCs/>
                <w:color w:val="FFFFFF"/>
                <w:sz w:val="19"/>
                <w:szCs w:val="19"/>
              </w:rPr>
              <w:t xml:space="preserve">Share of Revenue</w:t>
            </w:r>
          </w:p>
        </w:tc>
      </w:tr>
      <w:tr>
        <w:tc>
          <w:tcPr>
            <w:tcW w:type="dxa" w:w="2600"/>
            <w:shd w:fill="FFFFFF" w:val="clear"/>
            <w:tcMar>
              <w:top w:type="dxa" w:w="90"/>
              <w:left w:type="dxa" w:w="120"/>
              <w:bottom w:type="dxa" w:w="90"/>
              <w:right w:type="dxa" w:w="120"/>
            </w:tcMar>
            <w:vAlign w:val="center"/>
          </w:tcPr>
          <w:p>
            <w:r>
              <w:rPr>
                <w:color w:val="222222"/>
                <w:sz w:val="19"/>
                <w:szCs w:val="19"/>
              </w:rPr>
              <w:t xml:space="preserve">SP (São Paulo)</w:t>
            </w:r>
          </w:p>
        </w:tc>
        <w:tc>
          <w:tcPr>
            <w:tcW w:type="dxa" w:w="2200"/>
            <w:shd w:fill="FFFFFF" w:val="clear"/>
            <w:tcMar>
              <w:top w:type="dxa" w:w="90"/>
              <w:left w:type="dxa" w:w="120"/>
              <w:bottom w:type="dxa" w:w="90"/>
              <w:right w:type="dxa" w:w="120"/>
            </w:tcMar>
            <w:vAlign w:val="center"/>
          </w:tcPr>
          <w:p>
            <w:r>
              <w:rPr>
                <w:color w:val="222222"/>
                <w:sz w:val="19"/>
                <w:szCs w:val="19"/>
              </w:rPr>
              <w:t xml:space="preserve">41,375</w:t>
            </w:r>
          </w:p>
        </w:tc>
        <w:tc>
          <w:tcPr>
            <w:tcW w:type="dxa" w:w="2350"/>
            <w:shd w:fill="FFFFFF" w:val="clear"/>
            <w:tcMar>
              <w:top w:type="dxa" w:w="90"/>
              <w:left w:type="dxa" w:w="120"/>
              <w:bottom w:type="dxa" w:w="90"/>
              <w:right w:type="dxa" w:w="120"/>
            </w:tcMar>
            <w:vAlign w:val="center"/>
          </w:tcPr>
          <w:p>
            <w:r>
              <w:rPr>
                <w:color w:val="222222"/>
                <w:sz w:val="19"/>
                <w:szCs w:val="19"/>
              </w:rPr>
              <w:t xml:space="preserve">5,921,678</w:t>
            </w:r>
          </w:p>
        </w:tc>
        <w:tc>
          <w:tcPr>
            <w:tcW w:type="dxa" w:w="2200"/>
            <w:shd w:fill="FFFFFF" w:val="clear"/>
            <w:tcMar>
              <w:top w:type="dxa" w:w="90"/>
              <w:left w:type="dxa" w:w="120"/>
              <w:bottom w:type="dxa" w:w="90"/>
              <w:right w:type="dxa" w:w="120"/>
            </w:tcMar>
            <w:vAlign w:val="center"/>
          </w:tcPr>
          <w:p>
            <w:r>
              <w:rPr>
                <w:color w:val="222222"/>
                <w:sz w:val="19"/>
                <w:szCs w:val="19"/>
              </w:rPr>
              <w:t xml:space="preserve">37.4%</w:t>
            </w:r>
          </w:p>
        </w:tc>
      </w:tr>
      <w:tr>
        <w:tc>
          <w:tcPr>
            <w:tcW w:type="dxa" w:w="2600"/>
            <w:shd w:fill="EAF4EE" w:val="clear"/>
            <w:tcMar>
              <w:top w:type="dxa" w:w="90"/>
              <w:left w:type="dxa" w:w="120"/>
              <w:bottom w:type="dxa" w:w="90"/>
              <w:right w:type="dxa" w:w="120"/>
            </w:tcMar>
            <w:vAlign w:val="center"/>
          </w:tcPr>
          <w:p>
            <w:r>
              <w:rPr>
                <w:color w:val="222222"/>
                <w:sz w:val="19"/>
                <w:szCs w:val="19"/>
              </w:rPr>
              <w:t xml:space="preserve">RJ (Rio de Janeiro)</w:t>
            </w:r>
          </w:p>
        </w:tc>
        <w:tc>
          <w:tcPr>
            <w:tcW w:type="dxa" w:w="2200"/>
            <w:shd w:fill="EAF4EE" w:val="clear"/>
            <w:tcMar>
              <w:top w:type="dxa" w:w="90"/>
              <w:left w:type="dxa" w:w="120"/>
              <w:bottom w:type="dxa" w:w="90"/>
              <w:right w:type="dxa" w:w="120"/>
            </w:tcMar>
            <w:vAlign w:val="center"/>
          </w:tcPr>
          <w:p>
            <w:r>
              <w:rPr>
                <w:color w:val="222222"/>
                <w:sz w:val="19"/>
                <w:szCs w:val="19"/>
              </w:rPr>
              <w:t xml:space="preserve">12,762</w:t>
            </w:r>
          </w:p>
        </w:tc>
        <w:tc>
          <w:tcPr>
            <w:tcW w:type="dxa" w:w="2350"/>
            <w:shd w:fill="EAF4EE" w:val="clear"/>
            <w:tcMar>
              <w:top w:type="dxa" w:w="90"/>
              <w:left w:type="dxa" w:w="120"/>
              <w:bottom w:type="dxa" w:w="90"/>
              <w:right w:type="dxa" w:w="120"/>
            </w:tcMar>
            <w:vAlign w:val="center"/>
          </w:tcPr>
          <w:p>
            <w:r>
              <w:rPr>
                <w:color w:val="222222"/>
                <w:sz w:val="19"/>
                <w:szCs w:val="19"/>
              </w:rPr>
              <w:t xml:space="preserve">2,129,682</w:t>
            </w:r>
          </w:p>
        </w:tc>
        <w:tc>
          <w:tcPr>
            <w:tcW w:type="dxa" w:w="2200"/>
            <w:shd w:fill="EAF4EE" w:val="clear"/>
            <w:tcMar>
              <w:top w:type="dxa" w:w="90"/>
              <w:left w:type="dxa" w:w="120"/>
              <w:bottom w:type="dxa" w:w="90"/>
              <w:right w:type="dxa" w:w="120"/>
            </w:tcMar>
            <w:vAlign w:val="center"/>
          </w:tcPr>
          <w:p>
            <w:r>
              <w:rPr>
                <w:color w:val="222222"/>
                <w:sz w:val="19"/>
                <w:szCs w:val="19"/>
              </w:rPr>
              <w:t xml:space="preserve">13.4%</w:t>
            </w:r>
          </w:p>
        </w:tc>
      </w:tr>
      <w:tr>
        <w:tc>
          <w:tcPr>
            <w:tcW w:type="dxa" w:w="2600"/>
            <w:shd w:fill="FFFFFF" w:val="clear"/>
            <w:tcMar>
              <w:top w:type="dxa" w:w="90"/>
              <w:left w:type="dxa" w:w="120"/>
              <w:bottom w:type="dxa" w:w="90"/>
              <w:right w:type="dxa" w:w="120"/>
            </w:tcMar>
            <w:vAlign w:val="center"/>
          </w:tcPr>
          <w:p>
            <w:r>
              <w:rPr>
                <w:color w:val="222222"/>
                <w:sz w:val="19"/>
                <w:szCs w:val="19"/>
              </w:rPr>
              <w:t xml:space="preserve">MG (Minas Gerais)</w:t>
            </w:r>
          </w:p>
        </w:tc>
        <w:tc>
          <w:tcPr>
            <w:tcW w:type="dxa" w:w="2200"/>
            <w:shd w:fill="FFFFFF" w:val="clear"/>
            <w:tcMar>
              <w:top w:type="dxa" w:w="90"/>
              <w:left w:type="dxa" w:w="120"/>
              <w:bottom w:type="dxa" w:w="90"/>
              <w:right w:type="dxa" w:w="120"/>
            </w:tcMar>
            <w:vAlign w:val="center"/>
          </w:tcPr>
          <w:p>
            <w:r>
              <w:rPr>
                <w:color w:val="222222"/>
                <w:sz w:val="19"/>
                <w:szCs w:val="19"/>
              </w:rPr>
              <w:t xml:space="preserve">11,544</w:t>
            </w:r>
          </w:p>
        </w:tc>
        <w:tc>
          <w:tcPr>
            <w:tcW w:type="dxa" w:w="2350"/>
            <w:shd w:fill="FFFFFF" w:val="clear"/>
            <w:tcMar>
              <w:top w:type="dxa" w:w="90"/>
              <w:left w:type="dxa" w:w="120"/>
              <w:bottom w:type="dxa" w:w="90"/>
              <w:right w:type="dxa" w:w="120"/>
            </w:tcMar>
            <w:vAlign w:val="center"/>
          </w:tcPr>
          <w:p>
            <w:r>
              <w:rPr>
                <w:color w:val="222222"/>
                <w:sz w:val="19"/>
                <w:szCs w:val="19"/>
              </w:rPr>
              <w:t xml:space="preserve">1,856,161</w:t>
            </w:r>
          </w:p>
        </w:tc>
        <w:tc>
          <w:tcPr>
            <w:tcW w:type="dxa" w:w="2200"/>
            <w:shd w:fill="FFFFFF" w:val="clear"/>
            <w:tcMar>
              <w:top w:type="dxa" w:w="90"/>
              <w:left w:type="dxa" w:w="120"/>
              <w:bottom w:type="dxa" w:w="90"/>
              <w:right w:type="dxa" w:w="120"/>
            </w:tcMar>
            <w:vAlign w:val="center"/>
          </w:tcPr>
          <w:p>
            <w:r>
              <w:rPr>
                <w:color w:val="222222"/>
                <w:sz w:val="19"/>
                <w:szCs w:val="19"/>
              </w:rPr>
              <w:t xml:space="preserve">11.7%</w:t>
            </w:r>
          </w:p>
        </w:tc>
      </w:tr>
      <w:tr>
        <w:tc>
          <w:tcPr>
            <w:tcW w:type="dxa" w:w="2600"/>
            <w:shd w:fill="EAF4EE" w:val="clear"/>
            <w:tcMar>
              <w:top w:type="dxa" w:w="90"/>
              <w:left w:type="dxa" w:w="120"/>
              <w:bottom w:type="dxa" w:w="90"/>
              <w:right w:type="dxa" w:w="120"/>
            </w:tcMar>
            <w:vAlign w:val="center"/>
          </w:tcPr>
          <w:p>
            <w:r>
              <w:rPr>
                <w:color w:val="222222"/>
                <w:sz w:val="19"/>
                <w:szCs w:val="19"/>
              </w:rPr>
              <w:t xml:space="preserve">RS (Rio Grande do Sul)</w:t>
            </w:r>
          </w:p>
        </w:tc>
        <w:tc>
          <w:tcPr>
            <w:tcW w:type="dxa" w:w="2200"/>
            <w:shd w:fill="EAF4EE" w:val="clear"/>
            <w:tcMar>
              <w:top w:type="dxa" w:w="90"/>
              <w:left w:type="dxa" w:w="120"/>
              <w:bottom w:type="dxa" w:w="90"/>
              <w:right w:type="dxa" w:w="120"/>
            </w:tcMar>
            <w:vAlign w:val="center"/>
          </w:tcPr>
          <w:p>
            <w:r>
              <w:rPr>
                <w:color w:val="222222"/>
                <w:sz w:val="19"/>
                <w:szCs w:val="19"/>
              </w:rPr>
              <w:t xml:space="preserve">5,432</w:t>
            </w:r>
          </w:p>
        </w:tc>
        <w:tc>
          <w:tcPr>
            <w:tcW w:type="dxa" w:w="2350"/>
            <w:shd w:fill="EAF4EE" w:val="clear"/>
            <w:tcMar>
              <w:top w:type="dxa" w:w="90"/>
              <w:left w:type="dxa" w:w="120"/>
              <w:bottom w:type="dxa" w:w="90"/>
              <w:right w:type="dxa" w:w="120"/>
            </w:tcMar>
            <w:vAlign w:val="center"/>
          </w:tcPr>
          <w:p>
            <w:r>
              <w:rPr>
                <w:color w:val="222222"/>
                <w:sz w:val="19"/>
                <w:szCs w:val="19"/>
              </w:rPr>
              <w:t xml:space="preserve">885,827</w:t>
            </w:r>
          </w:p>
        </w:tc>
        <w:tc>
          <w:tcPr>
            <w:tcW w:type="dxa" w:w="2200"/>
            <w:shd w:fill="EAF4EE" w:val="clear"/>
            <w:tcMar>
              <w:top w:type="dxa" w:w="90"/>
              <w:left w:type="dxa" w:w="120"/>
              <w:bottom w:type="dxa" w:w="90"/>
              <w:right w:type="dxa" w:w="120"/>
            </w:tcMar>
            <w:vAlign w:val="center"/>
          </w:tcPr>
          <w:p>
            <w:r>
              <w:rPr>
                <w:color w:val="222222"/>
                <w:sz w:val="19"/>
                <w:szCs w:val="19"/>
              </w:rPr>
              <w:t xml:space="preserve">5.6%</w:t>
            </w:r>
          </w:p>
        </w:tc>
      </w:tr>
      <w:tr>
        <w:tc>
          <w:tcPr>
            <w:tcW w:type="dxa" w:w="2600"/>
            <w:shd w:fill="FFFFFF" w:val="clear"/>
            <w:tcMar>
              <w:top w:type="dxa" w:w="90"/>
              <w:left w:type="dxa" w:w="120"/>
              <w:bottom w:type="dxa" w:w="90"/>
              <w:right w:type="dxa" w:w="120"/>
            </w:tcMar>
            <w:vAlign w:val="center"/>
          </w:tcPr>
          <w:p>
            <w:r>
              <w:rPr>
                <w:color w:val="222222"/>
                <w:sz w:val="19"/>
                <w:szCs w:val="19"/>
              </w:rPr>
              <w:t xml:space="preserve">PR (Paraná)</w:t>
            </w:r>
          </w:p>
        </w:tc>
        <w:tc>
          <w:tcPr>
            <w:tcW w:type="dxa" w:w="2200"/>
            <w:shd w:fill="FFFFFF" w:val="clear"/>
            <w:tcMar>
              <w:top w:type="dxa" w:w="90"/>
              <w:left w:type="dxa" w:w="120"/>
              <w:bottom w:type="dxa" w:w="90"/>
              <w:right w:type="dxa" w:w="120"/>
            </w:tcMar>
            <w:vAlign w:val="center"/>
          </w:tcPr>
          <w:p>
            <w:r>
              <w:rPr>
                <w:color w:val="222222"/>
                <w:sz w:val="19"/>
                <w:szCs w:val="19"/>
              </w:rPr>
              <w:t xml:space="preserve">4,998</w:t>
            </w:r>
          </w:p>
        </w:tc>
        <w:tc>
          <w:tcPr>
            <w:tcW w:type="dxa" w:w="2350"/>
            <w:shd w:fill="FFFFFF" w:val="clear"/>
            <w:tcMar>
              <w:top w:type="dxa" w:w="90"/>
              <w:left w:type="dxa" w:w="120"/>
              <w:bottom w:type="dxa" w:w="90"/>
              <w:right w:type="dxa" w:w="120"/>
            </w:tcMar>
            <w:vAlign w:val="center"/>
          </w:tcPr>
          <w:p>
            <w:r>
              <w:rPr>
                <w:color w:val="222222"/>
                <w:sz w:val="19"/>
                <w:szCs w:val="19"/>
              </w:rPr>
              <w:t xml:space="preserve">800,935</w:t>
            </w:r>
          </w:p>
        </w:tc>
        <w:tc>
          <w:tcPr>
            <w:tcW w:type="dxa" w:w="2200"/>
            <w:shd w:fill="FFFFFF" w:val="clear"/>
            <w:tcMar>
              <w:top w:type="dxa" w:w="90"/>
              <w:left w:type="dxa" w:w="120"/>
              <w:bottom w:type="dxa" w:w="90"/>
              <w:right w:type="dxa" w:w="120"/>
            </w:tcMar>
            <w:vAlign w:val="center"/>
          </w:tcPr>
          <w:p>
            <w:r>
              <w:rPr>
                <w:color w:val="222222"/>
                <w:sz w:val="19"/>
                <w:szCs w:val="19"/>
              </w:rPr>
              <w:t xml:space="preserve">5.1%</w:t>
            </w:r>
          </w:p>
        </w:tc>
      </w:tr>
      <w:tr>
        <w:tc>
          <w:tcPr>
            <w:tcW w:type="dxa" w:w="2600"/>
            <w:shd w:fill="EAF4EE" w:val="clear"/>
            <w:tcMar>
              <w:top w:type="dxa" w:w="90"/>
              <w:left w:type="dxa" w:w="120"/>
              <w:bottom w:type="dxa" w:w="90"/>
              <w:right w:type="dxa" w:w="120"/>
            </w:tcMar>
            <w:vAlign w:val="center"/>
          </w:tcPr>
          <w:p>
            <w:r>
              <w:rPr>
                <w:color w:val="222222"/>
                <w:sz w:val="19"/>
                <w:szCs w:val="19"/>
              </w:rPr>
              <w:t xml:space="preserve">All other states (21)</w:t>
            </w:r>
          </w:p>
        </w:tc>
        <w:tc>
          <w:tcPr>
            <w:tcW w:type="dxa" w:w="2200"/>
            <w:shd w:fill="EAF4EE" w:val="clear"/>
            <w:tcMar>
              <w:top w:type="dxa" w:w="90"/>
              <w:left w:type="dxa" w:w="120"/>
              <w:bottom w:type="dxa" w:w="90"/>
              <w:right w:type="dxa" w:w="120"/>
            </w:tcMar>
            <w:vAlign w:val="center"/>
          </w:tcPr>
          <w:p>
            <w:r>
              <w:rPr>
                <w:color w:val="222222"/>
                <w:sz w:val="19"/>
                <w:szCs w:val="19"/>
              </w:rPr>
              <w:t xml:space="preserve">22,555</w:t>
            </w:r>
          </w:p>
        </w:tc>
        <w:tc>
          <w:tcPr>
            <w:tcW w:type="dxa" w:w="2350"/>
            <w:shd w:fill="EAF4EE" w:val="clear"/>
            <w:tcMar>
              <w:top w:type="dxa" w:w="90"/>
              <w:left w:type="dxa" w:w="120"/>
              <w:bottom w:type="dxa" w:w="90"/>
              <w:right w:type="dxa" w:w="120"/>
            </w:tcMar>
            <w:vAlign w:val="center"/>
          </w:tcPr>
          <w:p>
            <w:r>
              <w:rPr>
                <w:color w:val="222222"/>
                <w:sz w:val="19"/>
                <w:szCs w:val="19"/>
              </w:rPr>
              <w:t xml:space="preserve">4,249,270</w:t>
            </w:r>
          </w:p>
        </w:tc>
        <w:tc>
          <w:tcPr>
            <w:tcW w:type="dxa" w:w="2200"/>
            <w:shd w:fill="EAF4EE" w:val="clear"/>
            <w:tcMar>
              <w:top w:type="dxa" w:w="90"/>
              <w:left w:type="dxa" w:w="120"/>
              <w:bottom w:type="dxa" w:w="90"/>
              <w:right w:type="dxa" w:w="120"/>
            </w:tcMar>
            <w:vAlign w:val="center"/>
          </w:tcPr>
          <w:p>
            <w:r>
              <w:rPr>
                <w:color w:val="222222"/>
                <w:sz w:val="19"/>
                <w:szCs w:val="19"/>
              </w:rPr>
              <w:t xml:space="preserve">26.8%</w:t>
            </w:r>
          </w:p>
        </w:tc>
      </w:tr>
    </w:tbl>
    <w:p>
      <w:pPr>
        <w:spacing w:after="120"/>
      </w:pPr>
    </w:p>
    <w:tbl>
      <w:tblPr>
        <w:tblW w:type="dxa" w:w="9350"/>
        <w:tblBorders>
          <w:top w:val="single" w:color="4CA372" w:sz="4"/>
          <w:left w:val="single" w:color="4CA372" w:sz="24"/>
          <w:bottom w:val="single" w:color="4CA372" w:sz="4"/>
          <w:right w:val="single" w:color="4CA372" w:sz="4"/>
          <w:insideH w:val="single" w:color="auto" w:sz="4"/>
          <w:insideV w:val="single" w:color="auto" w:sz="4"/>
        </w:tblBorders>
      </w:tblPr>
      <w:tblGrid>
        <w:gridCol w:w="100"/>
      </w:tblGrid>
      <w:tr>
        <w:tc>
          <w:tcPr>
            <w:shd w:fill="EAF4EE" w:val="clear"/>
            <w:tcMar>
              <w:top w:type="dxa" w:w="160"/>
              <w:left w:type="dxa" w:w="220"/>
              <w:bottom w:type="dxa" w:w="160"/>
              <w:right w:type="dxa" w:w="220"/>
            </w:tcMar>
          </w:tcPr>
          <w:p>
            <w:pPr>
              <w:spacing w:after="60"/>
            </w:pPr>
            <w:r>
              <w:rPr>
                <w:b/>
                <w:bCs/>
                <w:color w:val="2E7D4F"/>
                <w:sz w:val="18"/>
                <w:szCs w:val="18"/>
              </w:rPr>
              <w:t xml:space="preserve">PARETO FINDING</w:t>
            </w:r>
          </w:p>
          <w:p>
            <w:pPr>
              <w:spacing w:after="0"/>
            </w:pPr>
            <w:r>
              <w:rPr>
                <w:color w:val="222222"/>
                <w:sz w:val="21"/>
                <w:szCs w:val="21"/>
              </w:rPr>
              <w:t xml:space="preserve">The top 5 states generate 73.2% of total revenue, and São Paulo alone accounts for 37.4%. This is a Pareto-style concentration: geographic risk and opportunity are both concentrated in a small number of states.</w:t>
            </w:r>
          </w:p>
        </w:tc>
      </w:tr>
    </w:tbl>
    <w:p>
      <w:pPr>
        <w:pStyle w:val="Heading2"/>
        <w:spacing w:after="150" w:before="300"/>
      </w:pPr>
      <w:r>
        <w:rPr>
          <w:b/>
          <w:bCs/>
          <w:color w:val="2E7D4F"/>
          <w:sz w:val="26"/>
          <w:szCs w:val="26"/>
        </w:rPr>
        <w:t xml:space="preserve">6.3 Product &amp; Category Performance</w:t>
      </w:r>
    </w:p>
    <w:p>
      <w:pPr>
        <w:spacing w:after="160" w:line="300"/>
      </w:pPr>
      <w:r>
        <w:rPr>
          <w:color w:val="222222"/>
          <w:sz w:val="21"/>
          <w:szCs w:val="21"/>
        </w:rPr>
        <w:t xml:space="preserve">Top categories by revenue include beleza_saude (health &amp; beauty), relogios_presentes (watches &amp; gifts), cama_mesa_banho (bed, bath &amp; table), esporte_lazer (sports &amp; leisure), informatica_acessorios (computer accessories), and moveis_decoracao (furniture &amp; decor). Product revenue reached R$13.59M across 33,000 unique products and 3,000 unique sellers.</w:t>
      </w:r>
    </w:p>
    <w:p>
      <w:pPr>
        <w:spacing w:after="160" w:line="300"/>
      </w:pPr>
      <w:r>
        <w:rPr>
          <w:color w:val="222222"/>
          <w:sz w:val="21"/>
          <w:szCs w:val="21"/>
        </w:rPr>
        <w:t xml:space="preserve">Category revenue and items sold move closely together (a scatter of category revenue vs. items sold shows a clear positive relationship), but a handful of categories achieve above-trend revenue per item — signaling higher-price or higher-margin categories worth protecting and promoting.</w:t>
      </w:r>
    </w:p>
    <w:p>
      <w:pPr>
        <w:pStyle w:val="Heading2"/>
        <w:spacing w:after="150" w:before="300"/>
      </w:pPr>
      <w:r>
        <w:rPr>
          <w:b/>
          <w:bCs/>
          <w:color w:val="2E7D4F"/>
          <w:sz w:val="26"/>
          <w:szCs w:val="26"/>
        </w:rPr>
        <w:t xml:space="preserve">6.4 Customer Retention</w:t>
      </w:r>
    </w:p>
    <w:tbl>
      <w:tblPr>
        <w:tblW w:type="dxa" w:w="9350"/>
        <w:tblBorders>
          <w:top w:val="single" w:color="4CA372" w:sz="4"/>
          <w:left w:val="single" w:color="4CA372" w:sz="24"/>
          <w:bottom w:val="single" w:color="4CA372" w:sz="4"/>
          <w:right w:val="single" w:color="4CA372" w:sz="4"/>
          <w:insideH w:val="single" w:color="auto" w:sz="4"/>
          <w:insideV w:val="single" w:color="auto" w:sz="4"/>
        </w:tblBorders>
      </w:tblPr>
      <w:tblGrid>
        <w:gridCol w:w="100"/>
      </w:tblGrid>
      <w:tr>
        <w:tc>
          <w:tcPr>
            <w:shd w:fill="EAF4EE" w:val="clear"/>
            <w:tcMar>
              <w:top w:type="dxa" w:w="160"/>
              <w:left w:type="dxa" w:w="220"/>
              <w:bottom w:type="dxa" w:w="160"/>
              <w:right w:type="dxa" w:w="220"/>
            </w:tcMar>
          </w:tcPr>
          <w:p>
            <w:pPr>
              <w:spacing w:after="60"/>
            </w:pPr>
            <w:r>
              <w:rPr>
                <w:b/>
                <w:bCs/>
                <w:color w:val="2E7D4F"/>
                <w:sz w:val="18"/>
                <w:szCs w:val="18"/>
              </w:rPr>
              <w:t xml:space="preserve">CRITICAL FINDING</w:t>
            </w:r>
          </w:p>
          <w:p>
            <w:pPr>
              <w:spacing w:after="0"/>
            </w:pPr>
            <w:r>
              <w:rPr>
                <w:color w:val="222222"/>
                <w:sz w:val="21"/>
                <w:szCs w:val="21"/>
              </w:rPr>
              <w:t xml:space="preserve">Repeat Customer Rate is just 3.01%. Roughly 97 of every 100 customers who purchase from Olist never come back for a second order.</w:t>
            </w:r>
          </w:p>
        </w:tc>
      </w:tr>
    </w:tbl>
    <w:p>
      <w:pPr>
        <w:spacing w:after="160" w:line="300"/>
      </w:pPr>
      <w:r>
        <w:rPr>
          <w:color w:val="222222"/>
          <w:sz w:val="21"/>
          <w:szCs w:val="21"/>
        </w:rPr>
        <w:t xml:space="preserve">This is the single most important customer-side finding in the analysis. With customer acquisition presumably costing real marketing spend, a 3% repeat rate means the business is almost entirely dependent on continuously acquiring new customers rather than growing value from existing ones.</w:t>
      </w:r>
    </w:p>
    <w:p>
      <w:pPr>
        <w:pStyle w:val="Heading2"/>
        <w:spacing w:after="150" w:before="300"/>
      </w:pPr>
      <w:r>
        <w:rPr>
          <w:b/>
          <w:bCs/>
          <w:color w:val="2E7D4F"/>
          <w:sz w:val="26"/>
          <w:szCs w:val="26"/>
        </w:rPr>
        <w:t xml:space="preserve">6.5 Delivery Performance &amp; Its Link to Reviews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E5B41" w:val="clear"/>
            <w:tcMar>
              <w:top w:type="dxa" w:w="100"/>
              <w:left w:type="dxa" w:w="120"/>
              <w:bottom w:type="dxa" w:w="100"/>
              <w:right w:type="dxa" w:w="120"/>
            </w:tcMar>
            <w:vAlign w:val="center"/>
          </w:tcPr>
          <w:p>
            <w:r>
              <w:rPr>
                <w:b/>
                <w:bCs/>
                <w:color w:val="FFFFFF"/>
                <w:sz w:val="19"/>
                <w:szCs w:val="19"/>
              </w:rPr>
              <w:t xml:space="preserve">Metric</w:t>
            </w:r>
          </w:p>
        </w:tc>
        <w:tc>
          <w:tcPr>
            <w:tcW w:type="dxa" w:w="4675"/>
            <w:shd w:fill="2E5B41" w:val="clear"/>
            <w:tcMar>
              <w:top w:type="dxa" w:w="100"/>
              <w:left w:type="dxa" w:w="120"/>
              <w:bottom w:type="dxa" w:w="100"/>
              <w:right w:type="dxa" w:w="120"/>
            </w:tcMar>
            <w:vAlign w:val="center"/>
          </w:tcPr>
          <w:p>
            <w:r>
              <w:rPr>
                <w:b/>
                <w:bCs/>
                <w:color w:val="FFFFFF"/>
                <w:sz w:val="19"/>
                <w:szCs w:val="19"/>
              </w:rPr>
              <w:t xml:space="preserve">Value</w:t>
            </w:r>
          </w:p>
        </w:tc>
      </w:tr>
      <w:tr>
        <w:tc>
          <w:tcPr>
            <w:tcW w:type="dxa" w:w="4675"/>
            <w:shd w:fill="FFFFFF" w:val="clear"/>
            <w:tcMar>
              <w:top w:type="dxa" w:w="90"/>
              <w:left w:type="dxa" w:w="120"/>
              <w:bottom w:type="dxa" w:w="90"/>
              <w:right w:type="dxa" w:w="120"/>
            </w:tcMar>
            <w:vAlign w:val="center"/>
          </w:tcPr>
          <w:p>
            <w:r>
              <w:rPr>
                <w:color w:val="222222"/>
                <w:sz w:val="19"/>
                <w:szCs w:val="19"/>
              </w:rPr>
              <w:t xml:space="preserve">Delivered Orders</w:t>
            </w:r>
          </w:p>
        </w:tc>
        <w:tc>
          <w:tcPr>
            <w:tcW w:type="dxa" w:w="4675"/>
            <w:shd w:fill="FFFFFF" w:val="clear"/>
            <w:tcMar>
              <w:top w:type="dxa" w:w="90"/>
              <w:left w:type="dxa" w:w="120"/>
              <w:bottom w:type="dxa" w:w="90"/>
              <w:right w:type="dxa" w:w="120"/>
            </w:tcMar>
            <w:vAlign w:val="center"/>
          </w:tcPr>
          <w:p>
            <w:r>
              <w:rPr>
                <w:color w:val="222222"/>
                <w:sz w:val="19"/>
                <w:szCs w:val="19"/>
              </w:rPr>
              <w:t xml:space="preserve">96K</w:t>
            </w:r>
          </w:p>
        </w:tc>
      </w:tr>
      <w:tr>
        <w:tc>
          <w:tcPr>
            <w:tcW w:type="dxa" w:w="4675"/>
            <w:shd w:fill="EAF4EE" w:val="clear"/>
            <w:tcMar>
              <w:top w:type="dxa" w:w="90"/>
              <w:left w:type="dxa" w:w="120"/>
              <w:bottom w:type="dxa" w:w="90"/>
              <w:right w:type="dxa" w:w="120"/>
            </w:tcMar>
            <w:vAlign w:val="center"/>
          </w:tcPr>
          <w:p>
            <w:r>
              <w:rPr>
                <w:color w:val="222222"/>
                <w:sz w:val="19"/>
                <w:szCs w:val="19"/>
              </w:rPr>
              <w:t xml:space="preserve">Average Delivery Days</w:t>
            </w:r>
          </w:p>
        </w:tc>
        <w:tc>
          <w:tcPr>
            <w:tcW w:type="dxa" w:w="4675"/>
            <w:shd w:fill="EAF4EE" w:val="clear"/>
            <w:tcMar>
              <w:top w:type="dxa" w:w="90"/>
              <w:left w:type="dxa" w:w="120"/>
              <w:bottom w:type="dxa" w:w="90"/>
              <w:right w:type="dxa" w:w="120"/>
            </w:tcMar>
            <w:vAlign w:val="center"/>
          </w:tcPr>
          <w:p>
            <w:r>
              <w:rPr>
                <w:color w:val="222222"/>
                <w:sz w:val="19"/>
                <w:szCs w:val="19"/>
              </w:rPr>
              <w:t xml:space="preserve">12.50</w:t>
            </w:r>
          </w:p>
        </w:tc>
      </w:tr>
      <w:tr>
        <w:tc>
          <w:tcPr>
            <w:tcW w:type="dxa" w:w="4675"/>
            <w:shd w:fill="FFFFFF" w:val="clear"/>
            <w:tcMar>
              <w:top w:type="dxa" w:w="90"/>
              <w:left w:type="dxa" w:w="120"/>
              <w:bottom w:type="dxa" w:w="90"/>
              <w:right w:type="dxa" w:w="120"/>
            </w:tcMar>
            <w:vAlign w:val="center"/>
          </w:tcPr>
          <w:p>
            <w:r>
              <w:rPr>
                <w:color w:val="222222"/>
                <w:sz w:val="19"/>
                <w:szCs w:val="19"/>
              </w:rPr>
              <w:t xml:space="preserve">Late Delivery Rate</w:t>
            </w:r>
          </w:p>
        </w:tc>
        <w:tc>
          <w:tcPr>
            <w:tcW w:type="dxa" w:w="4675"/>
            <w:shd w:fill="FFFFFF" w:val="clear"/>
            <w:tcMar>
              <w:top w:type="dxa" w:w="90"/>
              <w:left w:type="dxa" w:w="120"/>
              <w:bottom w:type="dxa" w:w="90"/>
              <w:right w:type="dxa" w:w="120"/>
            </w:tcMar>
            <w:vAlign w:val="center"/>
          </w:tcPr>
          <w:p>
            <w:r>
              <w:rPr>
                <w:color w:val="222222"/>
                <w:sz w:val="19"/>
                <w:szCs w:val="19"/>
              </w:rPr>
              <w:t xml:space="preserve">7.87%</w:t>
            </w:r>
          </w:p>
        </w:tc>
      </w:tr>
      <w:tr>
        <w:tc>
          <w:tcPr>
            <w:tcW w:type="dxa" w:w="4675"/>
            <w:shd w:fill="EAF4EE" w:val="clear"/>
            <w:tcMar>
              <w:top w:type="dxa" w:w="90"/>
              <w:left w:type="dxa" w:w="120"/>
              <w:bottom w:type="dxa" w:w="90"/>
              <w:right w:type="dxa" w:w="120"/>
            </w:tcMar>
            <w:vAlign w:val="center"/>
          </w:tcPr>
          <w:p>
            <w:r>
              <w:rPr>
                <w:color w:val="222222"/>
                <w:sz w:val="19"/>
                <w:szCs w:val="19"/>
              </w:rPr>
              <w:t xml:space="preserve">Average Review Score</w:t>
            </w:r>
          </w:p>
        </w:tc>
        <w:tc>
          <w:tcPr>
            <w:tcW w:type="dxa" w:w="4675"/>
            <w:shd w:fill="EAF4EE" w:val="clear"/>
            <w:tcMar>
              <w:top w:type="dxa" w:w="90"/>
              <w:left w:type="dxa" w:w="120"/>
              <w:bottom w:type="dxa" w:w="90"/>
              <w:right w:type="dxa" w:w="120"/>
            </w:tcMar>
            <w:vAlign w:val="center"/>
          </w:tcPr>
          <w:p>
            <w:r>
              <w:rPr>
                <w:color w:val="222222"/>
                <w:sz w:val="19"/>
                <w:szCs w:val="19"/>
              </w:rPr>
              <w:t xml:space="preserve">4.09 / 5</w:t>
            </w:r>
          </w:p>
        </w:tc>
      </w:tr>
    </w:tbl>
    <w:p>
      <w:pPr>
        <w:spacing w:after="120"/>
      </w:pPr>
    </w:p>
    <w:p>
      <w:pPr>
        <w:spacing w:after="160" w:line="300"/>
      </w:pPr>
      <w:r>
        <w:rPr>
          <w:color w:val="222222"/>
          <w:sz w:val="21"/>
          <w:szCs w:val="21"/>
        </w:rPr>
        <w:t xml:space="preserve">Average delivery time fell sharply from over 50 days in the earliest months (2016) to a stable band close to 10–15 days by 2018 — a clear sign of operational maturation over the observed period.</w:t>
      </w:r>
    </w:p>
    <w:p>
      <w:pPr>
        <w:spacing w:after="160" w:line="300"/>
      </w:pPr>
      <w:r>
        <w:rPr>
          <w:color w:val="222222"/>
          <w:sz w:val="21"/>
          <w:szCs w:val="21"/>
        </w:rPr>
        <w:t xml:space="preserve">The delivery-time-vs-review-score relationship is visibly negative: orders with shorter delivery times cluster around 4.0–4.2 average review scores, while orders with delivery times approaching 30 days cluster closer to 3.6–3.8. This is an association, not proof of causation — product quality and seller service also shape reviews — but the pattern is consistent enough to treat delivery as a real driver of customer satisfaction.</w:t>
      </w:r>
    </w:p>
    <w:p>
      <w:pPr>
        <w:spacing w:after="160" w:line="300"/>
      </w:pPr>
      <w:r>
        <w:rPr>
          <w:color w:val="222222"/>
          <w:sz w:val="21"/>
          <w:szCs w:val="21"/>
        </w:rPr>
        <w:t xml:space="preserve">Late deliveries are themselves geographically concentrated: São Paulo (2.4K late orders), Rio de Janeiro (1.7K), and Minas Gerais (0.6K) account for the majority of late-delivery volume — notably the same states that drive the most revenue, meaning delivery problems in these states have outsized customer-experience impact.</w:t>
      </w:r>
    </w:p>
    <w:p>
      <w:pPr>
        <w:pStyle w:val="Heading2"/>
        <w:spacing w:after="150" w:before="300"/>
      </w:pPr>
      <w:r>
        <w:rPr>
          <w:b/>
          <w:bCs/>
          <w:color w:val="2E7D4F"/>
          <w:sz w:val="26"/>
          <w:szCs w:val="26"/>
        </w:rPr>
        <w:t xml:space="preserve">6.6 Payment Behavior</w:t>
      </w:r>
    </w:p>
    <w:p>
      <w:pPr>
        <w:spacing w:after="160" w:line="300"/>
      </w:pPr>
      <w:r>
        <w:rPr>
          <w:color w:val="222222"/>
          <w:sz w:val="21"/>
          <w:szCs w:val="21"/>
        </w:rPr>
        <w:t xml:space="preserve">Credit card is the dominant payment method by a wide margin (R$13M in payment value), followed by boleto (a Brazilian bank-slip payment method, R$3M). Voucher, debit card, and undefined payment types are marginal by comparison. This concentration suggests credit card processing reliability and fees are disproportionately important to the business's payment economics.</w:t>
      </w:r>
    </w:p>
    <w:p>
      <w:pPr>
        <w:pStyle w:val="Heading2"/>
        <w:spacing w:after="150" w:before="300"/>
      </w:pPr>
      <w:r>
        <w:rPr>
          <w:b/>
          <w:bCs/>
          <w:color w:val="2E7D4F"/>
          <w:sz w:val="26"/>
          <w:szCs w:val="26"/>
        </w:rPr>
        <w:t xml:space="preserve">6.7 Order Status Mix</w:t>
      </w:r>
    </w:p>
    <w:p>
      <w:pPr>
        <w:spacing w:after="160" w:line="300"/>
      </w:pPr>
      <w:r>
        <w:rPr>
          <w:color w:val="222222"/>
          <w:sz w:val="21"/>
          <w:szCs w:val="21"/>
        </w:rPr>
        <w:t xml:space="preserve">The large majority of orders reach 'delivered' status, with small shares of shipped, canceled, unavailable, and invoiced orders. Canceled and unavailable orders, while a small percentage, represent both lost revenue and a customer-experience risk worth monitoring as a discrete KPI rather than folding into the delivered-order totals.</w:t>
      </w:r>
    </w:p>
    <w:p>
      <w:r>
        <w:br w:type="page"/>
      </w:r>
    </w:p>
    <w:p>
      <w:pPr>
        <w:pStyle w:val="Heading1"/>
        <w:pBdr>
          <w:bottom w:val="single" w:color="2E7D4F" w:sz="8" w:space="4"/>
        </w:pBdr>
        <w:spacing w:after="200" w:before="400"/>
      </w:pPr>
      <w:r>
        <w:rPr>
          <w:b/>
          <w:bCs/>
          <w:color w:val="1F3D2E"/>
          <w:sz w:val="32"/>
          <w:szCs w:val="32"/>
        </w:rPr>
        <w:t xml:space="preserve">7. Dashboard Summary</w:t>
      </w:r>
    </w:p>
    <w:p>
      <w:pPr>
        <w:spacing w:after="160" w:line="300"/>
      </w:pPr>
      <w:r>
        <w:rPr>
          <w:color w:val="222222"/>
          <w:sz w:val="21"/>
          <w:szCs w:val="21"/>
        </w:rPr>
        <w:t xml:space="preserve">The Power BI dashboard translates the analysis into three interactive pages, each filterable by year.</w:t>
      </w:r>
    </w:p>
    <w:p>
      <w:pPr>
        <w:pStyle w:val="Heading2"/>
        <w:spacing w:after="150" w:before="300"/>
      </w:pPr>
      <w:r>
        <w:rPr>
          <w:b/>
          <w:bCs/>
          <w:color w:val="2E7D4F"/>
          <w:sz w:val="26"/>
          <w:szCs w:val="26"/>
        </w:rPr>
        <w:t xml:space="preserve">7.1 Page 1 — Executive Overview</w:t>
      </w:r>
    </w:p>
    <w:p>
      <w:pPr>
        <w:spacing w:after="80"/>
        <w:jc w:val="center"/>
      </w:pPr>
      <w:r>
        <w:drawing>
          <wp:inline distT="0" distB="0" distL="0" distR="0">
            <wp:extent cx="5905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09950"/>
                    </a:xfrm>
                    <a:prstGeom prst="rect">
                      <a:avLst/>
                    </a:prstGeom>
                  </pic:spPr>
                </pic:pic>
              </a:graphicData>
            </a:graphic>
          </wp:inline>
        </w:drawing>
      </w:r>
    </w:p>
    <w:p>
      <w:pPr>
        <w:spacing w:after="200"/>
        <w:jc w:val="center"/>
      </w:pPr>
      <w:r>
        <w:rPr>
          <w:i/>
          <w:iCs/>
          <w:color w:val="595959"/>
          <w:sz w:val="18"/>
          <w:szCs w:val="18"/>
        </w:rPr>
        <w:t xml:space="preserve">Figure 2 — Executive Overview: headline KPIs, monthly revenue trend, delivery performance, top states by revenue, payment method by value, and orders by status.</w:t>
      </w:r>
    </w:p>
    <w:p>
      <w:pPr>
        <w:pStyle w:val="ListParagraph"/>
        <w:numPr>
          <w:ilvl w:val="0"/>
          <w:numId w:val="1"/>
        </w:numPr>
        <w:spacing w:after="100"/>
      </w:pPr>
      <w:r>
        <w:rPr>
          <w:color w:val="222222"/>
          <w:sz w:val="21"/>
          <w:szCs w:val="21"/>
        </w:rPr>
        <w:t xml:space="preserve">Total Customers 99K · Total Revenue R$15.84M · Total Orders 99K · Average Order Value R$159.33</w:t>
      </w:r>
    </w:p>
    <w:p>
      <w:pPr>
        <w:pStyle w:val="ListParagraph"/>
        <w:numPr>
          <w:ilvl w:val="0"/>
          <w:numId w:val="1"/>
        </w:numPr>
        <w:spacing w:after="100"/>
      </w:pPr>
      <w:r>
        <w:rPr>
          <w:color w:val="222222"/>
          <w:sz w:val="21"/>
          <w:szCs w:val="21"/>
        </w:rPr>
        <w:t xml:space="preserve">Delivery performance donut shows the large majority of orders arriving on time, with smaller Late and Not Delivered slices</w:t>
      </w:r>
    </w:p>
    <w:p>
      <w:pPr>
        <w:pStyle w:val="ListParagraph"/>
        <w:numPr>
          <w:ilvl w:val="0"/>
          <w:numId w:val="1"/>
        </w:numPr>
        <w:spacing w:after="100"/>
      </w:pPr>
      <w:r>
        <w:rPr>
          <w:color w:val="222222"/>
          <w:sz w:val="21"/>
          <w:szCs w:val="21"/>
        </w:rPr>
        <w:t xml:space="preserve">Top states by revenue: SP leads by a wide margin, followed by RJ and MG, consistent with the geographic concentration in Section 6.2</w:t>
      </w:r>
    </w:p>
    <w:p>
      <w:pPr>
        <w:pStyle w:val="ListParagraph"/>
        <w:numPr>
          <w:ilvl w:val="0"/>
          <w:numId w:val="1"/>
        </w:numPr>
        <w:spacing w:after="100"/>
      </w:pPr>
      <w:r>
        <w:rPr>
          <w:color w:val="222222"/>
          <w:sz w:val="21"/>
          <w:szCs w:val="21"/>
        </w:rPr>
        <w:t xml:space="preserve">Payment method by value: credit_card (R$13M) dominates over boleto (R$3M) and marginal voucher / debit_card / not_defined values</w:t>
      </w:r>
    </w:p>
    <w:p>
      <w:pPr>
        <w:pStyle w:val="ListParagraph"/>
        <w:numPr>
          <w:ilvl w:val="0"/>
          <w:numId w:val="1"/>
        </w:numPr>
        <w:spacing w:after="100"/>
      </w:pPr>
      <w:r>
        <w:rPr>
          <w:color w:val="222222"/>
          <w:sz w:val="21"/>
          <w:szCs w:val="21"/>
        </w:rPr>
        <w:t xml:space="preserve">Orders by status: the vast majority are 'delivered', with small slices for shipped, canceled, unavailable, and invoiced</w:t>
      </w:r>
    </w:p>
    <w:p>
      <w:r>
        <w:br w:type="page"/>
      </w:r>
    </w:p>
    <w:p>
      <w:pPr>
        <w:pStyle w:val="Heading2"/>
        <w:spacing w:after="150" w:before="300"/>
      </w:pPr>
      <w:r>
        <w:rPr>
          <w:b/>
          <w:bCs/>
          <w:color w:val="2E7D4F"/>
          <w:sz w:val="26"/>
          <w:szCs w:val="26"/>
        </w:rPr>
        <w:t xml:space="preserve">7.2 Page 2 — Customer &amp; Product Performance</w:t>
      </w:r>
    </w:p>
    <w:p>
      <w:pPr>
        <w:spacing w:after="80"/>
        <w:jc w:val="center"/>
      </w:pPr>
      <w:r>
        <w:drawing>
          <wp:inline distT="0" distB="0" distL="0" distR="0">
            <wp:extent cx="5905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09950"/>
                    </a:xfrm>
                    <a:prstGeom prst="rect">
                      <a:avLst/>
                    </a:prstGeom>
                  </pic:spPr>
                </pic:pic>
              </a:graphicData>
            </a:graphic>
          </wp:inline>
        </w:drawing>
      </w:r>
    </w:p>
    <w:p>
      <w:pPr>
        <w:spacing w:after="200"/>
        <w:jc w:val="center"/>
      </w:pPr>
      <w:r>
        <w:rPr>
          <w:i/>
          <w:iCs/>
          <w:color w:val="595959"/>
          <w:sz w:val="18"/>
          <w:szCs w:val="18"/>
        </w:rPr>
        <w:t xml:space="preserve">Figure 3 — Customer &amp; Product Performance: product revenue, unique products/sellers, repeat customer mix, top categories by revenue and repeat rate, and category revenue vs. items sold.</w:t>
      </w:r>
    </w:p>
    <w:p>
      <w:pPr>
        <w:pStyle w:val="ListParagraph"/>
        <w:numPr>
          <w:ilvl w:val="0"/>
          <w:numId w:val="1"/>
        </w:numPr>
        <w:spacing w:after="100"/>
      </w:pPr>
      <w:r>
        <w:rPr>
          <w:color w:val="222222"/>
          <w:sz w:val="21"/>
          <w:szCs w:val="21"/>
        </w:rPr>
        <w:t xml:space="preserve">Product Revenue R$13.59M · Unique Products 33K · Unique Sellers 3K · Repeat Customer % 3.01%</w:t>
      </w:r>
    </w:p>
    <w:p>
      <w:pPr>
        <w:pStyle w:val="ListParagraph"/>
        <w:numPr>
          <w:ilvl w:val="0"/>
          <w:numId w:val="1"/>
        </w:numPr>
        <w:spacing w:after="100"/>
      </w:pPr>
      <w:r>
        <w:rPr>
          <w:color w:val="222222"/>
          <w:sz w:val="21"/>
          <w:szCs w:val="21"/>
        </w:rPr>
        <w:t xml:space="preserve">Customer Retention Mix donut visually confirms how small the repeat-customer slice is relative to one-time customers</w:t>
      </w:r>
    </w:p>
    <w:p>
      <w:pPr>
        <w:pStyle w:val="ListParagraph"/>
        <w:numPr>
          <w:ilvl w:val="0"/>
          <w:numId w:val="1"/>
        </w:numPr>
        <w:spacing w:after="100"/>
      </w:pPr>
      <w:r>
        <w:rPr>
          <w:color w:val="222222"/>
          <w:sz w:val="21"/>
          <w:szCs w:val="21"/>
        </w:rPr>
        <w:t xml:space="preserve">Top 10 product categories by revenue: beleza_saude and relogios_presentes lead</w:t>
      </w:r>
    </w:p>
    <w:p>
      <w:pPr>
        <w:pStyle w:val="ListParagraph"/>
        <w:numPr>
          <w:ilvl w:val="0"/>
          <w:numId w:val="1"/>
        </w:numPr>
        <w:spacing w:after="100"/>
      </w:pPr>
      <w:r>
        <w:rPr>
          <w:color w:val="222222"/>
          <w:sz w:val="21"/>
          <w:szCs w:val="21"/>
        </w:rPr>
        <w:t xml:space="preserve">Top 10 categories by repeat customer rate: cama_mesa_banho and moveis_decoracao lead — worth noting these differ from the top-revenue category ranking, meaning the categories that drive revenue are not always the categories that drive loyalty</w:t>
      </w:r>
    </w:p>
    <w:p>
      <w:pPr>
        <w:pStyle w:val="ListParagraph"/>
        <w:numPr>
          <w:ilvl w:val="0"/>
          <w:numId w:val="1"/>
        </w:numPr>
        <w:spacing w:after="100"/>
      </w:pPr>
      <w:r>
        <w:rPr>
          <w:color w:val="222222"/>
          <w:sz w:val="21"/>
          <w:szCs w:val="21"/>
        </w:rPr>
        <w:t xml:space="preserve">Category Revenue vs. Items Sold scatter shows a generally positive relationship with a few categories over-performing on revenue relative to volume</w:t>
      </w:r>
    </w:p>
    <w:p>
      <w:r>
        <w:br w:type="page"/>
      </w:r>
    </w:p>
    <w:p>
      <w:pPr>
        <w:pStyle w:val="Heading2"/>
        <w:spacing w:after="150" w:before="300"/>
      </w:pPr>
      <w:r>
        <w:rPr>
          <w:b/>
          <w:bCs/>
          <w:color w:val="2E7D4F"/>
          <w:sz w:val="26"/>
          <w:szCs w:val="26"/>
        </w:rPr>
        <w:t xml:space="preserve">7.3 Page 3 — Delivery &amp; Customer Experience</w:t>
      </w:r>
    </w:p>
    <w:p>
      <w:pPr>
        <w:spacing w:after="80"/>
        <w:jc w:val="center"/>
      </w:pPr>
      <w:r>
        <w:drawing>
          <wp:inline distT="0" distB="0" distL="0" distR="0">
            <wp:extent cx="5905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09950"/>
                    </a:xfrm>
                    <a:prstGeom prst="rect">
                      <a:avLst/>
                    </a:prstGeom>
                  </pic:spPr>
                </pic:pic>
              </a:graphicData>
            </a:graphic>
          </wp:inline>
        </w:drawing>
      </w:r>
    </w:p>
    <w:p>
      <w:pPr>
        <w:spacing w:after="200"/>
        <w:jc w:val="center"/>
      </w:pPr>
      <w:r>
        <w:rPr>
          <w:i/>
          <w:iCs/>
          <w:color w:val="595959"/>
          <w:sz w:val="18"/>
          <w:szCs w:val="18"/>
        </w:rPr>
        <w:t xml:space="preserve">Figure 4 — Delivery &amp; Customer Experience: delivered orders, delivery speed trend, delivery status mix, late deliveries by state, and delivery time vs. review score.</w:t>
      </w:r>
    </w:p>
    <w:p>
      <w:pPr>
        <w:pStyle w:val="ListParagraph"/>
        <w:numPr>
          <w:ilvl w:val="0"/>
          <w:numId w:val="1"/>
        </w:numPr>
        <w:spacing w:after="100"/>
      </w:pPr>
      <w:r>
        <w:rPr>
          <w:color w:val="222222"/>
          <w:sz w:val="21"/>
          <w:szCs w:val="21"/>
        </w:rPr>
        <w:t xml:space="preserve">Delivered Orders 96K · Average Delivery Days 12.50 · Late Delivery % 7.87% · Average Review Score 4.09</w:t>
      </w:r>
    </w:p>
    <w:p>
      <w:pPr>
        <w:pStyle w:val="ListParagraph"/>
        <w:numPr>
          <w:ilvl w:val="0"/>
          <w:numId w:val="1"/>
        </w:numPr>
        <w:spacing w:after="100"/>
      </w:pPr>
      <w:r>
        <w:rPr>
          <w:color w:val="222222"/>
          <w:sz w:val="21"/>
          <w:szCs w:val="21"/>
        </w:rPr>
        <w:t xml:space="preserve">Average Delivery Time Trend shows delivery speed improving dramatically from 2016 through 2018 — from roughly 50+ days down to a stable ~10–15 day band</w:t>
      </w:r>
    </w:p>
    <w:p>
      <w:pPr>
        <w:pStyle w:val="ListParagraph"/>
        <w:numPr>
          <w:ilvl w:val="0"/>
          <w:numId w:val="1"/>
        </w:numPr>
        <w:spacing w:after="100"/>
      </w:pPr>
      <w:r>
        <w:rPr>
          <w:color w:val="222222"/>
          <w:sz w:val="21"/>
          <w:szCs w:val="21"/>
        </w:rPr>
        <w:t xml:space="preserve">Delivery Status Mix confirms On Time orders vastly outnumber Late and Not Delivered orders</w:t>
      </w:r>
    </w:p>
    <w:p>
      <w:pPr>
        <w:pStyle w:val="ListParagraph"/>
        <w:numPr>
          <w:ilvl w:val="0"/>
          <w:numId w:val="1"/>
        </w:numPr>
        <w:spacing w:after="100"/>
      </w:pPr>
      <w:r>
        <w:rPr>
          <w:color w:val="222222"/>
          <w:sz w:val="21"/>
          <w:szCs w:val="21"/>
        </w:rPr>
        <w:t xml:space="preserve">Top 10 States by Late Deliveries: SP, RJ, and MG again dominate, mirroring the revenue concentration seen in Section 6.2 and 7.1</w:t>
      </w:r>
    </w:p>
    <w:p>
      <w:pPr>
        <w:pStyle w:val="ListParagraph"/>
        <w:numPr>
          <w:ilvl w:val="0"/>
          <w:numId w:val="1"/>
        </w:numPr>
        <w:spacing w:after="100"/>
      </w:pPr>
      <w:r>
        <w:rPr>
          <w:color w:val="222222"/>
          <w:sz w:val="21"/>
          <w:szCs w:val="21"/>
        </w:rPr>
        <w:t xml:space="preserve">Delivery Time vs. Customer Satisfaction scatter shows a visible downward slope — longer delivery times associate with lower average review scores, supporting the finding in Section 6.5</w:t>
      </w:r>
    </w:p>
    <w:p>
      <w:r>
        <w:br w:type="page"/>
      </w:r>
    </w:p>
    <w:p>
      <w:pPr>
        <w:pStyle w:val="Heading1"/>
        <w:pBdr>
          <w:bottom w:val="single" w:color="2E7D4F" w:sz="8" w:space="4"/>
        </w:pBdr>
        <w:spacing w:after="200" w:before="400"/>
      </w:pPr>
      <w:r>
        <w:rPr>
          <w:b/>
          <w:bCs/>
          <w:color w:val="1F3D2E"/>
          <w:sz w:val="32"/>
          <w:szCs w:val="32"/>
        </w:rPr>
        <w:t xml:space="preserve">8. Business Insights</w:t>
      </w:r>
    </w:p>
    <w:p>
      <w:pPr>
        <w:spacing w:after="160" w:line="300"/>
      </w:pPr>
      <w:r>
        <w:rPr>
          <w:color w:val="222222"/>
          <w:sz w:val="21"/>
          <w:szCs w:val="21"/>
        </w:rPr>
        <w:t xml:space="preserve">The central business lesson from this project is that sales performance should not be viewed in isolation. Revenue, order volume, customer behavior, seller quality, delivery performance, and reviews are connected — and the analysis was used to identify practical areas where the business can protect revenue, improve customer experience, and support sustainable growth.</w:t>
      </w:r>
    </w:p>
    <w:p>
      <w:pPr>
        <w:pStyle w:val="Heading3"/>
        <w:spacing w:after="100" w:before="200"/>
      </w:pPr>
      <w:r>
        <w:rPr>
          <w:b/>
          <w:bCs/>
          <w:color w:val="1F3D2E"/>
          <w:sz w:val="22"/>
          <w:szCs w:val="22"/>
        </w:rPr>
        <w:t xml:space="preserve">Insight 1 — Growth is driven by two separate levers: order volume and order value.</w:t>
      </w:r>
    </w:p>
    <w:p>
      <w:pPr>
        <w:spacing w:after="160" w:line="300"/>
      </w:pPr>
      <w:r>
        <w:rPr>
          <w:color w:val="222222"/>
          <w:sz w:val="21"/>
          <w:szCs w:val="21"/>
        </w:rPr>
        <w:t xml:space="preserve">Revenue can rise from more orders, higher-value orders, or both. Management should track Revenue, Orders, and Average Order Value together every month, and specifically investigate any period where orders increase but AOV falls, since that signals a shift toward lower-value baskets that could erode margin even as top-line revenue grows.</w:t>
      </w:r>
    </w:p>
    <w:p>
      <w:pPr>
        <w:pStyle w:val="Heading3"/>
        <w:spacing w:after="100" w:before="200"/>
      </w:pPr>
      <w:r>
        <w:rPr>
          <w:b/>
          <w:bCs/>
          <w:color w:val="1F3D2E"/>
          <w:sz w:val="22"/>
          <w:szCs w:val="22"/>
        </w:rPr>
        <w:t xml:space="preserve">Insight 2 — Customer acquisition and retention are two different problems, and Olist has solved only one.</w:t>
      </w:r>
    </w:p>
    <w:p>
      <w:pPr>
        <w:spacing w:after="160" w:line="300"/>
      </w:pPr>
      <w:r>
        <w:rPr>
          <w:color w:val="222222"/>
          <w:sz w:val="21"/>
          <w:szCs w:val="21"/>
        </w:rPr>
        <w:t xml:space="preserve">A 99K-customer base with a 3.01% repeat rate means acquisition is working, but almost nothing is being done — or is working — to bring customers back. A large customer base does not automatically mean strong long-term customer value.</w:t>
      </w:r>
    </w:p>
    <w:p>
      <w:pPr>
        <w:pStyle w:val="Heading3"/>
        <w:spacing w:after="100" w:before="200"/>
      </w:pPr>
      <w:r>
        <w:rPr>
          <w:b/>
          <w:bCs/>
          <w:color w:val="1F3D2E"/>
          <w:sz w:val="22"/>
          <w:szCs w:val="22"/>
        </w:rPr>
        <w:t xml:space="preserve">Insight 3 — The highest-volume category is not automatically the highest-value category.</w:t>
      </w:r>
    </w:p>
    <w:p>
      <w:pPr>
        <w:spacing w:after="160" w:line="300"/>
      </w:pPr>
      <w:r>
        <w:rPr>
          <w:color w:val="222222"/>
          <w:sz w:val="21"/>
          <w:szCs w:val="21"/>
        </w:rPr>
        <w:t xml:space="preserve">Categories need to be evaluated on sales, orders, average price, freight, reviews, and delivery together — not order volume alone. The mismatch between top-revenue categories and top-repeat-rate categories (Section 7.2) is direct evidence of this: a category can drive one-time revenue without building loyalty.</w:t>
      </w:r>
    </w:p>
    <w:p>
      <w:pPr>
        <w:pStyle w:val="Heading3"/>
        <w:spacing w:after="100" w:before="200"/>
      </w:pPr>
      <w:r>
        <w:rPr>
          <w:b/>
          <w:bCs/>
          <w:color w:val="1F3D2E"/>
          <w:sz w:val="22"/>
          <w:szCs w:val="22"/>
        </w:rPr>
        <w:t xml:space="preserve">Insight 4 — Seller sales alone are not a quality measure.</w:t>
      </w:r>
    </w:p>
    <w:p>
      <w:pPr>
        <w:spacing w:after="160" w:line="300"/>
      </w:pPr>
      <w:r>
        <w:rPr>
          <w:color w:val="222222"/>
          <w:sz w:val="21"/>
          <w:szCs w:val="21"/>
        </w:rPr>
        <w:t xml:space="preserve">A high-sales seller with poor delivery or low reviews creates outsized customer-experience risk, because their problems touch more customers than a low-volume seller's would. Seller performance needs to be scored on sales, review score, and late-delivery rate together, not sales alone.</w:t>
      </w:r>
    </w:p>
    <w:p>
      <w:pPr>
        <w:pStyle w:val="Heading3"/>
        <w:spacing w:after="100" w:before="200"/>
      </w:pPr>
      <w:r>
        <w:rPr>
          <w:b/>
          <w:bCs/>
          <w:color w:val="1F3D2E"/>
          <w:sz w:val="22"/>
          <w:szCs w:val="22"/>
        </w:rPr>
        <w:t xml:space="preserve">Insight 5 — Delivery is a customer-experience issue, not just a logistics issue.</w:t>
      </w:r>
    </w:p>
    <w:p>
      <w:pPr>
        <w:spacing w:after="160" w:line="300"/>
      </w:pPr>
      <w:r>
        <w:rPr>
          <w:color w:val="222222"/>
          <w:sz w:val="21"/>
          <w:szCs w:val="21"/>
        </w:rPr>
        <w:t xml:space="preserve">The negative relationship between delivery time and review score (Section 6.5, 7.3) shows that operational performance directly shapes how customers perceive the marketplace. Late deliveries also concentrate in the same top-revenue states (SP, RJ, MG), meaning delivery problems there carry the largest customer-experience cost.</w:t>
      </w:r>
    </w:p>
    <w:p>
      <w:pPr>
        <w:pStyle w:val="Heading3"/>
        <w:spacing w:after="100" w:before="200"/>
      </w:pPr>
      <w:r>
        <w:rPr>
          <w:b/>
          <w:bCs/>
          <w:color w:val="1F3D2E"/>
          <w:sz w:val="22"/>
          <w:szCs w:val="22"/>
        </w:rPr>
        <w:t xml:space="preserve">Insight 6 — Geography represents both concentrated risk and a clear expansion framework.</w:t>
      </w:r>
    </w:p>
    <w:p>
      <w:pPr>
        <w:spacing w:after="160" w:line="300"/>
      </w:pPr>
      <w:r>
        <w:rPr>
          <w:color w:val="222222"/>
          <w:sz w:val="21"/>
          <w:szCs w:val="21"/>
        </w:rPr>
        <w:t xml:space="preserve">With 73% of revenue coming from just 5 states, Olist's growth is geographically concentrated. A region with strong demand but weak delivery represents both a problem and an opportunity — and should be prioritized for logistics investment before further demand-generation spend.</w:t>
      </w:r>
    </w:p>
    <w:p>
      <w:pPr>
        <w:pStyle w:val="Heading3"/>
        <w:spacing w:after="100" w:before="200"/>
      </w:pPr>
      <w:r>
        <w:rPr>
          <w:b/>
          <w:bCs/>
          <w:color w:val="1F3D2E"/>
          <w:sz w:val="22"/>
          <w:szCs w:val="22"/>
        </w:rPr>
        <w:t xml:space="preserve">Insight 7 — Customers experience total cost, not product price alone.</w:t>
      </w:r>
    </w:p>
    <w:p>
      <w:pPr>
        <w:spacing w:after="160" w:line="300"/>
      </w:pPr>
      <w:r>
        <w:rPr>
          <w:color w:val="222222"/>
          <w:sz w:val="21"/>
          <w:szCs w:val="21"/>
        </w:rPr>
        <w:t xml:space="preserve">A low product price can still feel unattractive when freight is high. Freight-to-price ratio should be monitored by category and seller-region combination, since shipping cost is a real driver of purchase decisions even when it doesn't appear in the headline product price.</w:t>
      </w:r>
    </w:p>
    <w:p>
      <w:r>
        <w:br w:type="page"/>
      </w:r>
    </w:p>
    <w:p>
      <w:pPr>
        <w:pStyle w:val="Heading1"/>
        <w:pBdr>
          <w:bottom w:val="single" w:color="2E7D4F" w:sz="8" w:space="4"/>
        </w:pBdr>
        <w:spacing w:after="200" w:before="400"/>
      </w:pPr>
      <w:r>
        <w:rPr>
          <w:b/>
          <w:bCs/>
          <w:color w:val="1F3D2E"/>
          <w:sz w:val="32"/>
          <w:szCs w:val="32"/>
        </w:rPr>
        <w:t xml:space="preserve">9. Recommendations</w:t>
      </w:r>
    </w:p>
    <w:p>
      <w:pPr>
        <w:spacing w:after="160" w:line="300"/>
      </w:pPr>
      <w:r>
        <w:rPr>
          <w:color w:val="222222"/>
          <w:sz w:val="21"/>
          <w:szCs w:val="21"/>
        </w:rPr>
        <w:t xml:space="preserve">The following recommendations are ordered by expected business impact, drawing directly on the findings above.</w:t>
      </w:r>
    </w:p>
    <w:p>
      <w:pPr>
        <w:pStyle w:val="Heading3"/>
        <w:spacing w:after="100" w:before="200"/>
      </w:pPr>
      <w:r>
        <w:rPr>
          <w:b/>
          <w:bCs/>
          <w:color w:val="1F3D2E"/>
          <w:sz w:val="22"/>
          <w:szCs w:val="22"/>
        </w:rPr>
        <w:t xml:space="preserve">1. Improve delivery reliability in high-impact states — highest priority.</w:t>
      </w:r>
    </w:p>
    <w:p>
      <w:pPr>
        <w:spacing w:after="160" w:line="300"/>
      </w:pPr>
      <w:r>
        <w:rPr>
          <w:color w:val="222222"/>
          <w:sz w:val="21"/>
          <w:szCs w:val="21"/>
        </w:rPr>
        <w:t xml:space="preserve">Focus first on São Paulo, Rio de Janeiro, and Minas Gerais, which combine the highest revenue share with the highest late-delivery volume. Separate seller-handling delays from carrier/transportation delays, set improvement targets, and monitor late deliveries weekly rather than monthly.</w:t>
      </w:r>
    </w:p>
    <w:p>
      <w:pPr>
        <w:pStyle w:val="Heading3"/>
        <w:spacing w:after="100" w:before="200"/>
      </w:pPr>
      <w:r>
        <w:rPr>
          <w:b/>
          <w:bCs/>
          <w:color w:val="1F3D2E"/>
          <w:sz w:val="22"/>
          <w:szCs w:val="22"/>
        </w:rPr>
        <w:t xml:space="preserve">2. Build a seller scorecard combining sales, reviews, and delivery performance.</w:t>
      </w:r>
    </w:p>
    <w:p>
      <w:pPr>
        <w:spacing w:after="160" w:line="300"/>
      </w:pPr>
      <w:r>
        <w:rPr>
          <w:color w:val="222222"/>
          <w:sz w:val="21"/>
          <w:szCs w:val="21"/>
        </w:rPr>
        <w:t xml:space="preserve">Classify sellers as Strategic (high sales + strong service), Growth (good service + room to grow), At Risk (high sales + poor service), or Low Contribution (low sales + weak performance). Prioritize improvement plans for high-sales, poor-performing sellers first, since fixing them protects the most customers.</w:t>
      </w:r>
    </w:p>
    <w:p>
      <w:pPr>
        <w:pStyle w:val="Heading3"/>
        <w:spacing w:after="100" w:before="200"/>
      </w:pPr>
      <w:r>
        <w:rPr>
          <w:b/>
          <w:bCs/>
          <w:color w:val="1F3D2E"/>
          <w:sz w:val="22"/>
          <w:szCs w:val="22"/>
        </w:rPr>
        <w:t xml:space="preserve">3. Launch a repeat-purchase program — urgent given the 3.01% baseline.</w:t>
      </w:r>
    </w:p>
    <w:p>
      <w:pPr>
        <w:spacing w:after="160" w:line="300"/>
      </w:pPr>
      <w:r>
        <w:rPr>
          <w:color w:val="222222"/>
          <w:sz w:val="21"/>
          <w:szCs w:val="21"/>
        </w:rPr>
        <w:t xml:space="preserve">Identify one-time customers specifically and launch post-purchase and second-purchase campaigns, product recommendations, and loyalty incentives. Track repeat customer rate and orders-per-customer as primary retention KPIs going forward — even modest improvement here compounds significantly given how low the current baseline is.</w:t>
      </w:r>
    </w:p>
    <w:p>
      <w:pPr>
        <w:pStyle w:val="Heading3"/>
        <w:spacing w:after="100" w:before="200"/>
      </w:pPr>
      <w:r>
        <w:rPr>
          <w:b/>
          <w:bCs/>
          <w:color w:val="1F3D2E"/>
          <w:sz w:val="22"/>
          <w:szCs w:val="22"/>
        </w:rPr>
        <w:t xml:space="preserve">4. Optimize the product category portfolio using multiple KPIs, not just revenue.</w:t>
      </w:r>
    </w:p>
    <w:p>
      <w:pPr>
        <w:spacing w:after="160" w:line="300"/>
      </w:pPr>
      <w:r>
        <w:rPr>
          <w:color w:val="222222"/>
          <w:sz w:val="21"/>
          <w:szCs w:val="21"/>
        </w:rPr>
        <w:t xml:space="preserve">Protect high-volume/high-value categories, investigate low-volume/high-value categories for targeted growth, and use cross-selling and complementary-product recommendations on high-volume/lower-value categories to increase basket size.</w:t>
      </w:r>
    </w:p>
    <w:p>
      <w:pPr>
        <w:pStyle w:val="Heading3"/>
        <w:spacing w:after="100" w:before="200"/>
      </w:pPr>
      <w:r>
        <w:rPr>
          <w:b/>
          <w:bCs/>
          <w:color w:val="1F3D2E"/>
          <w:sz w:val="22"/>
          <w:szCs w:val="22"/>
        </w:rPr>
        <w:t xml:space="preserve">5. Apply a demand-vs-delivery framework to regional investment.</w:t>
      </w:r>
    </w:p>
    <w:p>
      <w:pPr>
        <w:spacing w:after="160" w:line="300"/>
      </w:pPr>
      <w:r>
        <w:rPr>
          <w:color w:val="222222"/>
          <w:sz w:val="21"/>
          <w:szCs w:val="21"/>
        </w:rPr>
        <w:t xml:space="preserve">Use the decision matrix below to decide where to expand marketing spend versus where to fix logistics first, rather than investing in demand generation ahead of service capability.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rPr>
          <w:tblHeader/>
        </w:trPr>
        <w:tc>
          <w:tcPr>
            <w:tcW w:type="dxa" w:w="4700"/>
            <w:shd w:fill="2E5B41" w:val="clear"/>
            <w:tcMar>
              <w:top w:type="dxa" w:w="100"/>
              <w:left w:type="dxa" w:w="120"/>
              <w:bottom w:type="dxa" w:w="100"/>
              <w:right w:type="dxa" w:w="120"/>
            </w:tcMar>
            <w:vAlign w:val="center"/>
          </w:tcPr>
          <w:p>
            <w:r>
              <w:rPr>
                <w:b/>
                <w:bCs/>
                <w:color w:val="FFFFFF"/>
                <w:sz w:val="19"/>
                <w:szCs w:val="19"/>
              </w:rPr>
              <w:t xml:space="preserve">Situation</w:t>
            </w:r>
          </w:p>
        </w:tc>
        <w:tc>
          <w:tcPr>
            <w:tcW w:type="dxa" w:w="4650"/>
            <w:shd w:fill="2E5B41" w:val="clear"/>
            <w:tcMar>
              <w:top w:type="dxa" w:w="100"/>
              <w:left w:type="dxa" w:w="120"/>
              <w:bottom w:type="dxa" w:w="100"/>
              <w:right w:type="dxa" w:w="120"/>
            </w:tcMar>
            <w:vAlign w:val="center"/>
          </w:tcPr>
          <w:p>
            <w:r>
              <w:rPr>
                <w:b/>
                <w:bCs/>
                <w:color w:val="FFFFFF"/>
                <w:sz w:val="19"/>
                <w:szCs w:val="19"/>
              </w:rPr>
              <w:t xml:space="preserve">Recommended Action</w:t>
            </w:r>
          </w:p>
        </w:tc>
      </w:tr>
      <w:tr>
        <w:tc>
          <w:tcPr>
            <w:tcW w:type="dxa" w:w="4700"/>
            <w:shd w:fill="FFFFFF" w:val="clear"/>
            <w:tcMar>
              <w:top w:type="dxa" w:w="90"/>
              <w:left w:type="dxa" w:w="120"/>
              <w:bottom w:type="dxa" w:w="90"/>
              <w:right w:type="dxa" w:w="120"/>
            </w:tcMar>
            <w:vAlign w:val="center"/>
          </w:tcPr>
          <w:p>
            <w:r>
              <w:rPr>
                <w:color w:val="222222"/>
                <w:sz w:val="19"/>
                <w:szCs w:val="19"/>
              </w:rPr>
              <w:t xml:space="preserve">High demand + good delivery</w:t>
            </w:r>
          </w:p>
        </w:tc>
        <w:tc>
          <w:tcPr>
            <w:tcW w:type="dxa" w:w="4650"/>
            <w:shd w:fill="FFFFFF" w:val="clear"/>
            <w:tcMar>
              <w:top w:type="dxa" w:w="90"/>
              <w:left w:type="dxa" w:w="120"/>
              <w:bottom w:type="dxa" w:w="90"/>
              <w:right w:type="dxa" w:w="120"/>
            </w:tcMar>
            <w:vAlign w:val="center"/>
          </w:tcPr>
          <w:p>
            <w:r>
              <w:rPr>
                <w:color w:val="222222"/>
                <w:sz w:val="19"/>
                <w:szCs w:val="19"/>
              </w:rPr>
              <w:t xml:space="preserve">Expand</w:t>
            </w:r>
          </w:p>
        </w:tc>
      </w:tr>
      <w:tr>
        <w:tc>
          <w:tcPr>
            <w:tcW w:type="dxa" w:w="4700"/>
            <w:shd w:fill="EAF4EE" w:val="clear"/>
            <w:tcMar>
              <w:top w:type="dxa" w:w="90"/>
              <w:left w:type="dxa" w:w="120"/>
              <w:bottom w:type="dxa" w:w="90"/>
              <w:right w:type="dxa" w:w="120"/>
            </w:tcMar>
            <w:vAlign w:val="center"/>
          </w:tcPr>
          <w:p>
            <w:r>
              <w:rPr>
                <w:color w:val="222222"/>
                <w:sz w:val="19"/>
                <w:szCs w:val="19"/>
              </w:rPr>
              <w:t xml:space="preserve">High demand + poor delivery</w:t>
            </w:r>
          </w:p>
        </w:tc>
        <w:tc>
          <w:tcPr>
            <w:tcW w:type="dxa" w:w="4650"/>
            <w:shd w:fill="EAF4EE" w:val="clear"/>
            <w:tcMar>
              <w:top w:type="dxa" w:w="90"/>
              <w:left w:type="dxa" w:w="120"/>
              <w:bottom w:type="dxa" w:w="90"/>
              <w:right w:type="dxa" w:w="120"/>
            </w:tcMar>
            <w:vAlign w:val="center"/>
          </w:tcPr>
          <w:p>
            <w:r>
              <w:rPr>
                <w:color w:val="222222"/>
                <w:sz w:val="19"/>
                <w:szCs w:val="19"/>
              </w:rPr>
              <w:t xml:space="preserve">Fix logistics first</w:t>
            </w:r>
          </w:p>
        </w:tc>
      </w:tr>
      <w:tr>
        <w:tc>
          <w:tcPr>
            <w:tcW w:type="dxa" w:w="4700"/>
            <w:shd w:fill="FFFFFF" w:val="clear"/>
            <w:tcMar>
              <w:top w:type="dxa" w:w="90"/>
              <w:left w:type="dxa" w:w="120"/>
              <w:bottom w:type="dxa" w:w="90"/>
              <w:right w:type="dxa" w:w="120"/>
            </w:tcMar>
            <w:vAlign w:val="center"/>
          </w:tcPr>
          <w:p>
            <w:r>
              <w:rPr>
                <w:color w:val="222222"/>
                <w:sz w:val="19"/>
                <w:szCs w:val="19"/>
              </w:rPr>
              <w:t xml:space="preserve">Low demand + good delivery</w:t>
            </w:r>
          </w:p>
        </w:tc>
        <w:tc>
          <w:tcPr>
            <w:tcW w:type="dxa" w:w="4650"/>
            <w:shd w:fill="FFFFFF" w:val="clear"/>
            <w:tcMar>
              <w:top w:type="dxa" w:w="90"/>
              <w:left w:type="dxa" w:w="120"/>
              <w:bottom w:type="dxa" w:w="90"/>
              <w:right w:type="dxa" w:w="120"/>
            </w:tcMar>
            <w:vAlign w:val="center"/>
          </w:tcPr>
          <w:p>
            <w:r>
              <w:rPr>
                <w:color w:val="222222"/>
                <w:sz w:val="19"/>
                <w:szCs w:val="19"/>
              </w:rPr>
              <w:t xml:space="preserve">Test targeted marketing</w:t>
            </w:r>
          </w:p>
        </w:tc>
      </w:tr>
      <w:tr>
        <w:tc>
          <w:tcPr>
            <w:tcW w:type="dxa" w:w="4700"/>
            <w:shd w:fill="EAF4EE" w:val="clear"/>
            <w:tcMar>
              <w:top w:type="dxa" w:w="90"/>
              <w:left w:type="dxa" w:w="120"/>
              <w:bottom w:type="dxa" w:w="90"/>
              <w:right w:type="dxa" w:w="120"/>
            </w:tcMar>
            <w:vAlign w:val="center"/>
          </w:tcPr>
          <w:p>
            <w:r>
              <w:rPr>
                <w:color w:val="222222"/>
                <w:sz w:val="19"/>
                <w:szCs w:val="19"/>
              </w:rPr>
              <w:t xml:space="preserve">Low demand + poor delivery</w:t>
            </w:r>
          </w:p>
        </w:tc>
        <w:tc>
          <w:tcPr>
            <w:tcW w:type="dxa" w:w="4650"/>
            <w:shd w:fill="EAF4EE" w:val="clear"/>
            <w:tcMar>
              <w:top w:type="dxa" w:w="90"/>
              <w:left w:type="dxa" w:w="120"/>
              <w:bottom w:type="dxa" w:w="90"/>
              <w:right w:type="dxa" w:w="120"/>
            </w:tcMar>
            <w:vAlign w:val="center"/>
          </w:tcPr>
          <w:p>
            <w:r>
              <w:rPr>
                <w:color w:val="222222"/>
                <w:sz w:val="19"/>
                <w:szCs w:val="19"/>
              </w:rPr>
              <w:t xml:space="preserve">Keep investment limited</w:t>
            </w:r>
          </w:p>
        </w:tc>
      </w:tr>
    </w:tbl>
    <w:p>
      <w:pPr>
        <w:spacing w:after="120"/>
      </w:pPr>
    </w:p>
    <w:p>
      <w:pPr>
        <w:pStyle w:val="Heading3"/>
        <w:spacing w:after="100" w:before="200"/>
      </w:pPr>
      <w:r>
        <w:rPr>
          <w:b/>
          <w:bCs/>
          <w:color w:val="1F3D2E"/>
          <w:sz w:val="22"/>
          <w:szCs w:val="22"/>
        </w:rPr>
        <w:t xml:space="preserve">6. Monitor customer experience through low-review rates, not just averages.</w:t>
      </w:r>
    </w:p>
    <w:p>
      <w:pPr>
        <w:spacing w:after="160" w:line="300"/>
      </w:pPr>
      <w:r>
        <w:rPr>
          <w:color w:val="222222"/>
          <w:sz w:val="21"/>
          <w:szCs w:val="21"/>
        </w:rPr>
        <w:t xml:space="preserve">Track the proportion of 1–2 star reviews specifically (not just the overall average, which can hide problem pockets), connect poor reviews to delivery and seller performance, and investigate repeated low-review patterns by seller/category/region combination.</w:t>
      </w:r>
    </w:p>
    <w:p>
      <w:pPr>
        <w:pStyle w:val="Heading3"/>
        <w:spacing w:after="100" w:before="200"/>
      </w:pPr>
      <w:r>
        <w:rPr>
          <w:b/>
          <w:bCs/>
          <w:color w:val="1F3D2E"/>
          <w:sz w:val="22"/>
          <w:szCs w:val="22"/>
        </w:rPr>
        <w:t xml:space="preserve">7. Monitor freight burden relative to product price.</w:t>
      </w:r>
    </w:p>
    <w:p>
      <w:pPr>
        <w:spacing w:after="160" w:line="300"/>
      </w:pPr>
      <w:r>
        <w:rPr>
          <w:color w:val="222222"/>
          <w:sz w:val="21"/>
          <w:szCs w:val="21"/>
        </w:rPr>
        <w:t xml:space="preserve">Identify categories and seller-region combinations with unusually high freight-to-price ratios, explore regional seller coverage to reduce shipping distance, and test free-shipping thresholds where commercially viable.</w:t>
      </w:r>
    </w:p>
    <w:p>
      <w:pPr>
        <w:spacing w:after="120"/>
      </w:pPr>
    </w:p>
    <w:p>
      <w:pPr>
        <w:pStyle w:val="Heading2"/>
        <w:spacing w:after="150" w:before="300"/>
      </w:pPr>
      <w:r>
        <w:rPr>
          <w:b/>
          <w:bCs/>
          <w:color w:val="2E7D4F"/>
          <w:sz w:val="26"/>
          <w:szCs w:val="26"/>
        </w:rPr>
        <w:t xml:space="preserve">9.1 Priority Action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2450"/>
        <w:gridCol w:w="2900"/>
      </w:tblGrid>
      <w:tr>
        <w:trPr>
          <w:tblHeader/>
        </w:trPr>
        <w:tc>
          <w:tcPr>
            <w:tcW w:type="dxa" w:w="1650"/>
            <w:shd w:fill="2E5B41" w:val="clear"/>
            <w:tcMar>
              <w:top w:type="dxa" w:w="100"/>
              <w:left w:type="dxa" w:w="120"/>
              <w:bottom w:type="dxa" w:w="100"/>
              <w:right w:type="dxa" w:w="120"/>
            </w:tcMar>
            <w:vAlign w:val="center"/>
          </w:tcPr>
          <w:p>
            <w:r>
              <w:rPr>
                <w:b/>
                <w:bCs/>
                <w:color w:val="FFFFFF"/>
                <w:sz w:val="19"/>
                <w:szCs w:val="19"/>
              </w:rPr>
              <w:t xml:space="preserve">Priority</w:t>
            </w:r>
          </w:p>
        </w:tc>
        <w:tc>
          <w:tcPr>
            <w:tcW w:type="dxa" w:w="2350"/>
            <w:shd w:fill="2E5B41" w:val="clear"/>
            <w:tcMar>
              <w:top w:type="dxa" w:w="100"/>
              <w:left w:type="dxa" w:w="120"/>
              <w:bottom w:type="dxa" w:w="100"/>
              <w:right w:type="dxa" w:w="120"/>
            </w:tcMar>
            <w:vAlign w:val="center"/>
          </w:tcPr>
          <w:p>
            <w:r>
              <w:rPr>
                <w:b/>
                <w:bCs/>
                <w:color w:val="FFFFFF"/>
                <w:sz w:val="19"/>
                <w:szCs w:val="19"/>
              </w:rPr>
              <w:t xml:space="preserve">Focus Area</w:t>
            </w:r>
          </w:p>
        </w:tc>
        <w:tc>
          <w:tcPr>
            <w:tcW w:type="dxa" w:w="2450"/>
            <w:shd w:fill="2E5B41" w:val="clear"/>
            <w:tcMar>
              <w:top w:type="dxa" w:w="100"/>
              <w:left w:type="dxa" w:w="120"/>
              <w:bottom w:type="dxa" w:w="100"/>
              <w:right w:type="dxa" w:w="120"/>
            </w:tcMar>
            <w:vAlign w:val="center"/>
          </w:tcPr>
          <w:p>
            <w:r>
              <w:rPr>
                <w:b/>
                <w:bCs/>
                <w:color w:val="FFFFFF"/>
                <w:sz w:val="19"/>
                <w:szCs w:val="19"/>
              </w:rPr>
              <w:t xml:space="preserve">Primary KPI</w:t>
            </w:r>
          </w:p>
        </w:tc>
        <w:tc>
          <w:tcPr>
            <w:tcW w:type="dxa" w:w="2900"/>
            <w:shd w:fill="2E5B41" w:val="clear"/>
            <w:tcMar>
              <w:top w:type="dxa" w:w="100"/>
              <w:left w:type="dxa" w:w="120"/>
              <w:bottom w:type="dxa" w:w="100"/>
              <w:right w:type="dxa" w:w="120"/>
            </w:tcMar>
            <w:vAlign w:val="center"/>
          </w:tcPr>
          <w:p>
            <w:r>
              <w:rPr>
                <w:b/>
                <w:bCs/>
                <w:color w:val="FFFFFF"/>
                <w:sz w:val="19"/>
                <w:szCs w:val="19"/>
              </w:rPr>
              <w:t xml:space="preserve">Recommended Action</w:t>
            </w:r>
          </w:p>
        </w:tc>
      </w:tr>
      <w:tr>
        <w:tc>
          <w:tcPr>
            <w:tcW w:type="dxa" w:w="1650"/>
            <w:shd w:fill="FFFFFF" w:val="clear"/>
            <w:tcMar>
              <w:top w:type="dxa" w:w="90"/>
              <w:left w:type="dxa" w:w="120"/>
              <w:bottom w:type="dxa" w:w="90"/>
              <w:right w:type="dxa" w:w="120"/>
            </w:tcMar>
            <w:vAlign w:val="center"/>
          </w:tcPr>
          <w:p>
            <w:r>
              <w:rPr>
                <w:color w:val="222222"/>
                <w:sz w:val="19"/>
                <w:szCs w:val="19"/>
              </w:rPr>
              <w:t xml:space="preserve">1 — Highest urgency</w:t>
            </w:r>
          </w:p>
        </w:tc>
        <w:tc>
          <w:tcPr>
            <w:tcW w:type="dxa" w:w="2350"/>
            <w:shd w:fill="FFFFFF" w:val="clear"/>
            <w:tcMar>
              <w:top w:type="dxa" w:w="90"/>
              <w:left w:type="dxa" w:w="120"/>
              <w:bottom w:type="dxa" w:w="90"/>
              <w:right w:type="dxa" w:w="120"/>
            </w:tcMar>
            <w:vAlign w:val="center"/>
          </w:tcPr>
          <w:p>
            <w:r>
              <w:rPr>
                <w:color w:val="222222"/>
                <w:sz w:val="19"/>
                <w:szCs w:val="19"/>
              </w:rPr>
              <w:t xml:space="preserve">Delivery in SP / RJ / MG</w:t>
            </w:r>
          </w:p>
        </w:tc>
        <w:tc>
          <w:tcPr>
            <w:tcW w:type="dxa" w:w="2450"/>
            <w:shd w:fill="FFFFFF" w:val="clear"/>
            <w:tcMar>
              <w:top w:type="dxa" w:w="90"/>
              <w:left w:type="dxa" w:w="120"/>
              <w:bottom w:type="dxa" w:w="90"/>
              <w:right w:type="dxa" w:w="120"/>
            </w:tcMar>
            <w:vAlign w:val="center"/>
          </w:tcPr>
          <w:p>
            <w:r>
              <w:rPr>
                <w:color w:val="222222"/>
                <w:sz w:val="19"/>
                <w:szCs w:val="19"/>
              </w:rPr>
              <w:t xml:space="preserve">Late delivery %, avg. delivery days</w:t>
            </w:r>
          </w:p>
        </w:tc>
        <w:tc>
          <w:tcPr>
            <w:tcW w:type="dxa" w:w="2900"/>
            <w:shd w:fill="FFFFFF" w:val="clear"/>
            <w:tcMar>
              <w:top w:type="dxa" w:w="90"/>
              <w:left w:type="dxa" w:w="120"/>
              <w:bottom w:type="dxa" w:w="90"/>
              <w:right w:type="dxa" w:w="120"/>
            </w:tcMar>
            <w:vAlign w:val="center"/>
          </w:tcPr>
          <w:p>
            <w:r>
              <w:rPr>
                <w:color w:val="222222"/>
                <w:sz w:val="19"/>
                <w:szCs w:val="19"/>
              </w:rPr>
              <w:t xml:space="preserve">Root-cause delays; weekly monitoring</w:t>
            </w:r>
          </w:p>
        </w:tc>
      </w:tr>
      <w:tr>
        <w:tc>
          <w:tcPr>
            <w:tcW w:type="dxa" w:w="1650"/>
            <w:shd w:fill="EAF4EE" w:val="clear"/>
            <w:tcMar>
              <w:top w:type="dxa" w:w="90"/>
              <w:left w:type="dxa" w:w="120"/>
              <w:bottom w:type="dxa" w:w="90"/>
              <w:right w:type="dxa" w:w="120"/>
            </w:tcMar>
            <w:vAlign w:val="center"/>
          </w:tcPr>
          <w:p>
            <w:r>
              <w:rPr>
                <w:color w:val="222222"/>
                <w:sz w:val="19"/>
                <w:szCs w:val="19"/>
              </w:rPr>
              <w:t xml:space="preserve">2 — Protect experience</w:t>
            </w:r>
          </w:p>
        </w:tc>
        <w:tc>
          <w:tcPr>
            <w:tcW w:type="dxa" w:w="2350"/>
            <w:shd w:fill="EAF4EE" w:val="clear"/>
            <w:tcMar>
              <w:top w:type="dxa" w:w="90"/>
              <w:left w:type="dxa" w:w="120"/>
              <w:bottom w:type="dxa" w:w="90"/>
              <w:right w:type="dxa" w:w="120"/>
            </w:tcMar>
            <w:vAlign w:val="center"/>
          </w:tcPr>
          <w:p>
            <w:r>
              <w:rPr>
                <w:color w:val="222222"/>
                <w:sz w:val="19"/>
                <w:szCs w:val="19"/>
              </w:rPr>
              <w:t xml:space="preserve">Seller quality</w:t>
            </w:r>
          </w:p>
        </w:tc>
        <w:tc>
          <w:tcPr>
            <w:tcW w:type="dxa" w:w="2450"/>
            <w:shd w:fill="EAF4EE" w:val="clear"/>
            <w:tcMar>
              <w:top w:type="dxa" w:w="90"/>
              <w:left w:type="dxa" w:w="120"/>
              <w:bottom w:type="dxa" w:w="90"/>
              <w:right w:type="dxa" w:w="120"/>
            </w:tcMar>
            <w:vAlign w:val="center"/>
          </w:tcPr>
          <w:p>
            <w:r>
              <w:rPr>
                <w:color w:val="222222"/>
                <w:sz w:val="19"/>
                <w:szCs w:val="19"/>
              </w:rPr>
              <w:t xml:space="preserve">Review score, late-delivery rate</w:t>
            </w:r>
          </w:p>
        </w:tc>
        <w:tc>
          <w:tcPr>
            <w:tcW w:type="dxa" w:w="2900"/>
            <w:shd w:fill="EAF4EE" w:val="clear"/>
            <w:tcMar>
              <w:top w:type="dxa" w:w="90"/>
              <w:left w:type="dxa" w:w="120"/>
              <w:bottom w:type="dxa" w:w="90"/>
              <w:right w:type="dxa" w:w="120"/>
            </w:tcMar>
            <w:vAlign w:val="center"/>
          </w:tcPr>
          <w:p>
            <w:r>
              <w:rPr>
                <w:color w:val="222222"/>
                <w:sz w:val="19"/>
                <w:szCs w:val="19"/>
              </w:rPr>
              <w:t xml:space="preserve">Scorecard + improvement plans for at-risk sellers</w:t>
            </w:r>
          </w:p>
        </w:tc>
      </w:tr>
      <w:tr>
        <w:tc>
          <w:tcPr>
            <w:tcW w:type="dxa" w:w="1650"/>
            <w:shd w:fill="FFFFFF" w:val="clear"/>
            <w:tcMar>
              <w:top w:type="dxa" w:w="90"/>
              <w:left w:type="dxa" w:w="120"/>
              <w:bottom w:type="dxa" w:w="90"/>
              <w:right w:type="dxa" w:w="120"/>
            </w:tcMar>
            <w:vAlign w:val="center"/>
          </w:tcPr>
          <w:p>
            <w:r>
              <w:rPr>
                <w:color w:val="222222"/>
                <w:sz w:val="19"/>
                <w:szCs w:val="19"/>
              </w:rPr>
              <w:t xml:space="preserve">3 — Fix the leak</w:t>
            </w:r>
          </w:p>
        </w:tc>
        <w:tc>
          <w:tcPr>
            <w:tcW w:type="dxa" w:w="2350"/>
            <w:shd w:fill="FFFFFF" w:val="clear"/>
            <w:tcMar>
              <w:top w:type="dxa" w:w="90"/>
              <w:left w:type="dxa" w:w="120"/>
              <w:bottom w:type="dxa" w:w="90"/>
              <w:right w:type="dxa" w:w="120"/>
            </w:tcMar>
            <w:vAlign w:val="center"/>
          </w:tcPr>
          <w:p>
            <w:r>
              <w:rPr>
                <w:color w:val="222222"/>
                <w:sz w:val="19"/>
                <w:szCs w:val="19"/>
              </w:rPr>
              <w:t xml:space="preserve">Customer retention</w:t>
            </w:r>
          </w:p>
        </w:tc>
        <w:tc>
          <w:tcPr>
            <w:tcW w:type="dxa" w:w="2450"/>
            <w:shd w:fill="FFFFFF" w:val="clear"/>
            <w:tcMar>
              <w:top w:type="dxa" w:w="90"/>
              <w:left w:type="dxa" w:w="120"/>
              <w:bottom w:type="dxa" w:w="90"/>
              <w:right w:type="dxa" w:w="120"/>
            </w:tcMar>
            <w:vAlign w:val="center"/>
          </w:tcPr>
          <w:p>
            <w:r>
              <w:rPr>
                <w:color w:val="222222"/>
                <w:sz w:val="19"/>
                <w:szCs w:val="19"/>
              </w:rPr>
              <w:t xml:space="preserve">Repeat customer %</w:t>
            </w:r>
          </w:p>
        </w:tc>
        <w:tc>
          <w:tcPr>
            <w:tcW w:type="dxa" w:w="2900"/>
            <w:shd w:fill="FFFFFF" w:val="clear"/>
            <w:tcMar>
              <w:top w:type="dxa" w:w="90"/>
              <w:left w:type="dxa" w:w="120"/>
              <w:bottom w:type="dxa" w:w="90"/>
              <w:right w:type="dxa" w:w="120"/>
            </w:tcMar>
            <w:vAlign w:val="center"/>
          </w:tcPr>
          <w:p>
            <w:r>
              <w:rPr>
                <w:color w:val="222222"/>
                <w:sz w:val="19"/>
                <w:szCs w:val="19"/>
              </w:rPr>
              <w:t xml:space="preserve">Second-purchase campaigns, loyalty incentives</w:t>
            </w:r>
          </w:p>
        </w:tc>
      </w:tr>
      <w:tr>
        <w:tc>
          <w:tcPr>
            <w:tcW w:type="dxa" w:w="1650"/>
            <w:shd w:fill="EAF4EE" w:val="clear"/>
            <w:tcMar>
              <w:top w:type="dxa" w:w="90"/>
              <w:left w:type="dxa" w:w="120"/>
              <w:bottom w:type="dxa" w:w="90"/>
              <w:right w:type="dxa" w:w="120"/>
            </w:tcMar>
            <w:vAlign w:val="center"/>
          </w:tcPr>
          <w:p>
            <w:r>
              <w:rPr>
                <w:color w:val="222222"/>
                <w:sz w:val="19"/>
                <w:szCs w:val="19"/>
              </w:rPr>
              <w:t xml:space="preserve">4 — Grow value</w:t>
            </w:r>
          </w:p>
        </w:tc>
        <w:tc>
          <w:tcPr>
            <w:tcW w:type="dxa" w:w="2350"/>
            <w:shd w:fill="EAF4EE" w:val="clear"/>
            <w:tcMar>
              <w:top w:type="dxa" w:w="90"/>
              <w:left w:type="dxa" w:w="120"/>
              <w:bottom w:type="dxa" w:w="90"/>
              <w:right w:type="dxa" w:w="120"/>
            </w:tcMar>
            <w:vAlign w:val="center"/>
          </w:tcPr>
          <w:p>
            <w:r>
              <w:rPr>
                <w:color w:val="222222"/>
                <w:sz w:val="19"/>
                <w:szCs w:val="19"/>
              </w:rPr>
              <w:t xml:space="preserve">Category portfolio</w:t>
            </w:r>
          </w:p>
        </w:tc>
        <w:tc>
          <w:tcPr>
            <w:tcW w:type="dxa" w:w="2450"/>
            <w:shd w:fill="EAF4EE" w:val="clear"/>
            <w:tcMar>
              <w:top w:type="dxa" w:w="90"/>
              <w:left w:type="dxa" w:w="120"/>
              <w:bottom w:type="dxa" w:w="90"/>
              <w:right w:type="dxa" w:w="120"/>
            </w:tcMar>
            <w:vAlign w:val="center"/>
          </w:tcPr>
          <w:p>
            <w:r>
              <w:rPr>
                <w:color w:val="222222"/>
                <w:sz w:val="19"/>
                <w:szCs w:val="19"/>
              </w:rPr>
              <w:t xml:space="preserve">Category sales, AOV</w:t>
            </w:r>
          </w:p>
        </w:tc>
        <w:tc>
          <w:tcPr>
            <w:tcW w:type="dxa" w:w="2900"/>
            <w:shd w:fill="EAF4EE" w:val="clear"/>
            <w:tcMar>
              <w:top w:type="dxa" w:w="90"/>
              <w:left w:type="dxa" w:w="120"/>
              <w:bottom w:type="dxa" w:w="90"/>
              <w:right w:type="dxa" w:w="120"/>
            </w:tcMar>
            <w:vAlign w:val="center"/>
          </w:tcPr>
          <w:p>
            <w:r>
              <w:rPr>
                <w:color w:val="222222"/>
                <w:sz w:val="19"/>
                <w:szCs w:val="19"/>
              </w:rPr>
              <w:t xml:space="preserve">Cross-sell on strong categories, revive weak ones</w:t>
            </w:r>
          </w:p>
        </w:tc>
      </w:tr>
      <w:tr>
        <w:tc>
          <w:tcPr>
            <w:tcW w:type="dxa" w:w="1650"/>
            <w:shd w:fill="FFFFFF" w:val="clear"/>
            <w:tcMar>
              <w:top w:type="dxa" w:w="90"/>
              <w:left w:type="dxa" w:w="120"/>
              <w:bottom w:type="dxa" w:w="90"/>
              <w:right w:type="dxa" w:w="120"/>
            </w:tcMar>
            <w:vAlign w:val="center"/>
          </w:tcPr>
          <w:p>
            <w:r>
              <w:rPr>
                <w:color w:val="222222"/>
                <w:sz w:val="19"/>
                <w:szCs w:val="19"/>
              </w:rPr>
              <w:t xml:space="preserve">5 — Prioritize expansion</w:t>
            </w:r>
          </w:p>
        </w:tc>
        <w:tc>
          <w:tcPr>
            <w:tcW w:type="dxa" w:w="2350"/>
            <w:shd w:fill="FFFFFF" w:val="clear"/>
            <w:tcMar>
              <w:top w:type="dxa" w:w="90"/>
              <w:left w:type="dxa" w:w="120"/>
              <w:bottom w:type="dxa" w:w="90"/>
              <w:right w:type="dxa" w:w="120"/>
            </w:tcMar>
            <w:vAlign w:val="center"/>
          </w:tcPr>
          <w:p>
            <w:r>
              <w:rPr>
                <w:color w:val="222222"/>
                <w:sz w:val="19"/>
                <w:szCs w:val="19"/>
              </w:rPr>
              <w:t xml:space="preserve">Regional investment</w:t>
            </w:r>
          </w:p>
        </w:tc>
        <w:tc>
          <w:tcPr>
            <w:tcW w:type="dxa" w:w="2450"/>
            <w:shd w:fill="FFFFFF" w:val="clear"/>
            <w:tcMar>
              <w:top w:type="dxa" w:w="90"/>
              <w:left w:type="dxa" w:w="120"/>
              <w:bottom w:type="dxa" w:w="90"/>
              <w:right w:type="dxa" w:w="120"/>
            </w:tcMar>
            <w:vAlign w:val="center"/>
          </w:tcPr>
          <w:p>
            <w:r>
              <w:rPr>
                <w:color w:val="222222"/>
                <w:sz w:val="19"/>
                <w:szCs w:val="19"/>
              </w:rPr>
              <w:t xml:space="preserve">Regional demand vs. delivery rate</w:t>
            </w:r>
          </w:p>
        </w:tc>
        <w:tc>
          <w:tcPr>
            <w:tcW w:type="dxa" w:w="2900"/>
            <w:shd w:fill="FFFFFF" w:val="clear"/>
            <w:tcMar>
              <w:top w:type="dxa" w:w="90"/>
              <w:left w:type="dxa" w:w="120"/>
              <w:bottom w:type="dxa" w:w="90"/>
              <w:right w:type="dxa" w:w="120"/>
            </w:tcMar>
            <w:vAlign w:val="center"/>
          </w:tcPr>
          <w:p>
            <w:r>
              <w:rPr>
                <w:color w:val="222222"/>
                <w:sz w:val="19"/>
                <w:szCs w:val="19"/>
              </w:rPr>
              <w:t xml:space="preserve">Demand/delivery decision framework</w:t>
            </w:r>
          </w:p>
        </w:tc>
      </w:tr>
      <w:tr>
        <w:tc>
          <w:tcPr>
            <w:tcW w:type="dxa" w:w="1650"/>
            <w:shd w:fill="EAF4EE" w:val="clear"/>
            <w:tcMar>
              <w:top w:type="dxa" w:w="90"/>
              <w:left w:type="dxa" w:w="120"/>
              <w:bottom w:type="dxa" w:w="90"/>
              <w:right w:type="dxa" w:w="120"/>
            </w:tcMar>
            <w:vAlign w:val="center"/>
          </w:tcPr>
          <w:p>
            <w:r>
              <w:rPr>
                <w:color w:val="222222"/>
                <w:sz w:val="19"/>
                <w:szCs w:val="19"/>
              </w:rPr>
              <w:t xml:space="preserve">6 — Early warning system</w:t>
            </w:r>
          </w:p>
        </w:tc>
        <w:tc>
          <w:tcPr>
            <w:tcW w:type="dxa" w:w="2350"/>
            <w:shd w:fill="EAF4EE" w:val="clear"/>
            <w:tcMar>
              <w:top w:type="dxa" w:w="90"/>
              <w:left w:type="dxa" w:w="120"/>
              <w:bottom w:type="dxa" w:w="90"/>
              <w:right w:type="dxa" w:w="120"/>
            </w:tcMar>
            <w:vAlign w:val="center"/>
          </w:tcPr>
          <w:p>
            <w:r>
              <w:rPr>
                <w:color w:val="222222"/>
                <w:sz w:val="19"/>
                <w:szCs w:val="19"/>
              </w:rPr>
              <w:t xml:space="preserve">Review monitoring</w:t>
            </w:r>
          </w:p>
        </w:tc>
        <w:tc>
          <w:tcPr>
            <w:tcW w:type="dxa" w:w="2450"/>
            <w:shd w:fill="EAF4EE" w:val="clear"/>
            <w:tcMar>
              <w:top w:type="dxa" w:w="90"/>
              <w:left w:type="dxa" w:w="120"/>
              <w:bottom w:type="dxa" w:w="90"/>
              <w:right w:type="dxa" w:w="120"/>
            </w:tcMar>
            <w:vAlign w:val="center"/>
          </w:tcPr>
          <w:p>
            <w:r>
              <w:rPr>
                <w:color w:val="222222"/>
                <w:sz w:val="19"/>
                <w:szCs w:val="19"/>
              </w:rPr>
              <w:t xml:space="preserve">Low-review % (1–2 star)</w:t>
            </w:r>
          </w:p>
        </w:tc>
        <w:tc>
          <w:tcPr>
            <w:tcW w:type="dxa" w:w="2900"/>
            <w:shd w:fill="EAF4EE" w:val="clear"/>
            <w:tcMar>
              <w:top w:type="dxa" w:w="90"/>
              <w:left w:type="dxa" w:w="120"/>
              <w:bottom w:type="dxa" w:w="90"/>
              <w:right w:type="dxa" w:w="120"/>
            </w:tcMar>
            <w:vAlign w:val="center"/>
          </w:tcPr>
          <w:p>
            <w:r>
              <w:rPr>
                <w:color w:val="222222"/>
                <w:sz w:val="19"/>
                <w:szCs w:val="19"/>
              </w:rPr>
              <w:t xml:space="preserve">Track and investigate patterns by seller/region</w:t>
            </w:r>
          </w:p>
        </w:tc>
      </w:tr>
    </w:tbl>
    <w:p>
      <w:r>
        <w:br w:type="page"/>
      </w:r>
    </w:p>
    <w:p>
      <w:pPr>
        <w:pStyle w:val="Heading1"/>
        <w:pBdr>
          <w:bottom w:val="single" w:color="2E7D4F" w:sz="8" w:space="4"/>
        </w:pBdr>
        <w:spacing w:after="200" w:before="400"/>
      </w:pPr>
      <w:r>
        <w:rPr>
          <w:b/>
          <w:bCs/>
          <w:color w:val="1F3D2E"/>
          <w:sz w:val="32"/>
          <w:szCs w:val="32"/>
        </w:rPr>
        <w:t xml:space="preserve">10. Risks &amp; Limitations</w:t>
      </w:r>
    </w:p>
    <w:p>
      <w:pPr>
        <w:pStyle w:val="ListParagraph"/>
        <w:numPr>
          <w:ilvl w:val="0"/>
          <w:numId w:val="1"/>
        </w:numPr>
        <w:spacing w:after="100"/>
      </w:pPr>
      <w:r>
        <w:rPr>
          <w:color w:val="222222"/>
          <w:sz w:val="21"/>
          <w:szCs w:val="21"/>
        </w:rPr>
        <w:t xml:space="preserve">Correlation is not causation. The delivery-time / review-score relationship is a strong association, but reviews are also shaped by product quality, seller service, and customer expectations that are not fully captured in this dataset.</w:t>
      </w:r>
    </w:p>
    <w:p>
      <w:pPr>
        <w:pStyle w:val="ListParagraph"/>
        <w:numPr>
          <w:ilvl w:val="0"/>
          <w:numId w:val="1"/>
        </w:numPr>
        <w:spacing w:after="100"/>
      </w:pPr>
      <w:r>
        <w:rPr>
          <w:color w:val="222222"/>
          <w:sz w:val="21"/>
          <w:szCs w:val="21"/>
        </w:rPr>
        <w:t xml:space="preserve">True profit cannot be calculated — a complete cost structure (cost of goods, marketing spend, fulfillment cost) is not available in the public dataset, so all financial findings are revenue-based, not margin-based.</w:t>
      </w:r>
    </w:p>
    <w:p>
      <w:pPr>
        <w:pStyle w:val="ListParagraph"/>
        <w:numPr>
          <w:ilvl w:val="0"/>
          <w:numId w:val="1"/>
        </w:numPr>
        <w:spacing w:after="100"/>
      </w:pPr>
      <w:r>
        <w:rPr>
          <w:color w:val="222222"/>
          <w:sz w:val="21"/>
          <w:szCs w:val="21"/>
        </w:rPr>
        <w:t xml:space="preserve">The apparent revenue decline toward the end of the observed window (late 2018) most likely reflects the dataset's cut-off date rather than genuine business decline, and should not be read as a demand collapse.</w:t>
      </w:r>
    </w:p>
    <w:p>
      <w:pPr>
        <w:pStyle w:val="ListParagraph"/>
        <w:numPr>
          <w:ilvl w:val="0"/>
          <w:numId w:val="1"/>
        </w:numPr>
        <w:spacing w:after="100"/>
      </w:pPr>
      <w:r>
        <w:rPr>
          <w:color w:val="222222"/>
          <w:sz w:val="21"/>
          <w:szCs w:val="21"/>
        </w:rPr>
        <w:t xml:space="preserve">Known data-quality issues were addressed before analysis, but some — such as the 13 unmatched product categories and residual review_id duplicates — mean a small share of category- and review-level figures carry minor uncertainty.</w:t>
      </w:r>
    </w:p>
    <w:p>
      <w:pPr>
        <w:pStyle w:val="ListParagraph"/>
        <w:numPr>
          <w:ilvl w:val="0"/>
          <w:numId w:val="1"/>
        </w:numPr>
        <w:spacing w:after="100"/>
      </w:pPr>
      <w:r>
        <w:rPr>
          <w:color w:val="222222"/>
          <w:sz w:val="21"/>
          <w:szCs w:val="21"/>
        </w:rPr>
        <w:t xml:space="preserve">Geolocation join accuracy is approximately 99.7%, so a small fraction of state/region-level figures may carry minor positional imprecision.</w:t>
      </w:r>
    </w:p>
    <w:p>
      <w:pPr>
        <w:pStyle w:val="ListParagraph"/>
        <w:numPr>
          <w:ilvl w:val="0"/>
          <w:numId w:val="1"/>
        </w:numPr>
        <w:spacing w:after="100"/>
      </w:pPr>
      <w:r>
        <w:rPr>
          <w:color w:val="222222"/>
          <w:sz w:val="21"/>
          <w:szCs w:val="21"/>
        </w:rPr>
        <w:t xml:space="preserve">Findings reflect patterns in a specific historical dataset (Sept 2016 – Oct 2018) and may not directly generalize to current marketplace conditions.</w:t>
      </w:r>
    </w:p>
    <w:p>
      <w:r>
        <w:br w:type="page"/>
      </w:r>
    </w:p>
    <w:p>
      <w:pPr>
        <w:pStyle w:val="Heading1"/>
        <w:pBdr>
          <w:bottom w:val="single" w:color="2E7D4F" w:sz="8" w:space="4"/>
        </w:pBdr>
        <w:spacing w:after="200" w:before="400"/>
      </w:pPr>
      <w:r>
        <w:rPr>
          <w:b/>
          <w:bCs/>
          <w:color w:val="1F3D2E"/>
          <w:sz w:val="32"/>
          <w:szCs w:val="32"/>
        </w:rPr>
        <w:t xml:space="preserve">11. Conclusion</w:t>
      </w:r>
    </w:p>
    <w:p>
      <w:pPr>
        <w:spacing w:after="160" w:line="300"/>
      </w:pPr>
      <w:r>
        <w:rPr>
          <w:color w:val="222222"/>
          <w:sz w:val="21"/>
          <w:szCs w:val="21"/>
        </w:rPr>
        <w:t xml:space="preserve">This project demonstrates a complete, evidence-based analytics workflow for an e-commerce marketplace — from raw relational data through validation, SQL business analysis, statistical testing, and an interactive dashboard — arriving at a connected view of the business rather than a collection of isolated metrics.</w:t>
      </w:r>
    </w:p>
    <w:p>
      <w:pPr>
        <w:spacing w:after="160" w:line="300"/>
      </w:pPr>
      <w:r>
        <w:rPr>
          <w:color w:val="222222"/>
          <w:sz w:val="21"/>
          <w:szCs w:val="21"/>
        </w:rPr>
        <w:t xml:space="preserve">The strongest management takeaway is that Sales, Customers, Products, Sellers, Delivery, and Reviews form a single connected chain. Revenue growth that ignores retention, seller quality, or delivery reliability is fragile. The most practical path forward is to protect revenue by tracking orders and AOV together, fix the customer retention leak (3.01% repeat rate), raise seller accountability through a combined sales-and-service scorecard, resolve delivery problems in the highest-impact states first, and use review patterns as an early warning system for operational issues.</w:t>
      </w:r>
    </w:p>
    <w:p>
      <w:pPr>
        <w:spacing w:after="200"/>
      </w:pPr>
    </w:p>
    <w:tbl>
      <w:tblPr>
        <w:tblW w:type="dxa" w:w="9350"/>
        <w:tblBorders>
          <w:top w:val="single" w:color="4CA372" w:sz="4"/>
          <w:left w:val="single" w:color="4CA372" w:sz="24"/>
          <w:bottom w:val="single" w:color="4CA372" w:sz="4"/>
          <w:right w:val="single" w:color="4CA372" w:sz="4"/>
          <w:insideH w:val="single" w:color="auto" w:sz="4"/>
          <w:insideV w:val="single" w:color="auto" w:sz="4"/>
        </w:tblBorders>
      </w:tblPr>
      <w:tblGrid>
        <w:gridCol w:w="100"/>
      </w:tblGrid>
      <w:tr>
        <w:tc>
          <w:tcPr>
            <w:shd w:fill="EAF4EE" w:val="clear"/>
            <w:tcMar>
              <w:top w:type="dxa" w:w="160"/>
              <w:left w:type="dxa" w:w="220"/>
              <w:bottom w:type="dxa" w:w="160"/>
              <w:right w:type="dxa" w:w="220"/>
            </w:tcMar>
          </w:tcPr>
          <w:p>
            <w:pPr>
              <w:spacing w:after="60"/>
            </w:pPr>
            <w:r>
              <w:rPr>
                <w:b/>
                <w:bCs/>
                <w:color w:val="2E7D4F"/>
                <w:sz w:val="18"/>
                <w:szCs w:val="18"/>
              </w:rPr>
              <w:t xml:space="preserve">RECOMMENDED NEXT STEP</w:t>
            </w:r>
          </w:p>
          <w:p>
            <w:pPr>
              <w:spacing w:after="0"/>
            </w:pPr>
            <w:r>
              <w:rPr>
                <w:color w:val="222222"/>
                <w:sz w:val="21"/>
                <w:szCs w:val="21"/>
              </w:rPr>
              <w:t xml:space="preserve">Recommended first move: launch a repeat-purchase pilot for one-time customers in the top 3 revenue states (SP, RJ, MG), paired with a delivery root-cause review in those same states — testing whether fixing the delivery experience measurably lifts the repeat-purchase rate.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Olist E-Commerce Sales Performance &amp; Customer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ecdb349c913774be1347511df8d09180828e9f.png"/><Relationship Id="rId10" Type="http://schemas.openxmlformats.org/officeDocument/2006/relationships/image" Target="media/f9e1a3f738582a6e36d42de5a72b2a68fdcee7ed.jpg"/><Relationship Id="rId11" Type="http://schemas.openxmlformats.org/officeDocument/2006/relationships/image" Target="media/41ce5768cb9f9adf53858814810cd39f3af05153.jpg"/><Relationship Id="rId12" Type="http://schemas.openxmlformats.org/officeDocument/2006/relationships/image" Target="media/e7f933625e7afebd03fb15dce43e0c2d7863085b.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E-Commerce Sales Performance &amp; Customer Analytics — Complete Project Report</dc:title>
  <dc:creator>Analytics Team</dc:creator>
  <cp:lastModifiedBy>Un-named</cp:lastModifiedBy>
  <cp:revision>1</cp:revision>
  <dcterms:created xsi:type="dcterms:W3CDTF">2026-08-30T11:22:40.993Z</dcterms:created>
  <dcterms:modified xsi:type="dcterms:W3CDTF">2026-08-30T11:22:40.993Z</dcterms:modified>
</cp:coreProperties>
</file>

<file path=docProps/custom.xml><?xml version="1.0" encoding="utf-8"?>
<Properties xmlns="http://schemas.openxmlformats.org/officeDocument/2006/custom-properties" xmlns:vt="http://schemas.openxmlformats.org/officeDocument/2006/docPropsVTypes"/>
</file>