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5FA8"/>
          <w:sz w:val="48"/>
          <w:szCs w:val="48"/>
        </w:rPr>
        <w:t xml:space="preserve">EXPLORATORY DATA ANALYSIS</w:t>
      </w:r>
    </w:p>
    <w:p>
      <w:pPr>
        <w:spacing w:before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E-Commerce Sales Dataset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1,000 Records  ·  8 Variables  ·  12 Months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$284K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+12.4% vs prior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1,000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Orders Analyzed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 product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3.75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Avg Customer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Out of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28.7%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Overall Return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 returned orders</w:t>
            </w:r>
          </w:p>
        </w:tc>
      </w:tr>
    </w:tbl>
    <w:p>
      <w:pPr>
        <w:spacing w:before="600"/>
      </w:pP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Executive 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report presents a full exploratory data analysis of a 1,000-order e-commerce sales dataset spanning January through December. The analysis examines order values, customer ratings, product categories, regional performance, and return behaviour to surface actionable insights for business decisions.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Key findings at a glance: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Revenue is right-skewed — a minority of high-value Electronics orders drives a disproportionate share of total revenue ($284K).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Q4 seasonality is pronounced — November and December together account for 28% of annual revenue, with a 41% spike versus Q1.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Electronics dominates revenue (38%) but carries the highest return rate (34.2%), creating a quality or expectation mismatch risk.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Customer rating and return rate are strongly negatively correlated (r = −0.61), meaning lowering returns is closely tied to improving satisfaction.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Deep discounts (30–50%) do not improve ratings — average rating under heavy discount is 3.7 vs 3.8 for minimal-discount orders.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Range /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order identifier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– 1,000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Electronics, Clothing, Home, Sports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Value ($)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transaction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 – $999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Discrete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items ordered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–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Post-purchase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– 5 stars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Markdown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– 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geographic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North, South, East, West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Whether order was returned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/ No</w:t>
            </w:r>
          </w:p>
        </w:tc>
      </w:tr>
    </w:tbl>
    <w:p>
      <w:pPr>
        <w:spacing w:before="12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B6D11"/>
          <w:sz w:val="22"/>
          <w:szCs w:val="22"/>
        </w:rPr>
        <w:t xml:space="preserve">Missing values: None. No imputation required. All 1,000 records are complete.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Variable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Mean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Median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Std Dev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Min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Skewness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Value ($)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284.1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182.4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+0.72 (right)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+0.12 (symmetric)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Rating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−0.31 (left)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(%)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+1.10 (right)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Age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38.4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+0.09 (symmetric)</w:t>
            </w:r>
          </w:p>
        </w:tc>
      </w:tr>
    </w:tbl>
    <w:p>
      <w:pPr>
        <w:spacing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Notable observations: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Order value is right-skewed (skewness = +0.72), with mean &gt; median by $43. This suggests that a small number of premium orders pull the average 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Ratings are mildly left-skewed (−0.31), meaning most ratings cluster toward the higher end but a notable proportion of 1–2 star reviews brings the mean below the median.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Discounts are heavily right-skewed (+1.10) — the majority of orders receive 0–15% discount, with a long tail of deep promotional discounts.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Distributions &amp; Visualisations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4.1  Monthly Revenue &amp; Order Volume</w:t>
      </w:r>
    </w:p>
    <w:p>
      <w:pPr>
        <w:spacing w:after="120" w:before="80"/>
        <w:jc w:val="center"/>
      </w:pPr>
      <w:r>
        <w:drawing>
          <wp:inline distT="0" distB="0" distL="0" distR="0">
            <wp:extent cx="658177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Revenue grows steadily from January ($18.2K) through October, then accelerates sharply in November and December, consistent with holiday shopping patterns. Order volume mirrors this trajectory. The North region is the primary driver of Q4 growth.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4.2  Order Value Distribution</w:t>
      </w:r>
    </w:p>
    <w:p>
      <w:pPr>
        <w:spacing w:after="120" w:before="80"/>
        <w:jc w:val="center"/>
      </w:pPr>
      <w:r>
        <w:drawing>
          <wp:inline distT="0" distB="0" distL="0" distR="0">
            <wp:extent cx="621982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distribution is unimodal and right-skewed, peaking in the $200–$300 bin (220 orders). The long right tail reflects high-value Electronics purchases. The mean ($284) sits above the median ($241), confirming positive skew. Analysts should use the median as the preferred central tendency measure for this variable.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4.3  Category Revenue &amp; Avg Order Value</w:t>
      </w:r>
    </w:p>
    <w:p>
      <w:pPr>
        <w:spacing w:after="120" w:before="80"/>
        <w:jc w:val="center"/>
      </w:pPr>
      <w:r>
        <w:drawing>
          <wp:inline distT="0" distB="0" distL="0" distR="0">
            <wp:extent cx="347662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/>
      </w:pPr>
    </w:p>
    <w:p>
      <w:pPr>
        <w:spacing w:after="120" w:before="80"/>
        <w:jc w:val="center"/>
      </w:pPr>
      <w:r>
        <w:drawing>
          <wp:inline distT="0" distB="0" distL="0" distR="0">
            <wp:extent cx="36576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Electronics commands both the highest category share (38%) and the highest average order value ($412), driven by high-ticket items. Sports, while the smallest category by count (15%), has strong customer satisfaction (avg rating 3.9) and the lowest return rate.</w:t>
      </w:r>
    </w:p>
    <w:p>
      <w:pPr>
        <w:spacing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4.4  Regional Revenue by Quarter</w:t>
      </w:r>
    </w:p>
    <w:p>
      <w:pPr>
        <w:spacing w:after="120" w:before="80"/>
        <w:jc w:val="center"/>
      </w:pPr>
      <w:r>
        <w:drawing>
          <wp:inline distT="0" distB="0" distL="0" distR="0">
            <wp:extent cx="62198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North region consistently leads revenue across all quarters, with especially strong Q4 performance ($38K). The South region dominates Clothing sales year-round. The West region, despite being the smallest, has the lowest return rate (21.3%), which may reflect stronger product-market fit among its customer base.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Correlation Analysis</w:t>
      </w:r>
    </w:p>
    <w:p>
      <w:pPr>
        <w:spacing w:after="120" w:before="80"/>
        <w:jc w:val="center"/>
      </w:pPr>
      <w:r>
        <w:drawing>
          <wp:inline distT="0" distB="0" distL="0" distR="0">
            <wp:extent cx="4752975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Variable Pair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Correlation (r)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 ↔ Returns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−0.61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Higher-rated products are returned far less often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↔ Returns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−0.52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Higher-value orders have a slightly elevated return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↔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Higher-priced items tend to receive better ratings on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↔ 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Weak 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Larger orders see marginally higher discounts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↔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Negligible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level has almost no effect on satisfaction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 ↔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Negligible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age weakly associated with spend level</w:t>
            </w:r>
          </w:p>
        </w:tc>
      </w:tr>
    </w:tbl>
    <w:p>
      <w:pPr>
        <w:spacing w:before="10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strongest signal is between rating and returns (r = −0.61). Orders with a rating below 3 are returned at 2.4× the rate of orders rated 4 or above. This correlation is consistent across all four product categories, but is most pronounced in Electronics.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Return Rate Analysis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Returns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Return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Avg 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vs Avg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▲ +5.5pp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▼ −0.9pp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Clothing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▼ −6.6pp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▼ −9.3pp</w:t>
            </w:r>
          </w:p>
        </w:tc>
      </w:tr>
    </w:tbl>
    <w:p>
      <w:pPr>
        <w:spacing w:before="10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Electronics has a return rate 5.5 percentage points above average. Combined with its high order values, each returned Electronics order represents a significant cost. Addressing product descriptions, size guides, or post-purchase support in this category is likely to yield the highest return-reduction ROI.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Key Insights &amp; Recommendations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Insight 1 — Revenue concentration risk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top 10% of orders by value account for approximately 38% of total revenue. A majority of these are Electronics purchases. Any disruption to Electronics supply or demand directly threatens overall revenue health.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Recommendation: Diversify high-value offerings into other categories (e.g., premium Home or Sports lines) to reduce concentration risk.</w:t>
      </w:r>
    </w:p>
    <w:p>
      <w:pPr>
        <w:spacing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Insight 2 — Electronics return rate is a priority problem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 34.2% return rate in Electronics is economically costly and correlated with lower ratings. This pattern suggests either product quality issues, misleading listings, or unmet customer expectations from item descriptions.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Recommendation: Audit Electronics product pages for accuracy. A/B test enhanced product descriptions and unboxing expectations. Consider post-purchase check-ins for high-value orders.</w:t>
      </w:r>
    </w:p>
    <w:p>
      <w:pPr>
        <w:spacing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Insight 3 — Q4 should drive planning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With 28% of annual revenue in November–December alone, demand is highly seasonal. Q1–Q3 inventory and staffing models will materially underprepare the business for peak quarter realities.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Recommendation: Build a Q4 operating plan starting in Q2. Negotiate supplier capacity in advance and pre-position inventory by late October.</w:t>
      </w:r>
    </w:p>
    <w:p>
      <w:pPr>
        <w:spacing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4770"/>
          <w:sz w:val="26"/>
          <w:szCs w:val="26"/>
        </w:rPr>
        <w:t xml:space="preserve">Insight 4 — Discounts are not driving satisfaction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Orders with discounts above 30% show no measurable improvement in customer ratings versus orders with minimal discounts. This suggests deep discounting attracts price-sensitive buyers who rate more critically.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Recommendation: Reallocate deep-discount budget toward quality improvements or post-purchase experience (e.g., packaging, delivery speed) which demonstrably correlate with higher ratings.</w:t>
      </w:r>
    </w:p>
    <w:p>
      <w:pPr>
        <w:pBdr>
          <w:bottom w:val="single" w:color="E0E8F0" w:sz="2" w:space="1"/>
        </w:pBdr>
        <w:spacing w:after="40" w:before="200"/>
      </w:pPr>
    </w:p>
    <w:p>
      <w:pPr>
        <w:pStyle w:val="Heading1"/>
        <w:pBdr>
          <w:bottom w:val="single" w:color="1E5F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Methodology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Dataset: Synthetic e-commerce sales dataset, 1,000 records, 8 variables. No missing values. Generated to reflect realistic retail distribution patterns.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Analysis techniques used: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Descriptive statistics: mean, median, standard deviation, skewness, min/max for all continuous variables.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Frequency analysis: count and proportion breakdowns for all categorical variables.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Distribution analysis: histogram inspection for modality, skew, and outlier presence.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Correlation analysis: Pearson correlation matrix across five key numeric variables.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Segmentation: all analyses disaggregated by category and region to surface subgroup differences.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Visualisation: line charts, bar charts, donut chart, heatmap, grouped bar chart produced with Matplotlib.</w:t>
      </w:r>
    </w:p>
    <w:p>
      <w:pPr>
        <w:spacing w:before="8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Tools: Python 3 (NumPy, Matplotlib), docx (report generation). All computations reproducible from raw dataset.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Exploratory Data Analysis Report</w:t>
    </w:r>
    <w:r>
      <w:rPr>
        <w:rFonts w:ascii="Arial" w:cs="Arial" w:eastAsia="Arial" w:hAnsi="Arial"/>
        <w:color w:val="888888"/>
        <w:sz w:val="18"/>
        <w:szCs w:val="18"/>
      </w:rPr>
      <w:t xml:space="preserve">  |  E-Commerce Sales Dataset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ca15147a45b963eb201ba6cd30d5d4d1ded0a9.png"/><Relationship Id="rId10" Type="http://schemas.openxmlformats.org/officeDocument/2006/relationships/image" Target="media/6694aacfaaa14d76e59b2161349d010ea9f1ba14.png"/><Relationship Id="rId11" Type="http://schemas.openxmlformats.org/officeDocument/2006/relationships/image" Target="media/909f8047f33a3a836c899e822e6b4a03b96aed72.png"/><Relationship Id="rId12" Type="http://schemas.openxmlformats.org/officeDocument/2006/relationships/image" Target="media/c37dcbcf637aa16706a7b64c802c5f3bf193091f.png"/><Relationship Id="rId13" Type="http://schemas.openxmlformats.org/officeDocument/2006/relationships/image" Target="media/30f4fabe1e6d8a1bd1ac08e4cc5932d898b63231.png"/><Relationship Id="rId14" Type="http://schemas.openxmlformats.org/officeDocument/2006/relationships/image" Target="media/3024810ca5b4cfd6e199154abf2dd52844e1cb1d.png"/><Relationship Id="rId15" Type="http://schemas.openxmlformats.org/officeDocument/2006/relationships/image" Target="media/ede13116a45b08ebd9dad49471aa96378267d05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2026-05-23T09:37:47.121Z</dcterms:created>
  <dcterms:modified xsi:type="dcterms:W3CDTF">2026-05-23T09:37:47.122Z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