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Segoe UI" w:hAnsi="Segoe UI"/>
          <w:b/>
          <w:color w:val="064A56"/>
          <w:sz w:val="44"/>
        </w:rPr>
        <w:t>Freight Rate Machine Learning Assessment</w:t>
      </w:r>
    </w:p>
    <w:p>
      <w:pPr>
        <w:spacing w:before="0" w:after="280"/>
      </w:pPr>
      <w:r>
        <w:rPr>
          <w:rFonts w:ascii="Segoe UI" w:hAnsi="Segoe UI"/>
          <w:i/>
          <w:color w:val="22707E"/>
          <w:sz w:val="24"/>
        </w:rPr>
        <w:t>Dynamic Load Pricing Model, Validation Strategy &amp; December Forecast Report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12"/>
            <w:shd w:fill="F0F4F6"/>
          </w:tcPr>
          <w:p>
            <w:pPr>
              <w:spacing w:before="80" w:after="80"/>
            </w:pPr>
            <w:r>
              <w:rPr>
                <w:rFonts w:ascii="Segoe UI" w:hAnsi="Segoe UI"/>
                <w:b/>
                <w:color w:val="064A56"/>
                <w:sz w:val="17"/>
              </w:rPr>
              <w:t>Solution</w:t>
              <w:br/>
            </w:r>
            <w:r>
              <w:rPr>
                <w:rFonts w:ascii="Segoe UI" w:hAnsi="Segoe UI"/>
                <w:color w:val="212529"/>
                <w:sz w:val="19"/>
              </w:rPr>
              <w:t>ML Pipeline (train_predict.py)</w:t>
            </w:r>
          </w:p>
        </w:tc>
        <w:tc>
          <w:tcPr>
            <w:tcW w:type="dxa" w:w="3312"/>
            <w:shd w:fill="F0F4F6"/>
          </w:tcPr>
          <w:p>
            <w:pPr>
              <w:spacing w:before="80" w:after="80"/>
            </w:pPr>
            <w:r>
              <w:rPr>
                <w:rFonts w:ascii="Segoe UI" w:hAnsi="Segoe UI"/>
                <w:b/>
                <w:color w:val="064A56"/>
                <w:sz w:val="17"/>
              </w:rPr>
              <w:t>Validation Framework</w:t>
              <w:br/>
            </w:r>
            <w:r>
              <w:rPr>
                <w:rFonts w:ascii="Segoe UI" w:hAnsi="Segoe UI"/>
                <w:color w:val="212529"/>
                <w:sz w:val="19"/>
              </w:rPr>
              <w:t>Out-of-Time (OOT) Split</w:t>
            </w:r>
          </w:p>
        </w:tc>
        <w:tc>
          <w:tcPr>
            <w:tcW w:type="dxa" w:w="3312"/>
            <w:shd w:fill="F0F4F6"/>
          </w:tcPr>
          <w:p>
            <w:pPr>
              <w:spacing w:before="80" w:after="80"/>
            </w:pPr>
            <w:r>
              <w:rPr>
                <w:rFonts w:ascii="Segoe UI" w:hAnsi="Segoe UI"/>
                <w:b/>
                <w:color w:val="064A56"/>
                <w:sz w:val="17"/>
              </w:rPr>
              <w:t>Target Variable</w:t>
              <w:br/>
            </w:r>
            <w:r>
              <w:rPr>
                <w:rFonts w:ascii="Segoe UI" w:hAnsi="Segoe UI"/>
                <w:color w:val="212529"/>
                <w:sz w:val="19"/>
              </w:rPr>
              <w:t>posted_rate ($)</w:t>
            </w:r>
          </w:p>
        </w:tc>
      </w:tr>
    </w:tbl>
    <w:p>
      <w:pPr>
        <w:spacing w:after="120"/>
      </w:pPr>
    </w:p>
    <w:p>
      <w:pPr>
        <w:keepNext/>
        <w:spacing w:before="240" w:after="80"/>
      </w:pPr>
      <w:r>
        <w:rPr>
          <w:rFonts w:ascii="Segoe UI" w:hAnsi="Segoe UI"/>
          <w:b/>
          <w:color w:val="064A56"/>
          <w:sz w:val="28"/>
        </w:rPr>
        <w:t>1. Executive Summary</w:t>
      </w:r>
    </w:p>
    <w:p>
      <w:pPr>
        <w:spacing w:before="40" w:after="80" w:line="276" w:lineRule="auto"/>
      </w:pPr>
      <w:r>
        <w:rPr>
          <w:rFonts w:ascii="Segoe UI" w:hAnsi="Segoe UI"/>
          <w:color w:val="212529"/>
          <w:sz w:val="20"/>
        </w:rPr>
        <w:t>This report outlines the machine learning solution developed to predict freight load posted rates (`posted_rate`) across national trucking corridors. Using 48,000 historical freight loads spanning January 1 to October 31, 2025, we built a geospatial-temporal pipeline, validated it on an Out-of-Time holdout, and applied it to 12,000 validation loads (November-December 2025) and a fixed 31-day December scenario. The OOT holdout yields a MAE of approximately $129, Median Absolute Error of $56, and R² of 0.82. Both output files pass Spotter's official `score.py` evaluation with zero errors.</w:t>
      </w:r>
    </w:p>
    <w:p>
      <w:pPr>
        <w:keepNext/>
        <w:spacing w:before="240" w:after="80"/>
      </w:pPr>
      <w:r>
        <w:rPr>
          <w:rFonts w:ascii="Segoe UI" w:hAnsi="Segoe UI"/>
          <w:b/>
          <w:color w:val="064A56"/>
          <w:sz w:val="28"/>
        </w:rPr>
        <w:t>2. Validation Strategy &amp; Data Split Approach</w:t>
      </w:r>
    </w:p>
    <w:p>
      <w:pPr>
        <w:spacing w:before="40" w:after="80" w:line="276" w:lineRule="auto"/>
      </w:pPr>
      <w:r>
        <w:rPr>
          <w:rFonts w:ascii="Segoe UI" w:hAnsi="Segoe UI"/>
          <w:b/>
          <w:color w:val="212529"/>
          <w:sz w:val="20"/>
        </w:rPr>
        <w:t xml:space="preserve">The Anti-Leakage Rationale: </w:t>
      </w:r>
      <w:r>
        <w:rPr>
          <w:rFonts w:ascii="Segoe UI" w:hAnsi="Segoe UI"/>
          <w:color w:val="212529"/>
          <w:sz w:val="20"/>
        </w:rPr>
        <w:t>A critical pitfall in freight rate modeling is the use of naive random K-Fold cross-validation. In freight logistics, rates exhibit strong temporal dependencies, macroeconomic cycles, and produce season surges. Random K-Fold shuffling permits future market indices and rate regimes to leak into historical training records, producing dangerously optimistic CV metrics that collapse in production out-of-time deployment.</w:t>
      </w:r>
    </w:p>
    <w:p>
      <w:pPr>
        <w:spacing w:before="40" w:after="80" w:line="276" w:lineRule="auto"/>
      </w:pPr>
      <w:r>
        <w:rPr>
          <w:rFonts w:ascii="Segoe UI" w:hAnsi="Segoe UI"/>
          <w:b/>
          <w:color w:val="212529"/>
          <w:sz w:val="20"/>
        </w:rPr>
        <w:t xml:space="preserve">Split Design: </w:t>
      </w:r>
      <w:r>
        <w:rPr>
          <w:rFonts w:ascii="Segoe UI" w:hAnsi="Segoe UI"/>
          <w:color w:val="212529"/>
          <w:sz w:val="20"/>
        </w:rPr>
        <w:t xml:space="preserve">To mirror actual operational reality—where models trained on historical records must forecast upcoming loads—we instituted an Out-of-Time (OOT) temporal validation split: </w:t>
      </w:r>
    </w:p>
    <w:p>
      <w:pPr>
        <w:spacing w:before="40" w:after="80" w:line="276" w:lineRule="auto"/>
      </w:pPr>
      <w:r>
        <w:rPr>
          <w:rFonts w:ascii="Segoe UI" w:hAnsi="Segoe UI"/>
          <w:color w:val="212529"/>
          <w:sz w:val="20"/>
        </w:rPr>
        <w:t>• Development Train Window: January 1, 2025 to August 31, 2025 (38,477 loads, 80.2% of data).</w:t>
        <w:br/>
        <w:t>• Out-of-Time Holdout Window: September 1, 2025 to October 31, 2025 (9,523 loads, 19.8% of data).</w:t>
        <w:br/>
        <w:t>• Final Target Deployment: November 1, 2025 to December 31, 2025 (12,000 unobserved validation loads).</w:t>
      </w:r>
    </w:p>
    <w:p>
      <w:pPr>
        <w:spacing w:before="40" w:after="80" w:line="276" w:lineRule="auto"/>
      </w:pPr>
      <w:r>
        <w:rPr>
          <w:rFonts w:ascii="Segoe UI" w:hAnsi="Segoe UI"/>
          <w:color w:val="212529"/>
          <w:sz w:val="20"/>
        </w:rPr>
        <w:t>This temporal boundary rigorously tests model generalization across market regime shifts, seasonality transitions, and unseen corridor conditions.</w:t>
      </w:r>
    </w:p>
    <w:p>
      <w:pPr>
        <w:keepNext/>
        <w:spacing w:before="240" w:after="80"/>
      </w:pPr>
      <w:r>
        <w:rPr>
          <w:rFonts w:ascii="Segoe UI" w:hAnsi="Segoe UI"/>
          <w:b/>
          <w:color w:val="064A56"/>
          <w:sz w:val="28"/>
        </w:rPr>
        <w:t>3. Data Exploration &amp; Quality Findings</w:t>
      </w:r>
    </w:p>
    <w:p>
      <w:pPr>
        <w:spacing w:before="40" w:after="80" w:line="276" w:lineRule="auto"/>
      </w:pPr>
      <w:r>
        <w:rPr>
          <w:rFonts w:ascii="Segoe UI" w:hAnsi="Segoe UI"/>
          <w:color w:val="212529"/>
          <w:sz w:val="20"/>
        </w:rPr>
        <w:t>Five data-quality issues were identified during EDA:</w:t>
      </w:r>
    </w:p>
    <w:p>
      <w:pPr>
        <w:spacing w:before="40" w:after="80" w:line="276" w:lineRule="auto"/>
      </w:pPr>
      <w:r>
        <w:rPr>
          <w:rFonts w:ascii="Segoe UI" w:hAnsi="Segoe UI"/>
          <w:b/>
          <w:color w:val="212529"/>
          <w:sz w:val="20"/>
        </w:rPr>
        <w:t xml:space="preserve">1. Negative Weights: </w:t>
      </w:r>
      <w:r>
        <w:rPr>
          <w:rFonts w:ascii="Segoe UI" w:hAnsi="Segoe UI"/>
          <w:color w:val="212529"/>
          <w:sz w:val="20"/>
        </w:rPr>
        <w:t>292 training records and 145 validation records carry a negative weight value. These are sign-flip recording errors; the correct value is the absolute value. The fix `abs(weight)` is applied before any imputation.</w:t>
      </w:r>
    </w:p>
    <w:p>
      <w:pPr>
        <w:spacing w:before="40" w:after="80" w:line="276" w:lineRule="auto"/>
      </w:pPr>
      <w:r>
        <w:rPr>
          <w:rFonts w:ascii="Segoe UI" w:hAnsi="Segoe UI"/>
          <w:b/>
          <w:color w:val="212529"/>
          <w:sz w:val="20"/>
        </w:rPr>
        <w:t xml:space="preserve">2. RPM Outliers (possible corruptions): </w:t>
      </w:r>
      <w:r>
        <w:rPr>
          <w:rFonts w:ascii="Segoe UI" w:hAnsi="Segoe UI"/>
          <w:color w:val="212529"/>
          <w:sz w:val="20"/>
        </w:rPr>
        <w:t>0.78% of training records (373 rows: 270 with rpm &gt; 6.0, 103 with rpm &lt; 0.5) have implausible rate-per-mile values. The high-rpm subset may include genuine short-haul premiums; the low-rpm subset cannot be explained by any normal freight scenario and may be test or mis-keyed records. Both are flagged in code for future audit; the model sees their actual posted_rate targets.</w:t>
      </w:r>
    </w:p>
    <w:p>
      <w:pPr>
        <w:spacing w:before="40" w:after="80" w:line="276" w:lineRule="auto"/>
      </w:pPr>
      <w:r>
        <w:rPr>
          <w:rFonts w:ascii="Segoe UI" w:hAnsi="Segoe UI"/>
          <w:b/>
          <w:color w:val="212529"/>
          <w:sz w:val="20"/>
        </w:rPr>
        <w:t xml:space="preserve">3. Missing Weight Values: </w:t>
      </w:r>
      <w:r>
        <w:rPr>
          <w:rFonts w:ascii="Segoe UI" w:hAnsi="Segoe UI"/>
          <w:color w:val="212529"/>
          <w:sz w:val="20"/>
        </w:rPr>
        <w:t>300 training loads (0.63%) and 165 validation loads (1.38%) lacked payload weight. Missing values are imputed with a domain-aligned median (31,000 lbs) and an explicit boolean indicator `weight_isna` is added.</w:t>
      </w:r>
    </w:p>
    <w:p>
      <w:pPr>
        <w:spacing w:before="40" w:after="80" w:line="276" w:lineRule="auto"/>
      </w:pPr>
      <w:r>
        <w:rPr>
          <w:rFonts w:ascii="Segoe UI" w:hAnsi="Segoe UI"/>
          <w:b/>
          <w:color w:val="212529"/>
          <w:sz w:val="20"/>
        </w:rPr>
        <w:t xml:space="preserve">4. Missing Market Index: </w:t>
      </w:r>
      <w:r>
        <w:rPr>
          <w:rFonts w:ascii="Segoe UI" w:hAnsi="Segoe UI"/>
          <w:color w:val="212529"/>
          <w:sz w:val="20"/>
        </w:rPr>
        <w:t>374 training loads (0.78%) and 249 validation loads (2.08%) lacked `market_index`. Because market index is a daily indicator with tight intra-day variance (~0.024 std), missing days are filled via a daily calendar mean lookup. A `market_index_isna` flag is included.</w:t>
      </w:r>
    </w:p>
    <w:p>
      <w:pPr>
        <w:spacing w:before="40" w:after="80" w:line="276" w:lineRule="auto"/>
      </w:pPr>
      <w:r>
        <w:rPr>
          <w:rFonts w:ascii="Segoe UI" w:hAnsi="Segoe UI"/>
          <w:b/>
          <w:color w:val="212529"/>
          <w:sz w:val="20"/>
        </w:rPr>
        <w:t xml:space="preserve">5. Unseen Cities in Validation: </w:t>
      </w:r>
      <w:r>
        <w:rPr>
          <w:rFonts w:ascii="Segoe UI" w:hAnsi="Segoe UI"/>
          <w:color w:val="212529"/>
          <w:sz w:val="20"/>
        </w:rPr>
        <w:t>Validation data introduces 8 cities not present in training: Laredo, Charlotte, Knoxville, Jackson, Norfolk, Chicago, Allentown, and San Diego. Rather than using categorical city IDs, the model uses Haversine coordinates, tortuosity, and coordinate deltas, which generalise to any lat/lon pair.</w:t>
      </w:r>
    </w:p>
    <w:p>
      <w:pPr>
        <w:keepNext/>
        <w:spacing w:before="240" w:after="80"/>
      </w:pPr>
      <w:r>
        <w:rPr>
          <w:rFonts w:ascii="Segoe UI" w:hAnsi="Segoe UI"/>
          <w:b/>
          <w:color w:val="064A56"/>
          <w:sz w:val="28"/>
        </w:rPr>
        <w:t>4. Feature Engineering</w:t>
      </w:r>
    </w:p>
    <w:p>
      <w:pPr>
        <w:spacing w:before="40" w:after="80" w:line="276" w:lineRule="auto"/>
      </w:pPr>
      <w:r>
        <w:rPr>
          <w:rFonts w:ascii="Segoe UI" w:hAnsi="Segoe UI"/>
          <w:color w:val="212529"/>
          <w:sz w:val="20"/>
        </w:rPr>
        <w:t>The pipeline creates 29 predictive features across four domains. Five date-level features were deliberately excluded: `month`, `quarter`, `dayofyear`, `sin_dayofyear`, `cos_dayofyear`. The model is trained on January-October only; those features take values in November-December that the model never saw, so any splits it learned on them would not generalise.</w:t>
      </w:r>
    </w:p>
    <w:p>
      <w:pPr>
        <w:spacing w:before="40" w:after="80" w:line="276" w:lineRule="auto"/>
      </w:pPr>
      <w:r>
        <w:rPr>
          <w:rFonts w:ascii="Segoe UI" w:hAnsi="Segoe UI"/>
          <w:color w:val="212529"/>
          <w:sz w:val="20"/>
        </w:rPr>
        <w:t>• Temporal (within-week, always in range): `day`, `dayofweek`, `is_weekend`, `is_month_end`, `sin_dayofweek`, `cos_dayofweek`.</w:t>
        <w:br/>
        <w:t>• Geospatial: `pickup_lat/lon`, `delivery_lat/lon`, Haversine, tortuosity, `lat_diff`, `lon_diff`, midpoint coordinates.</w:t>
        <w:br/>
        <w:t>• Payload &amp; Equipment: `weight_filled`, `weight_isna`, `weight_tier`, `ton_miles`, `distance`, one-hot equipment flags.</w:t>
        <w:br/>
        <w:t>• Market / broker signals: `quote_signal` (corr with rpm ~0.05, treated as noisy auxiliary), `est_base`, `market_index_filled`, `market_index_isna`, `market_adj_base`, `quote_x_market`.</w:t>
      </w:r>
    </w:p>
    <w:p>
      <w:pPr>
        <w:keepNext/>
        <w:spacing w:before="240" w:after="80"/>
      </w:pPr>
      <w:r>
        <w:rPr>
          <w:rFonts w:ascii="Segoe UI" w:hAnsi="Segoe UI"/>
          <w:b/>
          <w:color w:val="064A56"/>
          <w:sz w:val="28"/>
        </w:rPr>
        <w:t>5. Model Architecture &amp; Loss Formulation</w:t>
      </w:r>
    </w:p>
    <w:p>
      <w:pPr>
        <w:spacing w:before="40" w:after="80" w:line="276" w:lineRule="auto"/>
      </w:pPr>
      <w:r>
        <w:rPr>
          <w:rFonts w:ascii="Segoe UI" w:hAnsi="Segoe UI"/>
          <w:b/>
          <w:color w:val="212529"/>
          <w:sz w:val="20"/>
        </w:rPr>
        <w:t xml:space="preserve">Why Rate Per Mile + L1 Loss? </w:t>
      </w:r>
      <w:r>
        <w:rPr>
          <w:rFonts w:ascii="Segoe UI" w:hAnsi="Segoe UI"/>
          <w:color w:val="212529"/>
          <w:sz w:val="20"/>
        </w:rPr>
        <w:t>In freight transportation, pricing distributions exhibit positive skew and sporadic rate spikes (rush spot shipments, off-hour loads). Standard L2 (MSE) loss functions are heavily penalized by high-leverage outliers, pulling predictions upward and worsening median errors. By reformulating the problem as Rate Per Mile (RPM = `posted_rate / distance`) and optimizing with L1 (Mean Absolute Error) regression loss, the model targets the conditional median rate, dramatically reducing error.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fill="064A56"/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18"/>
              </w:rPr>
              <w:t>Model &amp; Formulation</w:t>
            </w:r>
          </w:p>
        </w:tc>
        <w:tc>
          <w:tcPr>
            <w:tcW w:type="dxa" w:w="2016"/>
            <w:shd w:fill="064A56"/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18"/>
              </w:rPr>
              <w:t>Loss Objective</w:t>
            </w:r>
          </w:p>
        </w:tc>
        <w:tc>
          <w:tcPr>
            <w:tcW w:type="dxa" w:w="2016"/>
            <w:shd w:fill="064A56"/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18"/>
              </w:rPr>
              <w:t>RMSE ($)</w:t>
            </w:r>
          </w:p>
        </w:tc>
        <w:tc>
          <w:tcPr>
            <w:tcW w:type="dxa" w:w="2016"/>
            <w:shd w:fill="064A56"/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18"/>
              </w:rPr>
              <w:t>MAE ($)</w:t>
            </w:r>
          </w:p>
        </w:tc>
        <w:tc>
          <w:tcPr>
            <w:tcW w:type="dxa" w:w="2016"/>
            <w:shd w:fill="064A56"/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18"/>
              </w:rPr>
              <w:t>R² Score</w:t>
            </w:r>
          </w:p>
        </w:tc>
      </w:tr>
      <w:tr>
        <w:tc>
          <w:tcPr>
            <w:tcW w:type="dxa" w:w="2016"/>
          </w:tcPr>
          <w:p/>
        </w:tc>
        <w:tc>
          <w:tcPr>
            <w:tcW w:type="dxa" w:w="2016"/>
          </w:tcPr>
          <w:p/>
        </w:tc>
        <w:tc>
          <w:tcPr>
            <w:tcW w:type="dxa" w:w="2016"/>
          </w:tcPr>
          <w:p/>
        </w:tc>
        <w:tc>
          <w:tcPr>
            <w:tcW w:type="dxa" w:w="2016"/>
          </w:tcPr>
          <w:p/>
        </w:tc>
        <w:tc>
          <w:tcPr>
            <w:tcW w:type="dxa" w:w="2016"/>
          </w:tcPr>
          <w:p/>
        </w:tc>
      </w:tr>
      <w:tr>
        <w:tc>
          <w:tcPr>
            <w:tcW w:type="dxa" w:w="2016"/>
          </w:tcPr>
          <w:p/>
        </w:tc>
        <w:tc>
          <w:tcPr>
            <w:tcW w:type="dxa" w:w="2016"/>
          </w:tcPr>
          <w:p/>
        </w:tc>
        <w:tc>
          <w:tcPr>
            <w:tcW w:type="dxa" w:w="2016"/>
          </w:tcPr>
          <w:p/>
        </w:tc>
        <w:tc>
          <w:tcPr>
            <w:tcW w:type="dxa" w:w="2016"/>
          </w:tcPr>
          <w:p/>
        </w:tc>
        <w:tc>
          <w:tcPr>
            <w:tcW w:type="dxa" w:w="2016"/>
          </w:tcPr>
          <w:p/>
        </w:tc>
      </w:tr>
      <w:tr>
        <w:tc>
          <w:tcPr>
            <w:tcW w:type="dxa" w:w="2016"/>
          </w:tcPr>
          <w:p/>
        </w:tc>
        <w:tc>
          <w:tcPr>
            <w:tcW w:type="dxa" w:w="2016"/>
          </w:tcPr>
          <w:p/>
        </w:tc>
        <w:tc>
          <w:tcPr>
            <w:tcW w:type="dxa" w:w="2016"/>
          </w:tcPr>
          <w:p/>
        </w:tc>
        <w:tc>
          <w:tcPr>
            <w:tcW w:type="dxa" w:w="2016"/>
          </w:tcPr>
          <w:p/>
        </w:tc>
        <w:tc>
          <w:tcPr>
            <w:tcW w:type="dxa" w:w="2016"/>
          </w:tcPr>
          <w:p/>
        </w:tc>
      </w:tr>
      <w:tr>
        <w:tc>
          <w:tcPr>
            <w:tcW w:type="dxa" w:w="2016"/>
          </w:tcPr>
          <w:p/>
        </w:tc>
        <w:tc>
          <w:tcPr>
            <w:tcW w:type="dxa" w:w="2016"/>
          </w:tcPr>
          <w:p/>
        </w:tc>
        <w:tc>
          <w:tcPr>
            <w:tcW w:type="dxa" w:w="2016"/>
          </w:tcPr>
          <w:p/>
        </w:tc>
        <w:tc>
          <w:tcPr>
            <w:tcW w:type="dxa" w:w="2016"/>
          </w:tcPr>
          <w:p/>
        </w:tc>
        <w:tc>
          <w:tcPr>
            <w:tcW w:type="dxa" w:w="2016"/>
          </w:tcPr>
          <w:p/>
        </w:tc>
      </w:tr>
      <w:tr>
        <w:tc>
          <w:tcPr>
            <w:tcW w:type="dxa" w:w="2016"/>
          </w:tcPr>
          <w:p/>
        </w:tc>
        <w:tc>
          <w:tcPr>
            <w:tcW w:type="dxa" w:w="2016"/>
          </w:tcPr>
          <w:p/>
        </w:tc>
        <w:tc>
          <w:tcPr>
            <w:tcW w:type="dxa" w:w="2016"/>
          </w:tcPr>
          <w:p/>
        </w:tc>
        <w:tc>
          <w:tcPr>
            <w:tcW w:type="dxa" w:w="2016"/>
          </w:tcPr>
          <w:p/>
        </w:tc>
        <w:tc>
          <w:tcPr>
            <w:tcW w:type="dxa" w:w="2016"/>
          </w:tcPr>
          <w:p/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fill="064A56"/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18"/>
              </w:rPr>
              <w:t>Model &amp; Formulation</w:t>
            </w:r>
          </w:p>
        </w:tc>
        <w:tc>
          <w:tcPr>
            <w:tcW w:type="dxa" w:w="2016"/>
            <w:shd w:fill="064A56"/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18"/>
              </w:rPr>
              <w:t>Loss Objective</w:t>
            </w:r>
          </w:p>
        </w:tc>
        <w:tc>
          <w:tcPr>
            <w:tcW w:type="dxa" w:w="2016"/>
            <w:shd w:fill="064A56"/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18"/>
              </w:rPr>
              <w:t>RMSE ($)</w:t>
            </w:r>
          </w:p>
        </w:tc>
        <w:tc>
          <w:tcPr>
            <w:tcW w:type="dxa" w:w="2016"/>
            <w:shd w:fill="064A56"/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18"/>
              </w:rPr>
              <w:t>MAE ($)</w:t>
            </w:r>
          </w:p>
        </w:tc>
        <w:tc>
          <w:tcPr>
            <w:tcW w:type="dxa" w:w="2016"/>
            <w:shd w:fill="064A56"/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18"/>
              </w:rPr>
              <w:t>R² Score</w:t>
            </w:r>
          </w:p>
        </w:tc>
      </w:tr>
      <w:tr>
        <w:tc>
          <w:tcPr>
            <w:tcW w:type="dxa" w:w="2016"/>
            <w:shd w:fill="FFFFFF"/>
          </w:tcPr>
          <w:p>
            <w:r>
              <w:rPr>
                <w:rFonts w:ascii="Segoe UI" w:hAnsi="Segoe UI"/>
                <w:color w:val="212529"/>
                <w:sz w:val="17"/>
              </w:rPr>
              <w:t>Naive baseline (median rpm x dist)</w:t>
            </w:r>
          </w:p>
        </w:tc>
        <w:tc>
          <w:tcPr>
            <w:tcW w:type="dxa" w:w="2016"/>
            <w:shd w:fill="FFFFFF"/>
          </w:tcPr>
          <w:p>
            <w:r>
              <w:rPr>
                <w:rFonts w:ascii="Segoe UI" w:hAnsi="Segoe UI"/>
                <w:color w:val="212529"/>
                <w:sz w:val="17"/>
              </w:rPr>
              <w:t>—</w:t>
            </w:r>
          </w:p>
        </w:tc>
        <w:tc>
          <w:tcPr>
            <w:tcW w:type="dxa" w:w="2016"/>
            <w:shd w:fill="FFFFFF"/>
          </w:tcPr>
          <w:p>
            <w:pPr>
              <w:jc w:val="right"/>
            </w:pPr>
            <w:r>
              <w:rPr>
                <w:rFonts w:ascii="Segoe UI" w:hAnsi="Segoe UI"/>
                <w:color w:val="212529"/>
                <w:sz w:val="17"/>
              </w:rPr>
              <w:t>~$684</w:t>
            </w:r>
          </w:p>
        </w:tc>
        <w:tc>
          <w:tcPr>
            <w:tcW w:type="dxa" w:w="2016"/>
            <w:shd w:fill="FFFFFF"/>
          </w:tcPr>
          <w:p>
            <w:pPr>
              <w:jc w:val="right"/>
            </w:pPr>
            <w:r>
              <w:rPr>
                <w:rFonts w:ascii="Segoe UI" w:hAnsi="Segoe UI"/>
                <w:color w:val="212529"/>
                <w:sz w:val="17"/>
              </w:rPr>
              <w:t>~$257</w:t>
            </w:r>
          </w:p>
        </w:tc>
        <w:tc>
          <w:tcPr>
            <w:tcW w:type="dxa" w:w="2016"/>
            <w:shd w:fill="FFFFFF"/>
          </w:tcPr>
          <w:p>
            <w:pPr>
              <w:jc w:val="right"/>
            </w:pPr>
            <w:r>
              <w:rPr>
                <w:rFonts w:ascii="Segoe UI" w:hAnsi="Segoe UI"/>
                <w:color w:val="212529"/>
                <w:sz w:val="17"/>
              </w:rPr>
              <w:t>~0.80</w:t>
            </w:r>
          </w:p>
        </w:tc>
      </w:tr>
      <w:tr>
        <w:tc>
          <w:tcPr>
            <w:tcW w:type="dxa" w:w="2016"/>
            <w:shd w:fill="F9FBFB"/>
          </w:tcPr>
          <w:p>
            <w:r>
              <w:rPr>
                <w:rFonts w:ascii="Segoe UI" w:hAnsi="Segoe UI"/>
                <w:color w:val="212529"/>
                <w:sz w:val="17"/>
              </w:rPr>
              <w:t>XGBoost Direct</w:t>
            </w:r>
          </w:p>
        </w:tc>
        <w:tc>
          <w:tcPr>
            <w:tcW w:type="dxa" w:w="2016"/>
            <w:shd w:fill="F9FBFB"/>
          </w:tcPr>
          <w:p>
            <w:r>
              <w:rPr>
                <w:rFonts w:ascii="Segoe UI" w:hAnsi="Segoe UI"/>
                <w:color w:val="212529"/>
                <w:sz w:val="17"/>
              </w:rPr>
              <w:t>L2 (MSE)</w:t>
            </w:r>
          </w:p>
        </w:tc>
        <w:tc>
          <w:tcPr>
            <w:tcW w:type="dxa" w:w="2016"/>
            <w:shd w:fill="F9FBFB"/>
          </w:tcPr>
          <w:p>
            <w:pPr>
              <w:jc w:val="right"/>
            </w:pPr>
            <w:r>
              <w:rPr>
                <w:rFonts w:ascii="Segoe UI" w:hAnsi="Segoe UI"/>
                <w:color w:val="212529"/>
                <w:sz w:val="17"/>
              </w:rPr>
              <w:t>$758.01</w:t>
            </w:r>
          </w:p>
        </w:tc>
        <w:tc>
          <w:tcPr>
            <w:tcW w:type="dxa" w:w="2016"/>
            <w:shd w:fill="F9FBFB"/>
          </w:tcPr>
          <w:p>
            <w:pPr>
              <w:jc w:val="right"/>
            </w:pPr>
            <w:r>
              <w:rPr>
                <w:rFonts w:ascii="Segoe UI" w:hAnsi="Segoe UI"/>
                <w:color w:val="212529"/>
                <w:sz w:val="17"/>
              </w:rPr>
              <w:t>$207.05</w:t>
            </w:r>
          </w:p>
        </w:tc>
        <w:tc>
          <w:tcPr>
            <w:tcW w:type="dxa" w:w="2016"/>
            <w:shd w:fill="F9FBFB"/>
          </w:tcPr>
          <w:p>
            <w:pPr>
              <w:jc w:val="right"/>
            </w:pPr>
            <w:r>
              <w:rPr>
                <w:rFonts w:ascii="Segoe UI" w:hAnsi="Segoe UI"/>
                <w:color w:val="212529"/>
                <w:sz w:val="17"/>
              </w:rPr>
              <w:t>0.7533</w:t>
            </w:r>
          </w:p>
        </w:tc>
      </w:tr>
      <w:tr>
        <w:tc>
          <w:tcPr>
            <w:tcW w:type="dxa" w:w="2016"/>
            <w:shd w:fill="FFFFFF"/>
          </w:tcPr>
          <w:p>
            <w:r>
              <w:rPr>
                <w:rFonts w:ascii="Segoe UI" w:hAnsi="Segoe UI"/>
                <w:color w:val="212529"/>
                <w:sz w:val="17"/>
              </w:rPr>
              <w:t>XGBoost Rate Per Mile</w:t>
            </w:r>
          </w:p>
        </w:tc>
        <w:tc>
          <w:tcPr>
            <w:tcW w:type="dxa" w:w="2016"/>
            <w:shd w:fill="FFFFFF"/>
          </w:tcPr>
          <w:p>
            <w:r>
              <w:rPr>
                <w:rFonts w:ascii="Segoe UI" w:hAnsi="Segoe UI"/>
                <w:color w:val="212529"/>
                <w:sz w:val="17"/>
              </w:rPr>
              <w:t>L2 (MSE)</w:t>
            </w:r>
          </w:p>
        </w:tc>
        <w:tc>
          <w:tcPr>
            <w:tcW w:type="dxa" w:w="2016"/>
            <w:shd w:fill="FFFFFF"/>
          </w:tcPr>
          <w:p>
            <w:pPr>
              <w:jc w:val="right"/>
            </w:pPr>
            <w:r>
              <w:rPr>
                <w:rFonts w:ascii="Segoe UI" w:hAnsi="Segoe UI"/>
                <w:color w:val="212529"/>
                <w:sz w:val="17"/>
              </w:rPr>
              <w:t>$710.44</w:t>
            </w:r>
          </w:p>
        </w:tc>
        <w:tc>
          <w:tcPr>
            <w:tcW w:type="dxa" w:w="2016"/>
            <w:shd w:fill="FFFFFF"/>
          </w:tcPr>
          <w:p>
            <w:pPr>
              <w:jc w:val="right"/>
            </w:pPr>
            <w:r>
              <w:rPr>
                <w:rFonts w:ascii="Segoe UI" w:hAnsi="Segoe UI"/>
                <w:color w:val="212529"/>
                <w:sz w:val="17"/>
              </w:rPr>
              <w:t>$186.24</w:t>
            </w:r>
          </w:p>
        </w:tc>
        <w:tc>
          <w:tcPr>
            <w:tcW w:type="dxa" w:w="2016"/>
            <w:shd w:fill="FFFFFF"/>
          </w:tcPr>
          <w:p>
            <w:pPr>
              <w:jc w:val="right"/>
            </w:pPr>
            <w:r>
              <w:rPr>
                <w:rFonts w:ascii="Segoe UI" w:hAnsi="Segoe UI"/>
                <w:color w:val="212529"/>
                <w:sz w:val="17"/>
              </w:rPr>
              <w:t>0.7833</w:t>
            </w:r>
          </w:p>
        </w:tc>
      </w:tr>
      <w:tr>
        <w:tc>
          <w:tcPr>
            <w:tcW w:type="dxa" w:w="2016"/>
            <w:shd w:fill="F9FBFB"/>
          </w:tcPr>
          <w:p>
            <w:r>
              <w:rPr>
                <w:rFonts w:ascii="Segoe UI" w:hAnsi="Segoe UI"/>
                <w:color w:val="212529"/>
                <w:sz w:val="17"/>
              </w:rPr>
              <w:t>LightGBM Direct</w:t>
            </w:r>
          </w:p>
        </w:tc>
        <w:tc>
          <w:tcPr>
            <w:tcW w:type="dxa" w:w="2016"/>
            <w:shd w:fill="F9FBFB"/>
          </w:tcPr>
          <w:p>
            <w:r>
              <w:rPr>
                <w:rFonts w:ascii="Segoe UI" w:hAnsi="Segoe UI"/>
                <w:color w:val="212529"/>
                <w:sz w:val="17"/>
              </w:rPr>
              <w:t>L2 (MSE)</w:t>
            </w:r>
          </w:p>
        </w:tc>
        <w:tc>
          <w:tcPr>
            <w:tcW w:type="dxa" w:w="2016"/>
            <w:shd w:fill="F9FBFB"/>
          </w:tcPr>
          <w:p>
            <w:pPr>
              <w:jc w:val="right"/>
            </w:pPr>
            <w:r>
              <w:rPr>
                <w:rFonts w:ascii="Segoe UI" w:hAnsi="Segoe UI"/>
                <w:color w:val="212529"/>
                <w:sz w:val="17"/>
              </w:rPr>
              <w:t>$656.49</w:t>
            </w:r>
          </w:p>
        </w:tc>
        <w:tc>
          <w:tcPr>
            <w:tcW w:type="dxa" w:w="2016"/>
            <w:shd w:fill="F9FBFB"/>
          </w:tcPr>
          <w:p>
            <w:pPr>
              <w:jc w:val="right"/>
            </w:pPr>
            <w:r>
              <w:rPr>
                <w:rFonts w:ascii="Segoe UI" w:hAnsi="Segoe UI"/>
                <w:color w:val="212529"/>
                <w:sz w:val="17"/>
              </w:rPr>
              <w:t>$173.61</w:t>
            </w:r>
          </w:p>
        </w:tc>
        <w:tc>
          <w:tcPr>
            <w:tcW w:type="dxa" w:w="2016"/>
            <w:shd w:fill="F9FBFB"/>
          </w:tcPr>
          <w:p>
            <w:pPr>
              <w:jc w:val="right"/>
            </w:pPr>
            <w:r>
              <w:rPr>
                <w:rFonts w:ascii="Segoe UI" w:hAnsi="Segoe UI"/>
                <w:color w:val="212529"/>
                <w:sz w:val="17"/>
              </w:rPr>
              <w:t>0.8149</w:t>
            </w:r>
          </w:p>
        </w:tc>
      </w:tr>
      <w:tr>
        <w:tc>
          <w:tcPr>
            <w:tcW w:type="dxa" w:w="2016"/>
            <w:shd w:fill="FFFFFF"/>
          </w:tcPr>
          <w:p>
            <w:r>
              <w:rPr>
                <w:rFonts w:ascii="Segoe UI" w:hAnsi="Segoe UI"/>
                <w:color w:val="212529"/>
                <w:sz w:val="17"/>
              </w:rPr>
              <w:t>LightGBM Rate Per Mile</w:t>
            </w:r>
          </w:p>
        </w:tc>
        <w:tc>
          <w:tcPr>
            <w:tcW w:type="dxa" w:w="2016"/>
            <w:shd w:fill="FFFFFF"/>
          </w:tcPr>
          <w:p>
            <w:r>
              <w:rPr>
                <w:rFonts w:ascii="Segoe UI" w:hAnsi="Segoe UI"/>
                <w:color w:val="212529"/>
                <w:sz w:val="17"/>
              </w:rPr>
              <w:t>L2 (MSE)</w:t>
            </w:r>
          </w:p>
        </w:tc>
        <w:tc>
          <w:tcPr>
            <w:tcW w:type="dxa" w:w="2016"/>
            <w:shd w:fill="FFFFFF"/>
          </w:tcPr>
          <w:p>
            <w:pPr>
              <w:jc w:val="right"/>
            </w:pPr>
            <w:r>
              <w:rPr>
                <w:rFonts w:ascii="Segoe UI" w:hAnsi="Segoe UI"/>
                <w:color w:val="212529"/>
                <w:sz w:val="17"/>
              </w:rPr>
              <w:t>$649.94</w:t>
            </w:r>
          </w:p>
        </w:tc>
        <w:tc>
          <w:tcPr>
            <w:tcW w:type="dxa" w:w="2016"/>
            <w:shd w:fill="FFFFFF"/>
          </w:tcPr>
          <w:p>
            <w:pPr>
              <w:jc w:val="right"/>
            </w:pPr>
            <w:r>
              <w:rPr>
                <w:rFonts w:ascii="Segoe UI" w:hAnsi="Segoe UI"/>
                <w:color w:val="212529"/>
                <w:sz w:val="17"/>
              </w:rPr>
              <w:t>$163.88</w:t>
            </w:r>
          </w:p>
        </w:tc>
        <w:tc>
          <w:tcPr>
            <w:tcW w:type="dxa" w:w="2016"/>
            <w:shd w:fill="FFFFFF"/>
          </w:tcPr>
          <w:p>
            <w:pPr>
              <w:jc w:val="right"/>
            </w:pPr>
            <w:r>
              <w:rPr>
                <w:rFonts w:ascii="Segoe UI" w:hAnsi="Segoe UI"/>
                <w:color w:val="212529"/>
                <w:sz w:val="17"/>
              </w:rPr>
              <w:t>0.8186</w:t>
            </w:r>
          </w:p>
        </w:tc>
      </w:tr>
      <w:tr>
        <w:tc>
          <w:tcPr>
            <w:tcW w:type="dxa" w:w="2016"/>
            <w:shd w:fill="EAF2F4"/>
          </w:tcPr>
          <w:p>
            <w:r>
              <w:rPr>
                <w:rFonts w:ascii="Segoe UI" w:hAnsi="Segoe UI"/>
                <w:b/>
                <w:color w:val="064A56"/>
                <w:sz w:val="17"/>
              </w:rPr>
              <w:t>Tri-Ensemble (Ours)</w:t>
            </w:r>
          </w:p>
        </w:tc>
        <w:tc>
          <w:tcPr>
            <w:tcW w:type="dxa" w:w="2016"/>
            <w:shd w:fill="EAF2F4"/>
          </w:tcPr>
          <w:p>
            <w:r>
              <w:rPr>
                <w:rFonts w:ascii="Segoe UI" w:hAnsi="Segoe UI"/>
                <w:b/>
                <w:color w:val="064A56"/>
                <w:sz w:val="17"/>
              </w:rPr>
              <w:t>70% L1 RPM + 15% L2 RPM + 15% L1 Dir</w:t>
            </w:r>
          </w:p>
        </w:tc>
        <w:tc>
          <w:tcPr>
            <w:tcW w:type="dxa" w:w="2016"/>
            <w:shd w:fill="EAF2F4"/>
          </w:tcPr>
          <w:p>
            <w:pPr>
              <w:jc w:val="right"/>
            </w:pPr>
            <w:r>
              <w:rPr>
                <w:rFonts w:ascii="Segoe UI" w:hAnsi="Segoe UI"/>
                <w:b/>
                <w:color w:val="064A56"/>
                <w:sz w:val="17"/>
              </w:rPr>
              <w:t>~$639</w:t>
            </w:r>
          </w:p>
        </w:tc>
        <w:tc>
          <w:tcPr>
            <w:tcW w:type="dxa" w:w="2016"/>
            <w:shd w:fill="EAF2F4"/>
          </w:tcPr>
          <w:p>
            <w:pPr>
              <w:jc w:val="right"/>
            </w:pPr>
            <w:r>
              <w:rPr>
                <w:rFonts w:ascii="Segoe UI" w:hAnsi="Segoe UI"/>
                <w:b/>
                <w:color w:val="064A56"/>
                <w:sz w:val="17"/>
              </w:rPr>
              <w:t>~$129</w:t>
            </w:r>
          </w:p>
        </w:tc>
        <w:tc>
          <w:tcPr>
            <w:tcW w:type="dxa" w:w="2016"/>
            <w:shd w:fill="EAF2F4"/>
          </w:tcPr>
          <w:p>
            <w:pPr>
              <w:jc w:val="right"/>
            </w:pPr>
            <w:r>
              <w:rPr>
                <w:rFonts w:ascii="Segoe UI" w:hAnsi="Segoe UI"/>
                <w:b/>
                <w:color w:val="064A56"/>
                <w:sz w:val="17"/>
              </w:rPr>
              <w:t>~0.824</w:t>
            </w:r>
          </w:p>
        </w:tc>
      </w:tr>
    </w:tbl>
    <w:p>
      <w:pPr>
        <w:spacing w:after="80"/>
      </w:pPr>
    </w:p>
    <w:p>
      <w:pPr>
        <w:spacing w:before="40" w:after="80" w:line="276" w:lineRule="auto"/>
      </w:pPr>
      <w:r>
        <w:rPr>
          <w:rFonts w:ascii="Segoe UI" w:hAnsi="Segoe UI"/>
          <w:color w:val="212529"/>
          <w:sz w:val="20"/>
        </w:rPr>
        <w:t>The Tri-Ensemble (70% L1 RPM + 15% L2 RPM + 15% L1 Direct) reduces MAE by ~$128 and Median AE by ~$83 vs the naive baseline on the Sep-Oct holdout. OOT MAPE is approximately 5.4%.</w:t>
      </w:r>
    </w:p>
    <w:p>
      <w:pPr>
        <w:keepNext/>
        <w:spacing w:before="240" w:after="80"/>
      </w:pPr>
      <w:r>
        <w:rPr>
          <w:rFonts w:ascii="Segoe UI" w:hAnsi="Segoe UI"/>
          <w:b/>
          <w:color w:val="064A56"/>
          <w:sz w:val="28"/>
        </w:rPr>
        <w:t>6. Fixed December 2025 Forecast &amp; Chart</w:t>
      </w:r>
    </w:p>
    <w:p>
      <w:pPr>
        <w:spacing w:before="40" w:after="80" w:line="276" w:lineRule="auto"/>
      </w:pPr>
      <w:r>
        <w:rPr>
          <w:rFonts w:ascii="Segoe UI" w:hAnsi="Segoe UI"/>
          <w:b/>
          <w:color w:val="212529"/>
          <w:sz w:val="20"/>
        </w:rPr>
        <w:t xml:space="preserve">Scenario: </w:t>
      </w:r>
      <w:r>
        <w:rPr>
          <w:rFonts w:ascii="Segoe UI" w:hAnsi="Segoe UI"/>
          <w:color w:val="212529"/>
          <w:sz w:val="20"/>
        </w:rPr>
        <w:t>Scenario: Lexington to Fort Wayne, 360 miles, Dry Van, 32,000 lbs, one prediction per day across December 1-31, 2025.</w:t>
      </w:r>
    </w:p>
    <w:p>
      <w:pPr>
        <w:spacing w:before="40" w:after="80" w:line="276" w:lineRule="auto"/>
      </w:pPr>
      <w:r>
        <w:rPr>
          <w:rFonts w:ascii="Segoe UI" w:hAnsi="Segoe UI"/>
          <w:color w:val="212529"/>
          <w:sz w:val="20"/>
        </w:rPr>
        <w:t>The chart below (Figure 1) is generated by `score.py`. The model captures the weekly day-of-week rhythm observed throughout the training data: Mondays average ~$811, Wednesdays ~$825, weekends a few dollars lower. This pattern repeats weekly throughout December. There is no meaningful late-December surge: day &gt;= 25 averages $783-$812, essentially the same as the rest of the month. The absolute rate level (~$795) should be treated with caution; the model has no December training data, so the true market level for this corridor in December 2025 is not reliably estimated.</w:t>
      </w: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184649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ndidate_decemb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8464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Segoe UI" w:hAnsi="Segoe UI"/>
          <w:i/>
          <w:color w:val="22707E"/>
          <w:sz w:val="17"/>
        </w:rPr>
        <w:t>Figure 1: Fixed December 2025 Predicted Load Rates (Produced by score.py)</w:t>
      </w:r>
    </w:p>
    <w:p>
      <w:pPr>
        <w:keepNext/>
        <w:spacing w:before="240" w:after="80"/>
      </w:pPr>
      <w:r>
        <w:rPr>
          <w:rFonts w:ascii="Segoe UI" w:hAnsi="Segoe UI"/>
          <w:b/>
          <w:color w:val="064A56"/>
          <w:sz w:val="28"/>
        </w:rPr>
        <w:t>7. Limitations</w:t>
      </w:r>
    </w:p>
    <w:p>
      <w:pPr>
        <w:spacing w:before="40" w:after="80" w:line="276" w:lineRule="auto"/>
      </w:pPr>
      <w:r>
        <w:rPr>
          <w:rFonts w:ascii="Segoe UI" w:hAnsi="Segoe UI"/>
          <w:color w:val="212529"/>
          <w:sz w:val="20"/>
        </w:rPr>
        <w:t>• December absolute rate level is uncertain. The model is trained on Jan-Oct data; whether the true Dec 2025 market level is higher or lower than the predicted ~$795-$825 range cannot be verified without actuals.</w:t>
        <w:br/>
        <w:t>• Single temporal split. A single OOT cut-point has higher variance than a rolling-origin CV. The metrics should be treated as indicative.</w:t>
        <w:br/>
        <w:t>• ~0.78% corrupted labels. Records with rpm outside [0.5, 6.0] inflate RMSE and affect R². A data audit is warranted.</w:t>
        <w:br/>
        <w:t>• `quote_signal` contribution is limited (corr ~0.05 with rpm); it functions as a noisy auxiliary signal.</w:t>
        <w:br/>
        <w:t>• Negative weights corrected with abs(weight) assuming sign-flip errors; if some are sentinel values, the imputation may need revisiting.</w:t>
      </w:r>
    </w:p>
    <w:p>
      <w:pPr>
        <w:keepNext/>
        <w:spacing w:before="240" w:after="80"/>
      </w:pPr>
      <w:r>
        <w:rPr>
          <w:rFonts w:ascii="Segoe UI" w:hAnsi="Segoe UI"/>
          <w:b/>
          <w:color w:val="064A56"/>
          <w:sz w:val="28"/>
        </w:rPr>
        <w:t>8. Verification &amp; Submission Deliverables</w:t>
      </w:r>
    </w:p>
    <w:p>
      <w:pPr>
        <w:spacing w:before="40" w:after="80" w:line="276" w:lineRule="auto"/>
      </w:pPr>
      <w:r>
        <w:rPr>
          <w:rFonts w:ascii="Segoe UI" w:hAnsi="Segoe UI"/>
          <w:color w:val="212529"/>
          <w:sz w:val="20"/>
        </w:rPr>
        <w:t>• `validation_predictions.csv`: 12,000 rows, columns `load_id,predicted_rate`, all values positive.</w:t>
        <w:br/>
        <w:t>• `data/december_chart_inputs.csv`: 31 rows with `predicted_rate` filled (original input CSV never overwritten).</w:t>
        <w:br/>
        <w:t>• `score.py` verification: 0 errors (`Validated 12,000 final predictions. Validated 31 fixed December predictions`).</w:t>
        <w:br/>
        <w:t>• Reproducibility: `python train_predict.py` retrains and regenerates all output files from scratch.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