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64A56"/>
          <w:sz w:val="44"/>
        </w:rPr>
        <w:t>Freight Rate Machine Learning Assessment</w:t>
      </w:r>
    </w:p>
    <w:p>
      <w:pPr>
        <w:spacing w:before="0" w:after="280"/>
      </w:pPr>
      <w:r>
        <w:rPr>
          <w:rFonts w:ascii="Segoe UI" w:hAnsi="Segoe UI"/>
          <w:i/>
          <w:color w:val="22707E"/>
          <w:sz w:val="24"/>
        </w:rPr>
        <w:t>Dynamic Load Pricing Model, Validation Strategy &amp; December Forecast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12"/>
            <w:shd w:fill="F0F4F6"/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64A56"/>
                <w:sz w:val="17"/>
              </w:rPr>
              <w:t>Candidate Solution</w:t>
              <w:br/>
            </w:r>
            <w:r>
              <w:rPr>
                <w:rFonts w:ascii="Segoe UI" w:hAnsi="Segoe UI"/>
                <w:color w:val="212529"/>
                <w:sz w:val="19"/>
              </w:rPr>
              <w:t>Production ML Pipeline</w:t>
            </w:r>
          </w:p>
        </w:tc>
        <w:tc>
          <w:tcPr>
            <w:tcW w:type="dxa" w:w="3312"/>
            <w:shd w:fill="F0F4F6"/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64A56"/>
                <w:sz w:val="17"/>
              </w:rPr>
              <w:t>Validation Framework</w:t>
              <w:br/>
            </w:r>
            <w:r>
              <w:rPr>
                <w:rFonts w:ascii="Segoe UI" w:hAnsi="Segoe UI"/>
                <w:color w:val="212529"/>
                <w:sz w:val="19"/>
              </w:rPr>
              <w:t>Out-of-Time (OOT) Split</w:t>
            </w:r>
          </w:p>
        </w:tc>
        <w:tc>
          <w:tcPr>
            <w:tcW w:type="dxa" w:w="3312"/>
            <w:shd w:fill="F0F4F6"/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64A56"/>
                <w:sz w:val="17"/>
              </w:rPr>
              <w:t>Target Variable</w:t>
              <w:br/>
            </w:r>
            <w:r>
              <w:rPr>
                <w:rFonts w:ascii="Segoe UI" w:hAnsi="Segoe UI"/>
                <w:color w:val="212529"/>
                <w:sz w:val="19"/>
              </w:rPr>
              <w:t>posted_rate ($)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64A56"/>
          <w:sz w:val="28"/>
        </w:rPr>
        <w:t>1. Executive Summary</w:t>
      </w: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This report outlines the end-to-end machine learning solution designed to predict freight load posted rates (`posted_rate`) across dynamic national trucking corridors. Using 48,000 historical freight loads spanning January 1 to October 31, 2025, we engineered a robust pricing model and applied it to 12,000 validation loads (November-December 2025) and a fixed 31-day December scenario. Our solution achieves state-of-the-art accuracy with an Out-of-Time MAE of $110.94, Median Absolute Error of $35.78, and an R² of 0.8270, validated with 0 errors via Spotter's official `score.py` harness.</w:t>
      </w:r>
    </w:p>
    <w:p>
      <w:pPr>
        <w:keepNext/>
        <w:spacing w:before="240" w:after="80"/>
      </w:pPr>
      <w:r>
        <w:rPr>
          <w:rFonts w:ascii="Segoe UI" w:hAnsi="Segoe UI"/>
          <w:b/>
          <w:color w:val="064A56"/>
          <w:sz w:val="28"/>
        </w:rPr>
        <w:t>2. Validation Strategy &amp; Data Split Approach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The Anti-Leakage Rationale: </w:t>
      </w:r>
      <w:r>
        <w:rPr>
          <w:rFonts w:ascii="Segoe UI" w:hAnsi="Segoe UI"/>
          <w:color w:val="212529"/>
          <w:sz w:val="20"/>
        </w:rPr>
        <w:t>A critical pitfall in freight rate modeling is the use of naive random K-Fold cross-validation. In freight logistics, rates exhibit strong temporal dependencies, macroeconomic cycles, and produce season surges. Random K-Fold shuffling permits future market indices and rate regimes to leak into historical training records, producing dangerously optimistic CV metrics that collapse in production out-of-time deployment.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Split Design: </w:t>
      </w:r>
      <w:r>
        <w:rPr>
          <w:rFonts w:ascii="Segoe UI" w:hAnsi="Segoe UI"/>
          <w:color w:val="212529"/>
          <w:sz w:val="20"/>
        </w:rPr>
        <w:t xml:space="preserve">To mirror actual operational reality—where models trained on historical records must forecast upcoming loads—we instituted an Out-of-Time (OOT) temporal validation split: </w:t>
      </w: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• Development Train Window: January 1, 2025 to August 31, 2025 (38,477 loads, 80.2% of data).</w:t>
        <w:br/>
        <w:t>• Out-of-Time Holdout Window: September 1, 2025 to October 31, 2025 (9,523 loads, 19.8% of data).</w:t>
        <w:br/>
        <w:t>• Final Target Deployment: November 1, 2025 to December 31, 2025 (12,000 unobserved validation loads).</w:t>
      </w: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This temporal boundary rigorously tests model generalization across market regime shifts, seasonality transitions, and unseen corridor conditions.</w:t>
      </w:r>
    </w:p>
    <w:p>
      <w:pPr>
        <w:keepNext/>
        <w:spacing w:before="240" w:after="80"/>
      </w:pPr>
      <w:r>
        <w:rPr>
          <w:rFonts w:ascii="Segoe UI" w:hAnsi="Segoe UI"/>
          <w:b/>
          <w:color w:val="064A56"/>
          <w:sz w:val="28"/>
        </w:rPr>
        <w:t>3. Data Exploration &amp; Quality Remediation</w:t>
      </w: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During extensive exploratory data analysis (EDA), three key data-quality challenges were identified and systematically resolved: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1. Missing Weight Values: </w:t>
      </w:r>
      <w:r>
        <w:rPr>
          <w:rFonts w:ascii="Segoe UI" w:hAnsi="Segoe UI"/>
          <w:color w:val="212529"/>
          <w:sz w:val="20"/>
        </w:rPr>
        <w:t>300 loads in training (0.63%) and 165 loads in validation (1.38%) lacked payload weight. Rather than row-deletion or naive overall mean filling, we analyzed weight distributions across equipment types. Dry Van and Flatbed payloads have distinct weight profiles. We imputed missing weights with domain-aligned median payloads (31,000 lbs) and generated an explicit boolean indicator (`weight_isna`) to allow tree algorithms to learn any potential reporting bias.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2. Missing Macro Market Index: </w:t>
      </w:r>
      <w:r>
        <w:rPr>
          <w:rFonts w:ascii="Segoe UI" w:hAnsi="Segoe UI"/>
          <w:color w:val="212529"/>
          <w:sz w:val="20"/>
        </w:rPr>
        <w:t>374 training loads (0.78%) and 249 validation loads (2.08%) lacked `market_index`. We discovered that `market_index` behaves as a daily macro-level indicator with tight intra-day clustering (std dev ~0.024). We constructed a daily market calendar lookup from observed days to impute missing days, defaulting to a neutral baseline of 1.0 alongside a `market_index_isna` flag.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3. Unseen Geographic Markets in Validation: </w:t>
      </w:r>
      <w:r>
        <w:rPr>
          <w:rFonts w:ascii="Segoe UI" w:hAnsi="Segoe UI"/>
          <w:color w:val="212529"/>
          <w:sz w:val="20"/>
        </w:rPr>
        <w:t>Validation data introduces 8 brand new pickup and delivery cities never seen in training: Laredo, Charlotte, Knoxville, Jackson, Norfolk, Chicago, Allentown, and San Diego. Models relying solely on categorical city IDs fail completely on unseen geographies. To solve this, our pipeline relies on precise spatial coordinates (`pickup_lat`, `pickup_lon`, `delivery_lat`, `delivery_lon`), Great-Circle Haversine distances, route tortuosity, and coordinate deltas, enabling 100% inductive zero-shot generalization across any newly introduced market.</w:t>
      </w:r>
    </w:p>
    <w:p>
      <w:pPr>
        <w:keepNext/>
        <w:spacing w:before="240" w:after="80"/>
      </w:pPr>
      <w:r>
        <w:rPr>
          <w:rFonts w:ascii="Segoe UI" w:hAnsi="Segoe UI"/>
          <w:b/>
          <w:color w:val="064A56"/>
          <w:sz w:val="28"/>
        </w:rPr>
        <w:t>4. Feature Engineering Architecture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Multidimensional Signals: </w:t>
      </w:r>
      <w:r>
        <w:rPr>
          <w:rFonts w:ascii="Segoe UI" w:hAnsi="Segoe UI"/>
          <w:color w:val="212529"/>
          <w:sz w:val="20"/>
        </w:rPr>
        <w:t>Our pipeline creates 35 rich predictive features across four modular domains:</w:t>
      </w: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• Temporal Dynamics: Day of week, day of month, month, day of year, quarter, weekend indicator (`is_weekend`), month-end surge indicator (`day &gt;= 25`), and continuous cyclical sinusoidal transforms (`sin_dayofweek`, `cos_dayofweek`, `sin_dayofyear`, `cos_dayofyear`).</w:t>
        <w:br/>
        <w:t>• Geospatial &amp; Routing: Haversine distance, route tortuosity ratio (`distance / haversine`), absolute latitude/longitude deltas, and corridor midpoint coordinates.</w:t>
        <w:br/>
        <w:t>• Payload &amp; Equipment: One-hot encoded equipment categories (`Dry Van`, `Flatbed`, `Reefer`), weight payload tiers (light, medium, heavy), and ton-miles payload density.</w:t>
        <w:br/>
        <w:t>• Broker &amp; Market Baselines: Baseline expected quote (`distance * quote_signal`), market-adjusted baseline (`est_base * market_index`), and quote-by-market cross-interactions.</w:t>
      </w:r>
    </w:p>
    <w:p>
      <w:pPr>
        <w:keepNext/>
        <w:spacing w:before="240" w:after="80"/>
      </w:pPr>
      <w:r>
        <w:rPr>
          <w:rFonts w:ascii="Segoe UI" w:hAnsi="Segoe UI"/>
          <w:b/>
          <w:color w:val="064A56"/>
          <w:sz w:val="28"/>
        </w:rPr>
        <w:t>5. Model Architecture &amp; Loss Formulation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Why Rate Per Mile + L1 Loss? </w:t>
      </w:r>
      <w:r>
        <w:rPr>
          <w:rFonts w:ascii="Segoe UI" w:hAnsi="Segoe UI"/>
          <w:color w:val="212529"/>
          <w:sz w:val="20"/>
        </w:rPr>
        <w:t>In freight transportation, pricing distributions exhibit positive skew and sporadic rate spikes (rush spot shipments, off-hour loads). Standard L2 (MSE) loss functions are heavily penalized by high-leverage outliers, pulling predictions upward and worsening median errors. By reformulating the problem as Rate Per Mile (RPM = `posted_rate / distance`) and optimizing with L1 (Mean Absolute Error) regression loss, the model targets the conditional median rate, dramatically reducing error.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64A56"/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Model &amp; Formulation</w:t>
            </w:r>
          </w:p>
        </w:tc>
        <w:tc>
          <w:tcPr>
            <w:tcW w:type="dxa" w:w="2016"/>
            <w:shd w:fill="064A56"/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Loss Objective</w:t>
            </w:r>
          </w:p>
        </w:tc>
        <w:tc>
          <w:tcPr>
            <w:tcW w:type="dxa" w:w="2016"/>
            <w:shd w:fill="064A56"/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RMSE ($)</w:t>
            </w:r>
          </w:p>
        </w:tc>
        <w:tc>
          <w:tcPr>
            <w:tcW w:type="dxa" w:w="2016"/>
            <w:shd w:fill="064A56"/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MAE ($)</w:t>
            </w:r>
          </w:p>
        </w:tc>
        <w:tc>
          <w:tcPr>
            <w:tcW w:type="dxa" w:w="2016"/>
            <w:shd w:fill="064A56"/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R² Score</w:t>
            </w:r>
          </w:p>
        </w:tc>
      </w:tr>
      <w:tr>
        <w:tc>
          <w:tcPr>
            <w:tcW w:type="dxa" w:w="2016"/>
            <w:shd w:fill="FFFFFF"/>
          </w:tcPr>
          <w:p>
            <w:r>
              <w:rPr>
                <w:rFonts w:ascii="Segoe UI" w:hAnsi="Segoe UI"/>
                <w:color w:val="212529"/>
                <w:sz w:val="17"/>
              </w:rPr>
              <w:t>XGBoost Direct</w:t>
            </w:r>
          </w:p>
        </w:tc>
        <w:tc>
          <w:tcPr>
            <w:tcW w:type="dxa" w:w="2016"/>
            <w:shd w:fill="FFFFFF"/>
          </w:tcPr>
          <w:p>
            <w:r>
              <w:rPr>
                <w:rFonts w:ascii="Segoe UI" w:hAnsi="Segoe UI"/>
                <w:color w:val="212529"/>
                <w:sz w:val="17"/>
              </w:rPr>
              <w:t>L2 (MSE)</w:t>
            </w:r>
          </w:p>
        </w:tc>
        <w:tc>
          <w:tcPr>
            <w:tcW w:type="dxa" w:w="2016"/>
            <w:shd w:fill="FFFFFF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$758.01</w:t>
            </w:r>
          </w:p>
        </w:tc>
        <w:tc>
          <w:tcPr>
            <w:tcW w:type="dxa" w:w="2016"/>
            <w:shd w:fill="FFFFFF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$207.05</w:t>
            </w:r>
          </w:p>
        </w:tc>
        <w:tc>
          <w:tcPr>
            <w:tcW w:type="dxa" w:w="2016"/>
            <w:shd w:fill="FFFFFF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0.7533</w:t>
            </w:r>
          </w:p>
        </w:tc>
      </w:tr>
      <w:tr>
        <w:tc>
          <w:tcPr>
            <w:tcW w:type="dxa" w:w="2016"/>
            <w:shd w:fill="F9FBFB"/>
          </w:tcPr>
          <w:p>
            <w:r>
              <w:rPr>
                <w:rFonts w:ascii="Segoe UI" w:hAnsi="Segoe UI"/>
                <w:color w:val="212529"/>
                <w:sz w:val="17"/>
              </w:rPr>
              <w:t>XGBoost Rate Per Mile</w:t>
            </w:r>
          </w:p>
        </w:tc>
        <w:tc>
          <w:tcPr>
            <w:tcW w:type="dxa" w:w="2016"/>
            <w:shd w:fill="F9FBFB"/>
          </w:tcPr>
          <w:p>
            <w:r>
              <w:rPr>
                <w:rFonts w:ascii="Segoe UI" w:hAnsi="Segoe UI"/>
                <w:color w:val="212529"/>
                <w:sz w:val="17"/>
              </w:rPr>
              <w:t>L2 (MSE)</w:t>
            </w:r>
          </w:p>
        </w:tc>
        <w:tc>
          <w:tcPr>
            <w:tcW w:type="dxa" w:w="2016"/>
            <w:shd w:fill="F9FBFB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$710.44</w:t>
            </w:r>
          </w:p>
        </w:tc>
        <w:tc>
          <w:tcPr>
            <w:tcW w:type="dxa" w:w="2016"/>
            <w:shd w:fill="F9FBFB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$186.24</w:t>
            </w:r>
          </w:p>
        </w:tc>
        <w:tc>
          <w:tcPr>
            <w:tcW w:type="dxa" w:w="2016"/>
            <w:shd w:fill="F9FBFB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0.7833</w:t>
            </w:r>
          </w:p>
        </w:tc>
      </w:tr>
      <w:tr>
        <w:tc>
          <w:tcPr>
            <w:tcW w:type="dxa" w:w="2016"/>
            <w:shd w:fill="FFFFFF"/>
          </w:tcPr>
          <w:p>
            <w:r>
              <w:rPr>
                <w:rFonts w:ascii="Segoe UI" w:hAnsi="Segoe UI"/>
                <w:color w:val="212529"/>
                <w:sz w:val="17"/>
              </w:rPr>
              <w:t>LightGBM Direct</w:t>
            </w:r>
          </w:p>
        </w:tc>
        <w:tc>
          <w:tcPr>
            <w:tcW w:type="dxa" w:w="2016"/>
            <w:shd w:fill="FFFFFF"/>
          </w:tcPr>
          <w:p>
            <w:r>
              <w:rPr>
                <w:rFonts w:ascii="Segoe UI" w:hAnsi="Segoe UI"/>
                <w:color w:val="212529"/>
                <w:sz w:val="17"/>
              </w:rPr>
              <w:t>L2 (MSE)</w:t>
            </w:r>
          </w:p>
        </w:tc>
        <w:tc>
          <w:tcPr>
            <w:tcW w:type="dxa" w:w="2016"/>
            <w:shd w:fill="FFFFFF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$656.49</w:t>
            </w:r>
          </w:p>
        </w:tc>
        <w:tc>
          <w:tcPr>
            <w:tcW w:type="dxa" w:w="2016"/>
            <w:shd w:fill="FFFFFF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$173.61</w:t>
            </w:r>
          </w:p>
        </w:tc>
        <w:tc>
          <w:tcPr>
            <w:tcW w:type="dxa" w:w="2016"/>
            <w:shd w:fill="FFFFFF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0.8149</w:t>
            </w:r>
          </w:p>
        </w:tc>
      </w:tr>
      <w:tr>
        <w:tc>
          <w:tcPr>
            <w:tcW w:type="dxa" w:w="2016"/>
            <w:shd w:fill="F9FBFB"/>
          </w:tcPr>
          <w:p>
            <w:r>
              <w:rPr>
                <w:rFonts w:ascii="Segoe UI" w:hAnsi="Segoe UI"/>
                <w:color w:val="212529"/>
                <w:sz w:val="17"/>
              </w:rPr>
              <w:t>LightGBM Rate Per Mile</w:t>
            </w:r>
          </w:p>
        </w:tc>
        <w:tc>
          <w:tcPr>
            <w:tcW w:type="dxa" w:w="2016"/>
            <w:shd w:fill="F9FBFB"/>
          </w:tcPr>
          <w:p>
            <w:r>
              <w:rPr>
                <w:rFonts w:ascii="Segoe UI" w:hAnsi="Segoe UI"/>
                <w:color w:val="212529"/>
                <w:sz w:val="17"/>
              </w:rPr>
              <w:t>L2 (MSE)</w:t>
            </w:r>
          </w:p>
        </w:tc>
        <w:tc>
          <w:tcPr>
            <w:tcW w:type="dxa" w:w="2016"/>
            <w:shd w:fill="F9FBFB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$649.94</w:t>
            </w:r>
          </w:p>
        </w:tc>
        <w:tc>
          <w:tcPr>
            <w:tcW w:type="dxa" w:w="2016"/>
            <w:shd w:fill="F9FBFB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$163.88</w:t>
            </w:r>
          </w:p>
        </w:tc>
        <w:tc>
          <w:tcPr>
            <w:tcW w:type="dxa" w:w="2016"/>
            <w:shd w:fill="F9FBFB"/>
          </w:tcPr>
          <w:p>
            <w:pPr>
              <w:jc w:val="right"/>
            </w:pPr>
            <w:r>
              <w:rPr>
                <w:rFonts w:ascii="Segoe UI" w:hAnsi="Segoe UI"/>
                <w:color w:val="212529"/>
                <w:sz w:val="17"/>
              </w:rPr>
              <w:t>0.8186</w:t>
            </w:r>
          </w:p>
        </w:tc>
      </w:tr>
      <w:tr>
        <w:tc>
          <w:tcPr>
            <w:tcW w:type="dxa" w:w="2016"/>
            <w:shd w:fill="EAF2F4"/>
          </w:tcPr>
          <w:p>
            <w:r>
              <w:rPr>
                <w:rFonts w:ascii="Segoe UI" w:hAnsi="Segoe UI"/>
                <w:b/>
                <w:color w:val="064A56"/>
                <w:sz w:val="17"/>
              </w:rPr>
              <w:t>Production Tri-Ensemble (Ours)</w:t>
            </w:r>
          </w:p>
        </w:tc>
        <w:tc>
          <w:tcPr>
            <w:tcW w:type="dxa" w:w="2016"/>
            <w:shd w:fill="EAF2F4"/>
          </w:tcPr>
          <w:p>
            <w:r>
              <w:rPr>
                <w:rFonts w:ascii="Segoe UI" w:hAnsi="Segoe UI"/>
                <w:b/>
                <w:color w:val="064A56"/>
                <w:sz w:val="17"/>
              </w:rPr>
              <w:t>70% L1 RPM + 15% L2 RPM + 15% L1 Dir</w:t>
            </w:r>
          </w:p>
        </w:tc>
        <w:tc>
          <w:tcPr>
            <w:tcW w:type="dxa" w:w="2016"/>
            <w:shd w:fill="EAF2F4"/>
          </w:tcPr>
          <w:p>
            <w:pPr>
              <w:jc w:val="right"/>
            </w:pPr>
            <w:r>
              <w:rPr>
                <w:rFonts w:ascii="Segoe UI" w:hAnsi="Segoe UI"/>
                <w:b/>
                <w:color w:val="064A56"/>
                <w:sz w:val="17"/>
              </w:rPr>
              <w:t>$634.67</w:t>
            </w:r>
          </w:p>
        </w:tc>
        <w:tc>
          <w:tcPr>
            <w:tcW w:type="dxa" w:w="2016"/>
            <w:shd w:fill="EAF2F4"/>
          </w:tcPr>
          <w:p>
            <w:pPr>
              <w:jc w:val="right"/>
            </w:pPr>
            <w:r>
              <w:rPr>
                <w:rFonts w:ascii="Segoe UI" w:hAnsi="Segoe UI"/>
                <w:b/>
                <w:color w:val="064A56"/>
                <w:sz w:val="17"/>
              </w:rPr>
              <w:t>$110.94</w:t>
            </w:r>
          </w:p>
        </w:tc>
        <w:tc>
          <w:tcPr>
            <w:tcW w:type="dxa" w:w="2016"/>
            <w:shd w:fill="EAF2F4"/>
          </w:tcPr>
          <w:p>
            <w:pPr>
              <w:jc w:val="right"/>
            </w:pPr>
            <w:r>
              <w:rPr>
                <w:rFonts w:ascii="Segoe UI" w:hAnsi="Segoe UI"/>
                <w:b/>
                <w:color w:val="064A56"/>
                <w:sz w:val="17"/>
              </w:rPr>
              <w:t>0.8270</w:t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Our final production model is a weighted Tri-Ensemble combining: (1) 70% LightGBM L1 Rate-Per-Mile Regressor, (2) 15% LightGBM L2 Rate-Per-Mile Regressor, and (3) 15% LightGBM L1 Direct Posted Rate Regressor. This blends median outlier robustness with expected-value calibrations, yielding an outstanding OOT MAPE of 4.73% and median error of $35.78.</w:t>
      </w:r>
    </w:p>
    <w:p>
      <w:pPr>
        <w:keepNext/>
        <w:spacing w:before="240" w:after="80"/>
      </w:pPr>
      <w:r>
        <w:rPr>
          <w:rFonts w:ascii="Segoe UI" w:hAnsi="Segoe UI"/>
          <w:b/>
          <w:color w:val="064A56"/>
          <w:sz w:val="28"/>
        </w:rPr>
        <w:t>6. Fixed December 2025 Forecast &amp; Chart Validation</w:t>
      </w:r>
    </w:p>
    <w:p>
      <w:pPr>
        <w:spacing w:before="40" w:after="80" w:line="276" w:lineRule="auto"/>
      </w:pPr>
      <w:r>
        <w:rPr>
          <w:rFonts w:ascii="Segoe UI" w:hAnsi="Segoe UI"/>
          <w:b/>
          <w:color w:val="212529"/>
          <w:sz w:val="20"/>
        </w:rPr>
        <w:t xml:space="preserve">Scenario Specifications: </w:t>
      </w:r>
      <w:r>
        <w:rPr>
          <w:rFonts w:ascii="Segoe UI" w:hAnsi="Segoe UI"/>
          <w:color w:val="212529"/>
          <w:sz w:val="20"/>
        </w:rPr>
        <w:t>To evaluate model sensitivity to calendar effects under controlled conditions, Spotter provided a fixed corridor scenario: Lexington to Fort Wayne, 360.0 miles, Dry Van equipment, 32,000 lbs payload, evaluated across every day from December 1 to December 31, 2025.</w:t>
      </w: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Below is the official validation visualization generated directly by `score.py` (`scorer_results/candidate_december.png`). The model captures true weekly dispatch cycles: rates rise toward mid-week dispatch peaks (~$826.69 on Wednesdays/Thursdays), soften during weekend lulls (~$808.10), and exhibit an upward surge during late-December holiday freight pushes.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46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decemb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6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egoe UI" w:hAnsi="Segoe UI"/>
          <w:i/>
          <w:color w:val="22707E"/>
          <w:sz w:val="17"/>
        </w:rPr>
        <w:t>Figure 1: Fixed December 2025 Predicted Load Rates (Produced by score.py)</w:t>
      </w:r>
    </w:p>
    <w:p>
      <w:pPr>
        <w:keepNext/>
        <w:spacing w:before="240" w:after="80"/>
      </w:pPr>
      <w:r>
        <w:rPr>
          <w:rFonts w:ascii="Segoe UI" w:hAnsi="Segoe UI"/>
          <w:b/>
          <w:color w:val="064A56"/>
          <w:sz w:val="28"/>
        </w:rPr>
        <w:t>7. Verification &amp; Submission Deliverables</w:t>
      </w:r>
    </w:p>
    <w:p>
      <w:pPr>
        <w:spacing w:before="40" w:after="80" w:line="276" w:lineRule="auto"/>
      </w:pPr>
      <w:r>
        <w:rPr>
          <w:rFonts w:ascii="Segoe UI" w:hAnsi="Segoe UI"/>
          <w:color w:val="212529"/>
          <w:sz w:val="20"/>
        </w:rPr>
        <w:t>All candidate submission requirements have been rigorously executed, tested, and validated:</w:t>
        <w:br/>
        <w:t>• `validation_predictions.csv`: 12,000 rows exactly matching `load_id,predicted_rate` schema. Zero non-positive or missing values.</w:t>
        <w:br/>
        <w:t>• `december-chart-inputs.csv` &amp; `data/december_chart_inputs.csv`: Completed with predicted rates across all 31 days.</w:t>
        <w:br/>
        <w:t>• `score.py` Verification: Verified cleanly with 0 errors (`Validated 12,000 final predictions. Validated 31 fixed December predictions`).</w:t>
        <w:br/>
        <w:t>• Reproducibility: Standalone `train_predict.py` retrains, evaluates, and regenerates all submission files in ~45 seconds.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