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15.png" ContentType="image/png"/>
  <Override PartName="/word/media/rId19.png" ContentType="image/png"/>
  <Override PartName="/word/media/rId27.png" ContentType="image/png"/>
  <Override PartName="/word/media/rId23.png" ContentType="image/png"/>
  <Override PartName="/word/media/rId38.png" ContentType="image/png"/>
  <Override PartName="/word/media/rId65.png" ContentType="image/png"/>
  <Override PartName="/word/media/rId41.png" ContentType="image/png"/>
  <Override PartName="/word/media/rId44.png" ContentType="image/png"/>
  <Override PartName="/word/media/rId47.png" ContentType="image/png"/>
  <Override PartName="/word/media/rId50.png" ContentType="image/png"/>
  <Override PartName="/word/media/rId53.png" ContentType="image/png"/>
  <Override PartName="/word/media/rId56.png" ContentType="image/png"/>
  <Override PartName="/word/media/rId59.png" ContentType="image/png"/>
  <Override PartName="/word/media/rId62.png" ContentType="image/png"/>
  <Override PartName="/word/media/rId1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Case Study Template (Rough Draft)</w:t>
      </w:r>
    </w:p>
    <w:p>
      <w:pPr>
        <w:pStyle w:val="Date"/>
      </w:pPr>
      <w:r>
        <w:t xml:space="preserve">2026-07-28</w:t>
      </w:r>
    </w:p>
    <w:bookmarkStart w:id="9" w:name="overview"/>
    <w:p>
      <w:pPr>
        <w:pStyle w:val="Heading2"/>
      </w:pPr>
      <w:r>
        <w:t xml:space="preserve">Overview</w:t>
      </w:r>
    </w:p>
    <w:p>
      <w:pPr>
        <w:pStyle w:val="FirstParagraph"/>
      </w:pPr>
      <w:r>
        <w:t xml:space="preserve">AGWRC analysis for USGS</w:t>
      </w:r>
      <w:r>
        <w:t xml:space="preserve"> </w:t>
      </w:r>
      <w:r>
        <w:rPr>
          <w:b/>
          <w:bCs/>
        </w:rPr>
        <w:t xml:space="preserve">02056900: BLACKWATER RIVER NEAR ROCKY MOUNT, VA</w:t>
      </w:r>
      <w:r>
        <w:t xml:space="preserve">. This is a</w:t>
      </w:r>
      <w:r>
        <w:t xml:space="preserve"> </w:t>
      </w:r>
      <w:r>
        <w:t xml:space="preserve">“flashy”</w:t>
      </w:r>
      <w:r>
        <w:t xml:space="preserve"> </w:t>
      </w:r>
      <w:r>
        <w:t xml:space="preserve">gage where the frequent ups and downs of flow make predicting flow difficult. Predictions for this gage are also sensitive to start dates.</w:t>
      </w:r>
    </w:p>
    <w:bookmarkEnd w:id="9"/>
    <w:bookmarkStart w:id="10" w:name="terminology"/>
    <w:p>
      <w:pPr>
        <w:pStyle w:val="Heading2"/>
      </w:pPr>
      <w:r>
        <w:t xml:space="preserve">Terminology</w:t>
      </w:r>
    </w:p>
    <w:p>
      <w:pPr>
        <w:pStyle w:val="FirstParagraph"/>
      </w:pPr>
      <w:r>
        <w:rPr>
          <w:b/>
          <w:bCs/>
        </w:rPr>
        <w:t xml:space="preserve">Regression AGWRC</w:t>
      </w:r>
      <w:r>
        <w:t xml:space="preserve">: the AGWRC calculated by imputing starting flow from manually selected flow event into AGWRC vs Flow Regression</w:t>
      </w:r>
    </w:p>
    <w:p>
      <w:pPr>
        <w:pStyle w:val="BodyText"/>
      </w:pPr>
      <w:r>
        <w:rPr>
          <w:b/>
          <w:bCs/>
        </w:rPr>
        <w:t xml:space="preserve">Event AGWRC</w:t>
      </w:r>
      <w:r>
        <w:t xml:space="preserve">: the AGWRC from a known baseflow event identified by the workflow</w:t>
      </w:r>
    </w:p>
    <w:p>
      <w:pPr>
        <w:pStyle w:val="BodyText"/>
      </w:pPr>
      <w:r>
        <w:rPr>
          <w:b/>
          <w:bCs/>
        </w:rPr>
        <w:t xml:space="preserve">Iterative AGWRC</w:t>
      </w:r>
      <w:r>
        <w:t xml:space="preserve">: the manually selected AGWRC that provides the</w:t>
      </w:r>
      <w:r>
        <w:t xml:space="preserve"> </w:t>
      </w:r>
      <w:r>
        <w:t xml:space="preserve">“best fit”</w:t>
      </w:r>
      <w:r>
        <w:t xml:space="preserve"> </w:t>
      </w:r>
      <w:r>
        <w:t xml:space="preserve">for the manually selected baseflow event</w:t>
      </w:r>
    </w:p>
    <w:p>
      <w:pPr>
        <w:pStyle w:val="BodyText"/>
      </w:pPr>
      <w:r>
        <w:rPr>
          <w:b/>
          <w:bCs/>
        </w:rPr>
        <w:t xml:space="preserve">Starting flow</w:t>
      </w:r>
      <w:r>
        <w:t xml:space="preserve">: the observed flow at the first day of the manually selected baseflow event</w:t>
      </w:r>
    </w:p>
    <w:p>
      <w:pPr>
        <w:pStyle w:val="BodyText"/>
      </w:pPr>
      <w:r>
        <w:rPr>
          <w:b/>
          <w:bCs/>
        </w:rPr>
        <w:t xml:space="preserve">MAE</w:t>
      </w:r>
      <w:r>
        <w:t xml:space="preserve">: Mean Absolute Error</w:t>
      </w:r>
    </w:p>
    <w:p>
      <w:pPr>
        <w:pStyle w:val="BodyText"/>
      </w:pPr>
      <w:r>
        <w:rPr>
          <w:b/>
          <w:bCs/>
        </w:rPr>
        <w:t xml:space="preserve">RMSE</w:t>
      </w:r>
      <w:r>
        <w:t xml:space="preserve">: Root Mean Square Error</w:t>
      </w:r>
    </w:p>
    <w:p>
      <w:pPr>
        <w:pStyle w:val="BodyText"/>
      </w:pPr>
      <w:r>
        <w:rPr>
          <w:b/>
          <w:bCs/>
        </w:rPr>
        <w:t xml:space="preserve">MAPE</w:t>
      </w:r>
      <w:r>
        <w:t xml:space="preserve">: Mean Absolute Percentage Error</w:t>
      </w:r>
    </w:p>
    <w:bookmarkEnd w:id="10"/>
    <w:bookmarkStart w:id="34" w:name="analysis-number-1"/>
    <w:p>
      <w:pPr>
        <w:pStyle w:val="Heading2"/>
      </w:pPr>
      <w:r>
        <w:t xml:space="preserve">Analysis number 1</w:t>
      </w:r>
    </w:p>
    <w:bookmarkStart w:id="14" w:name="regression-analysis"/>
    <w:p>
      <w:pPr>
        <w:pStyle w:val="Heading3"/>
      </w:pPr>
      <w:r>
        <w:t xml:space="preserve">Regression Analysis</w:t>
      </w:r>
    </w:p>
    <w:p>
      <w:pPr>
        <w:pStyle w:val="FirstParagraph"/>
      </w:pPr>
      <w:r>
        <w:drawing>
          <wp:inline>
            <wp:extent cx="4620126" cy="3696101"/>
            <wp:effectExtent b="0" l="0" r="0" t="0"/>
            <wp:docPr descr="" title="" id="12" name="Picture"/>
            <a:graphic>
              <a:graphicData uri="http://schemas.openxmlformats.org/drawingml/2006/picture">
                <pic:pic>
                  <pic:nvPicPr>
                    <pic:cNvPr descr="CaseStudyTemplateSkeleton_files/CaseStudyTemplateSkeleton_files/figure-docx/regression plot-1.png" id="13" name="Picture"/>
                    <pic:cNvPicPr>
                      <a:picLocks noChangeArrowheads="1" noChangeAspect="1"/>
                    </pic:cNvPicPr>
                  </pic:nvPicPr>
                  <pic:blipFill>
                    <a:blip r:embed="rId1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
          <w:bCs/>
        </w:rPr>
        <w:t xml:space="preserve">Image 1.</w:t>
      </w:r>
      <w:r>
        <w:t xml:space="preserve"> </w:t>
      </w:r>
      <w:r>
        <w:t xml:space="preserve">AGWRC vs Flow Regression</w:t>
      </w:r>
    </w:p>
    <w:p>
      <w:pPr>
        <w:pStyle w:val="BodyText"/>
      </w:pPr>
      <w:r>
        <w:t xml:space="preserve">The R-squared value is: 0.0013787. This small value suggests that very little of the observed variation in the data can be explained by the regression model.</w:t>
      </w:r>
    </w:p>
    <w:bookmarkEnd w:id="14"/>
    <w:bookmarkStart w:id="18" w:name="first-baseflow-event-investigation"/>
    <w:p>
      <w:pPr>
        <w:pStyle w:val="Heading3"/>
      </w:pPr>
      <w:r>
        <w:t xml:space="preserve">First Baseflow Event Investigation</w:t>
      </w:r>
    </w:p>
    <w:p>
      <w:pPr>
        <w:pStyle w:val="FirstParagraph"/>
      </w:pPr>
      <w:r>
        <w:drawing>
          <wp:inline>
            <wp:extent cx="4620126" cy="3696101"/>
            <wp:effectExtent b="0" l="0" r="0" t="0"/>
            <wp:docPr descr="" title="" id="16" name="Picture"/>
            <a:graphic>
              <a:graphicData uri="http://schemas.openxmlformats.org/drawingml/2006/picture">
                <pic:pic>
                  <pic:nvPicPr>
                    <pic:cNvPr descr="CaseStudyTemplateSkeleton_files/CaseStudyTemplateSkeleton_files/figure-docx/baseflow plot 1-1.png" id="17" name="Picture"/>
                    <pic:cNvPicPr>
                      <a:picLocks noChangeArrowheads="1" noChangeAspect="1"/>
                    </pic:cNvPicPr>
                  </pic:nvPicPr>
                  <pic:blipFill>
                    <a:blip r:embed="rId15"/>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
          <w:bCs/>
        </w:rPr>
        <w:t xml:space="preserve">Image 2.</w:t>
      </w:r>
      <w:r>
        <w:t xml:space="preserve"> </w:t>
      </w:r>
      <w:r>
        <w:t xml:space="preserve">Observed and Projected Flows from 2008-06-11</w:t>
      </w:r>
    </w:p>
    <w:p>
      <w:pPr>
        <w:pStyle w:val="BodyText"/>
      </w:pPr>
      <w:r>
        <w:t xml:space="preserve">Although none of the AGWRC values were very effective in surviving the storms and catching the</w:t>
      </w:r>
      <w:r>
        <w:t xml:space="preserve"> </w:t>
      </w:r>
      <w:r>
        <w:t xml:space="preserve">“troughs”</w:t>
      </w:r>
      <w:r>
        <w:t xml:space="preserve"> </w:t>
      </w:r>
      <w:r>
        <w:t xml:space="preserve">following the peaks in flow, the iterative AGWRC performed the best of the three.</w:t>
      </w:r>
    </w:p>
    <w:p>
      <w:pPr>
        <w:pStyle w:val="BodyText"/>
      </w:pPr>
      <w:r>
        <w:rPr>
          <w:b/>
          <w:bCs/>
        </w:rPr>
        <w:t xml:space="preserve">Table 1.</w:t>
      </w:r>
      <w:r>
        <w:t xml:space="preserve"> </w:t>
      </w:r>
      <w:r>
        <w:t xml:space="preserve">Constant, Variable, and Iterative AGWRC Flow Forecast from 2008-06-11</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802"/>
        <w:gridCol w:w="1536"/>
        <w:gridCol w:w="1401"/>
        <w:gridCol w:w="2367"/>
        <w:gridCol w:w="2305"/>
        <w:gridCol w:w="2159"/>
      </w:tblGrid>
      <w:tr>
        <w:trPr>
          <w:trHeight w:val="615"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Obs_Flow</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Con_AGWRC_Flow</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Var_AGWRC_Flow</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Itr_AGWRC_Flow</w:t>
            </w:r>
          </w:p>
        </w:tc>
      </w:tr>
      <w:tr>
        <w:trPr>
          <w:trHeight w:val="571"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2008-06-26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25.40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16.70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16.67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15.26</w:t>
            </w:r>
          </w:p>
        </w:tc>
      </w:tr>
      <w:tr>
        <w:trPr>
          <w:trHeight w:val="57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2008-07-11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32.10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9.66</w:t>
            </w:r>
          </w:p>
        </w:tc>
      </w:tr>
      <w:tr>
        <w:trPr>
          <w:trHeight w:val="57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2008-07-26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6.12</w:t>
            </w:r>
          </w:p>
        </w:tc>
      </w:tr>
      <w:tr>
        <w:trPr>
          <w:trHeight w:val="571"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2008-09-09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9.45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2.67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1.55</w:t>
            </w:r>
          </w:p>
        </w:tc>
      </w:tr>
    </w:tbl>
    <w:bookmarkEnd w:id="18"/>
    <w:bookmarkStart w:id="22" w:name="second-baseflow-event-investigation"/>
    <w:p>
      <w:pPr>
        <w:pStyle w:val="Heading3"/>
      </w:pPr>
      <w:r>
        <w:t xml:space="preserve">Second Baseflow Event Investigation</w:t>
      </w:r>
    </w:p>
    <w:p>
      <w:pPr>
        <w:pStyle w:val="FirstParagraph"/>
      </w:pPr>
      <w:r>
        <w:drawing>
          <wp:inline>
            <wp:extent cx="4620126" cy="3696101"/>
            <wp:effectExtent b="0" l="0" r="0" t="0"/>
            <wp:docPr descr="" title="" id="20" name="Picture"/>
            <a:graphic>
              <a:graphicData uri="http://schemas.openxmlformats.org/drawingml/2006/picture">
                <pic:pic>
                  <pic:nvPicPr>
                    <pic:cNvPr descr="CaseStudyTemplateSkeleton_files/CaseStudyTemplateSkeleton_files/figure-docx/baseflow plot 2-1.png" id="21" name="Picture"/>
                    <pic:cNvPicPr>
                      <a:picLocks noChangeArrowheads="1" noChangeAspect="1"/>
                    </pic:cNvPicPr>
                  </pic:nvPicPr>
                  <pic:blipFill>
                    <a:blip r:embed="rId19"/>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
          <w:bCs/>
        </w:rPr>
        <w:t xml:space="preserve">Image 3.</w:t>
      </w:r>
      <w:r>
        <w:t xml:space="preserve"> </w:t>
      </w:r>
      <w:r>
        <w:t xml:space="preserve">Observed and Projected Flows from 2007-06-10</w:t>
      </w:r>
    </w:p>
    <w:p>
      <w:pPr>
        <w:pStyle w:val="BodyText"/>
      </w:pPr>
      <w:r>
        <w:t xml:space="preserve">The iterative AGWRC overpredicted the first trough, but predicted the subsequent three troughs well. The iterative and variable AGWRC predictions were effective in surviving the first storm and predicting the first trough, but they greatly underpredicted the remaining flows.</w:t>
      </w:r>
    </w:p>
    <w:p>
      <w:pPr>
        <w:pStyle w:val="BodyText"/>
      </w:pPr>
      <w:r>
        <w:rPr>
          <w:b/>
          <w:bCs/>
        </w:rPr>
        <w:t xml:space="preserve">Table 2.</w:t>
      </w:r>
      <w:r>
        <w:t xml:space="preserve"> </w:t>
      </w:r>
      <w:r>
        <w:t xml:space="preserve">Constant, Variable, and Iterative AGWRC Flow Forecast from 2007-06-10</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802"/>
        <w:gridCol w:w="1536"/>
        <w:gridCol w:w="1401"/>
        <w:gridCol w:w="2367"/>
        <w:gridCol w:w="2305"/>
        <w:gridCol w:w="2159"/>
      </w:tblGrid>
      <w:tr>
        <w:trPr>
          <w:trHeight w:val="615"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Obs_Flow</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Con_AGWRC_Flow</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Var_AGWRC_Flow</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Itr_AGWRC_Flow</w:t>
            </w:r>
          </w:p>
        </w:tc>
      </w:tr>
      <w:tr>
        <w:trPr>
          <w:trHeight w:val="572"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2007-06-25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45.7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40.51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40.44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36.67</w:t>
            </w:r>
          </w:p>
        </w:tc>
      </w:tr>
      <w:tr>
        <w:trPr>
          <w:trHeight w:val="57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2007-07-10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28.35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28.13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23.22</w:t>
            </w:r>
          </w:p>
        </w:tc>
      </w:tr>
      <w:tr>
        <w:trPr>
          <w:trHeight w:val="57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2007-07-25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14.70</w:t>
            </w:r>
          </w:p>
        </w:tc>
      </w:tr>
      <w:tr>
        <w:trPr>
          <w:trHeight w:val="572"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2007-09-08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6.79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6.38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3.73</w:t>
            </w:r>
          </w:p>
        </w:tc>
      </w:tr>
    </w:tbl>
    <w:bookmarkEnd w:id="22"/>
    <w:bookmarkStart w:id="26" w:name="third-baseflow-event-investigation"/>
    <w:p>
      <w:pPr>
        <w:pStyle w:val="Heading3"/>
      </w:pPr>
      <w:r>
        <w:t xml:space="preserve">Third Baseflow Event Investigation</w:t>
      </w:r>
    </w:p>
    <w:p>
      <w:pPr>
        <w:pStyle w:val="FirstParagraph"/>
      </w:pPr>
      <w:r>
        <w:drawing>
          <wp:inline>
            <wp:extent cx="4620126" cy="3696101"/>
            <wp:effectExtent b="0" l="0" r="0" t="0"/>
            <wp:docPr descr="" title="" id="24" name="Picture"/>
            <a:graphic>
              <a:graphicData uri="http://schemas.openxmlformats.org/drawingml/2006/picture">
                <pic:pic>
                  <pic:nvPicPr>
                    <pic:cNvPr descr="CaseStudyTemplateSkeleton_files/CaseStudyTemplateSkeleton_files/figure-docx/baseflow plot3-1.png" id="25" name="Picture"/>
                    <pic:cNvPicPr>
                      <a:picLocks noChangeArrowheads="1" noChangeAspect="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
          <w:bCs/>
        </w:rPr>
        <w:t xml:space="preserve">Image 4.</w:t>
      </w:r>
      <w:r>
        <w:t xml:space="preserve"> </w:t>
      </w:r>
      <w:r>
        <w:t xml:space="preserve">Observed and Projected Flows from 2002-05-01</w:t>
      </w:r>
    </w:p>
    <w:p>
      <w:pPr>
        <w:pStyle w:val="BodyText"/>
      </w:pPr>
      <w:r>
        <w:t xml:space="preserve">The iterative AGWRC was effective in the predicting the first trough, but overpredicted flow in the second trough where the flow approached 0 cfs. The iterative AGWRC and constant AGWRC produced very similar predictions and also overpredicted flow in mid August.</w:t>
      </w:r>
    </w:p>
    <w:p>
      <w:pPr>
        <w:pStyle w:val="BodyText"/>
      </w:pPr>
      <w:r>
        <w:rPr>
          <w:b/>
          <w:bCs/>
        </w:rPr>
        <w:t xml:space="preserve">Table 3.</w:t>
      </w:r>
      <w:r>
        <w:t xml:space="preserve"> </w:t>
      </w:r>
      <w:r>
        <w:t xml:space="preserve">Constant, Variable, and Iterative AGWRC Flow Forecast from 2002-05-01</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802"/>
        <w:gridCol w:w="1536"/>
        <w:gridCol w:w="1401"/>
        <w:gridCol w:w="2367"/>
        <w:gridCol w:w="2305"/>
        <w:gridCol w:w="2159"/>
      </w:tblGrid>
      <w:tr>
        <w:trPr>
          <w:trHeight w:val="615"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Obs_Flow</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Con_AGWRC_Flow</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Var_AGWRC_Flow</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Itr_AGWRC_Flow</w:t>
            </w:r>
          </w:p>
        </w:tc>
      </w:tr>
      <w:tr>
        <w:trPr>
          <w:trHeight w:val="572"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2002-05-16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25.90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25.86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23.56</w:t>
            </w:r>
          </w:p>
        </w:tc>
      </w:tr>
      <w:tr>
        <w:trPr>
          <w:trHeight w:val="57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2002-05-31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14.92</w:t>
            </w:r>
          </w:p>
        </w:tc>
      </w:tr>
      <w:tr>
        <w:trPr>
          <w:trHeight w:val="57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2002-06-15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9.45</w:t>
            </w:r>
          </w:p>
        </w:tc>
      </w:tr>
      <w:tr>
        <w:trPr>
          <w:trHeight w:val="572"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2002-07-30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4.03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2.40</w:t>
            </w:r>
          </w:p>
        </w:tc>
      </w:tr>
    </w:tbl>
    <w:bookmarkEnd w:id="26"/>
    <w:bookmarkStart w:id="33" w:name="fourth-baseflow-event-investigation"/>
    <w:p>
      <w:pPr>
        <w:pStyle w:val="Heading3"/>
      </w:pPr>
      <w:r>
        <w:t xml:space="preserve">Fourth Baseflow Event Investigation</w:t>
      </w:r>
    </w:p>
    <w:p>
      <w:pPr>
        <w:pStyle w:val="FirstParagraph"/>
      </w:pPr>
      <w:r>
        <w:drawing>
          <wp:inline>
            <wp:extent cx="4620126" cy="3696101"/>
            <wp:effectExtent b="0" l="0" r="0" t="0"/>
            <wp:docPr descr="" title="" id="28" name="Picture"/>
            <a:graphic>
              <a:graphicData uri="http://schemas.openxmlformats.org/drawingml/2006/picture">
                <pic:pic>
                  <pic:nvPicPr>
                    <pic:cNvPr descr="CaseStudyTemplateSkeleton_files/CaseStudyTemplateSkeleton_files/figure-docx/baseflow plot 4-1.png" id="29" name="Picture"/>
                    <pic:cNvPicPr>
                      <a:picLocks noChangeArrowheads="1" noChangeAspect="1"/>
                    </pic:cNvPicPr>
                  </pic:nvPicPr>
                  <pic:blipFill>
                    <a:blip r:embed="rId27"/>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
          <w:bCs/>
        </w:rPr>
        <w:t xml:space="preserve">Image 5.</w:t>
      </w:r>
      <w:r>
        <w:t xml:space="preserve"> </w:t>
      </w:r>
      <w:r>
        <w:t xml:space="preserve">Observed and Projected Flows from 1986-05-12</w:t>
      </w:r>
    </w:p>
    <w:p>
      <w:pPr>
        <w:pStyle w:val="BodyText"/>
      </w:pPr>
      <w:r>
        <w:t xml:space="preserve">Of the three AGWRC predictions, the iterative AGWRC was the most effective in surviving the storms. The precipitation events at the end of July and the start of August impacted the accuracy of the 90-day prediction.</w:t>
      </w:r>
    </w:p>
    <w:p>
      <w:pPr>
        <w:pStyle w:val="BodyText"/>
      </w:pPr>
      <w:r>
        <w:rPr>
          <w:b/>
          <w:bCs/>
        </w:rPr>
        <w:t xml:space="preserve">Table 4.</w:t>
      </w:r>
      <w:r>
        <w:t xml:space="preserve"> </w:t>
      </w:r>
      <w:r>
        <w:t xml:space="preserve">Constant, Variable, and Iterative AGWRC Flow Forecast from 1986-05-12</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802"/>
        <w:gridCol w:w="1536"/>
        <w:gridCol w:w="1401"/>
        <w:gridCol w:w="2367"/>
        <w:gridCol w:w="2305"/>
        <w:gridCol w:w="2159"/>
      </w:tblGrid>
      <w:tr>
        <w:trPr>
          <w:trHeight w:val="615"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Obs_Flow</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Con_AGWRC_Flow</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Var_AGWRC_Flow</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Itr_AGWRC_Flow</w:t>
            </w:r>
          </w:p>
        </w:tc>
      </w:tr>
      <w:tr>
        <w:trPr>
          <w:trHeight w:val="572"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1986-05-27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37.05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36.98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33.56</w:t>
            </w:r>
          </w:p>
        </w:tc>
      </w:tr>
      <w:tr>
        <w:trPr>
          <w:trHeight w:val="57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1986-06-11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21.25</w:t>
            </w:r>
          </w:p>
        </w:tc>
      </w:tr>
      <w:tr>
        <w:trPr>
          <w:trHeight w:val="57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1986-06-26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13.46</w:t>
            </w:r>
          </w:p>
        </w:tc>
      </w:tr>
      <w:tr>
        <w:trPr>
          <w:trHeight w:val="572"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1986-08-10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6.18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5.82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3.42</w:t>
            </w:r>
          </w:p>
        </w:tc>
      </w:tr>
    </w:tbl>
    <w:p>
      <w:pPr>
        <w:pStyle w:val="BodyText"/>
      </w:pPr>
      <w:r>
        <w:drawing>
          <wp:inline>
            <wp:extent cx="4620126" cy="3696101"/>
            <wp:effectExtent b="0" l="0" r="0" t="0"/>
            <wp:docPr descr="" title="" id="31" name="Picture"/>
            <a:graphic>
              <a:graphicData uri="http://schemas.openxmlformats.org/drawingml/2006/picture">
                <pic:pic>
                  <pic:nvPicPr>
                    <pic:cNvPr descr="CaseStudyTemplateSkeleton_files/CaseStudyTemplateSkeleton_files/figure-docx/4 plots w/ patchwork-1.png" id="32" name="Picture"/>
                    <pic:cNvPicPr>
                      <a:picLocks noChangeArrowheads="1" noChangeAspect="1"/>
                    </pic:cNvPicPr>
                  </pic:nvPicPr>
                  <pic:blipFill>
                    <a:blip r:embed="rId30"/>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
          <w:bCs/>
        </w:rPr>
        <w:t xml:space="preserve">Image 5.</w:t>
      </w:r>
      <w:r>
        <w:t xml:space="preserve"> </w:t>
      </w:r>
      <w:r>
        <w:t xml:space="preserve">Observed and Projected Flows for All Four Start Dates</w:t>
      </w:r>
    </w:p>
    <w:bookmarkEnd w:id="33"/>
    <w:bookmarkEnd w:id="34"/>
    <w:bookmarkStart w:id="35" w:name="recommended-agwrc"/>
    <w:p>
      <w:pPr>
        <w:pStyle w:val="Heading2"/>
      </w:pPr>
      <w:r>
        <w:t xml:space="preserve">Recommended AGWRC</w:t>
      </w:r>
    </w:p>
    <w:p>
      <w:pPr>
        <w:pStyle w:val="FirstParagraph"/>
      </w:pPr>
      <w:r>
        <w:t xml:space="preserve">The constant AGWRC and variable AGWRC were not effective in surviving storms at this gage. The iterative AGWRC of 0.98 produced better predictions and was more resilient to small, frequent precipitation events during the identified baseflow periods. It is recommended that an AGWRC value of 0.98 be used at all times for this gage.</w:t>
      </w:r>
    </w:p>
    <w:bookmarkEnd w:id="35"/>
    <w:bookmarkStart w:id="36" w:name="analysis-number-2"/>
    <w:p>
      <w:pPr>
        <w:pStyle w:val="Heading2"/>
      </w:pPr>
      <w:r>
        <w:t xml:space="preserve">Analysis number 2</w:t>
      </w:r>
    </w:p>
    <w:p>
      <w:pPr>
        <w:pStyle w:val="FirstParagraph"/>
      </w:pPr>
      <w:r>
        <w:rPr>
          <w:b/>
          <w:bCs/>
        </w:rPr>
        <w:t xml:space="preserve">Table 5.</w:t>
      </w:r>
      <w:r>
        <w:t xml:space="preserve"> </w:t>
      </w:r>
      <w:r>
        <w:t xml:space="preserve">Calculations of the MAE, RMSE, MAPE, Bias, and</w:t>
      </w:r>
      <w:r>
        <w:t xml:space="preserve"> </w:t>
      </w:r>
      <m:oMath>
        <m:sSup>
          <m:e>
            <m:r>
              <m:t>R</m:t>
            </m:r>
          </m:e>
          <m:sup>
            <m:r>
              <m:t>2</m:t>
            </m:r>
          </m:sup>
        </m:sSup>
      </m:oMath>
      <w:r>
        <w:t xml:space="preserve"> </w:t>
      </w:r>
      <w:r>
        <w:t xml:space="preserve">values for all group IDs for</w:t>
      </w:r>
      <w:r>
        <w:t xml:space="preserve"> </w:t>
      </w:r>
      <w:r>
        <w:rPr>
          <w:b/>
          <w:bCs/>
        </w:rPr>
        <w:t xml:space="preserve">02056900: BLACKWATER RIVER NEAR ROCKY MOUNT, VA</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266"/>
        <w:gridCol w:w="1573"/>
        <w:gridCol w:w="1573"/>
        <w:gridCol w:w="1451"/>
        <w:gridCol w:w="1646"/>
        <w:gridCol w:w="1573"/>
      </w:tblGrid>
      <w:tr>
        <w:trPr>
          <w:trHeight w:val="574"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Statistic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MAE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RMSE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MAPE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Bias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r2</w:t>
            </w:r>
          </w:p>
        </w:tc>
      </w:tr>
      <w:tr>
        <w:trPr>
          <w:trHeight w:val="572" w:hRule="auto"/>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Mean</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10.21</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17.72</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9.54</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-0.38</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0.73</w:t>
            </w:r>
          </w:p>
        </w:tc>
      </w:tr>
      <w:tr>
        <w:trPr>
          <w:trHeight w:val="572"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Median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6.51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7.26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8.34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0.93</w:t>
            </w:r>
          </w:p>
        </w:tc>
      </w:tr>
      <w:tr>
        <w:trPr>
          <w:trHeight w:val="572"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0.98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-80.93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0.01</w:t>
            </w:r>
          </w:p>
        </w:tc>
      </w:tr>
      <w:tr>
        <w:trPr>
          <w:trHeight w:val="572"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Max</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89.44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324.21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31.46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31.32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0.99</w:t>
            </w:r>
          </w:p>
        </w:tc>
      </w:tr>
      <w:tr>
        <w:trPr>
          <w:trHeight w:val="574" w:hRule="auto"/>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Std Dev</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14.56</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51.05</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6.53</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16.17</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0.32</w:t>
            </w:r>
          </w:p>
        </w:tc>
      </w:tr>
    </w:tbl>
    <w:p>
      <w:pPr>
        <w:pStyle w:val="BodyText"/>
      </w:pPr>
      <w:r>
        <w:rPr>
          <w:b/>
          <w:bCs/>
        </w:rPr>
        <w:t xml:space="preserve">Table 6.</w:t>
      </w:r>
      <w:r>
        <w:t xml:space="preserve"> </w:t>
      </w:r>
      <w:r>
        <w:t xml:space="preserve">All GroupIDs with an MAPE over 20%</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291"/>
        <w:gridCol w:w="961"/>
        <w:gridCol w:w="1046"/>
        <w:gridCol w:w="1046"/>
        <w:gridCol w:w="961"/>
        <w:gridCol w:w="839"/>
      </w:tblGrid>
      <w:tr>
        <w:trPr>
          <w:trHeight w:val="614"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GroupID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MAE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RMSE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MAPE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Bias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r2</w:t>
            </w:r>
          </w:p>
        </w:tc>
      </w:tr>
      <w:tr>
        <w:trPr>
          <w:trHeight w:val="572" w:hRule="auto"/>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13.34</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13.96</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22.66</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13.34</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0.99</w:t>
            </w:r>
          </w:p>
        </w:tc>
      </w:tr>
      <w:tr>
        <w:trPr>
          <w:trHeight w:val="572"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9.45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9.64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31.46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9.45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0.98</w:t>
            </w:r>
          </w:p>
        </w:tc>
      </w:tr>
      <w:tr>
        <w:trPr>
          <w:trHeight w:val="571"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7.05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7.29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21.81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7.05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0.96</w:t>
            </w:r>
          </w:p>
        </w:tc>
      </w:tr>
      <w:tr>
        <w:trPr>
          <w:trHeight w:val="572" w:hRule="auto"/>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21.19</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23.55</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23.55</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14.80</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0.09</w:t>
            </w:r>
          </w:p>
        </w:tc>
      </w:tr>
    </w:tbl>
    <w:p>
      <w:pPr>
        <w:pStyle w:val="BodyText"/>
      </w:pPr>
      <w:r>
        <w:t xml:space="preserve">The following GroupIDs in table 6 present a list of event that did not preform well and should be treated with caution.</w:t>
      </w:r>
    </w:p>
    <w:bookmarkEnd w:id="36"/>
    <w:bookmarkStart w:id="37" w:name="analysis-number-3"/>
    <w:p>
      <w:pPr>
        <w:pStyle w:val="Heading2"/>
      </w:pPr>
      <w:r>
        <w:t xml:space="preserve">Analysis number 3</w:t>
      </w:r>
    </w:p>
    <w:p>
      <w:pPr>
        <w:pStyle w:val="FirstParagraph"/>
      </w:pPr>
      <w:r>
        <w:t xml:space="preserve">Determines accurate of a forecast. More text to come as function is changed.</w:t>
      </w:r>
    </w:p>
    <w:p>
      <w:pPr>
        <w:pStyle w:val="BodyText"/>
      </w:pPr>
      <w:r>
        <w:rPr>
          <w:b/>
          <w:bCs/>
        </w:rPr>
        <w:t xml:space="preserve">Image 6.</w:t>
      </w:r>
      <w:r>
        <w:t xml:space="preserve"> </w:t>
      </w:r>
      <w:r>
        <w:t xml:space="preserve">Observed and Projected Flows from 2008-06-11</w:t>
      </w:r>
    </w:p>
    <w:p>
      <w:pPr>
        <w:pStyle w:val="BodyText"/>
      </w:pPr>
      <w:r>
        <w:rPr>
          <w:b/>
          <w:bCs/>
        </w:rPr>
        <w:t xml:space="preserve">Image 7.</w:t>
      </w:r>
      <w:r>
        <w:t xml:space="preserve"> </w:t>
      </w:r>
      <w:r>
        <w:t xml:space="preserve">Observed and Projected Flows from 2007-06-10</w:t>
      </w:r>
    </w:p>
    <w:p>
      <w:pPr>
        <w:pStyle w:val="BodyText"/>
      </w:pPr>
      <w:r>
        <w:rPr>
          <w:b/>
          <w:bCs/>
        </w:rPr>
        <w:t xml:space="preserve">Image 8.</w:t>
      </w:r>
      <w:r>
        <w:t xml:space="preserve"> </w:t>
      </w:r>
      <w:r>
        <w:t xml:space="preserve">Observed and Projected Flows from 2002-05-01</w:t>
      </w:r>
    </w:p>
    <w:p>
      <w:pPr>
        <w:pStyle w:val="BodyText"/>
      </w:pPr>
      <w:r>
        <w:rPr>
          <w:b/>
          <w:bCs/>
        </w:rPr>
        <w:t xml:space="preserve">Image 9.</w:t>
      </w:r>
      <w:r>
        <w:t xml:space="preserve"> </w:t>
      </w:r>
      <w:r>
        <w:t xml:space="preserve">Observed and Projected Flows from 1986-05-12</w:t>
      </w:r>
    </w:p>
    <w:bookmarkEnd w:id="37"/>
    <w:bookmarkStart w:id="68" w:name="case-studies"/>
    <w:p>
      <w:pPr>
        <w:pStyle w:val="Heading2"/>
      </w:pPr>
      <w:r>
        <w:t xml:space="preserve">Case Studies</w:t>
      </w:r>
    </w:p>
    <w:p>
      <w:pPr>
        <w:pStyle w:val="SourceCode"/>
      </w:pPr>
      <w:r>
        <w:rPr>
          <w:rStyle w:val="VerbatimChar"/>
        </w:rPr>
        <w:t xml:space="preserve">## &lt;RomFeature&gt;</w:t>
      </w:r>
      <w:r>
        <w:br/>
      </w:r>
      <w:r>
        <w:rPr>
          <w:rStyle w:val="VerbatimChar"/>
        </w:rPr>
        <w:t xml:space="preserve">##   Inherits from: &lt;RomEntity&gt;</w:t>
      </w:r>
      <w:r>
        <w:br/>
      </w:r>
      <w:r>
        <w:rPr>
          <w:rStyle w:val="VerbatimChar"/>
        </w:rPr>
        <w:t xml:space="preserve">##   Public:</w:t>
      </w:r>
      <w:r>
        <w:br/>
      </w:r>
      <w:r>
        <w:rPr>
          <w:rStyle w:val="VerbatimChar"/>
        </w:rPr>
        <w:t xml:space="preserve">##     add_mp: function (thismp) </w:t>
      </w:r>
      <w:r>
        <w:br/>
      </w:r>
      <w:r>
        <w:rPr>
          <w:rStyle w:val="VerbatimChar"/>
        </w:rPr>
        <w:t xml:space="preserve">##     base_entity_type: dh_feature</w:t>
      </w:r>
      <w:r>
        <w:br/>
      </w:r>
      <w:r>
        <w:rPr>
          <w:rStyle w:val="VerbatimChar"/>
        </w:rPr>
        <w:t xml:space="preserve">##     base_only: TRUE</w:t>
      </w:r>
      <w:r>
        <w:br/>
      </w:r>
      <w:r>
        <w:rPr>
          <w:rStyle w:val="VerbatimChar"/>
        </w:rPr>
        <w:t xml:space="preserve">##     bundle: watershed</w:t>
      </w:r>
      <w:r>
        <w:br/>
      </w:r>
      <w:r>
        <w:rPr>
          <w:rStyle w:val="VerbatimChar"/>
        </w:rPr>
        <w:t xml:space="preserve">##     clone: function (deep = FALSE) </w:t>
      </w:r>
      <w:r>
        <w:br/>
      </w:r>
      <w:r>
        <w:rPr>
          <w:rStyle w:val="VerbatimChar"/>
        </w:rPr>
        <w:t xml:space="preserve">##     datasource: RomDataSource, R6</w:t>
      </w:r>
      <w:r>
        <w:br/>
      </w:r>
      <w:r>
        <w:rPr>
          <w:rStyle w:val="VerbatimChar"/>
        </w:rPr>
        <w:t xml:space="preserve">##     delete: function (delete_remote = FALSE) </w:t>
      </w:r>
      <w:r>
        <w:br/>
      </w:r>
      <w:r>
        <w:rPr>
          <w:rStyle w:val="VerbatimChar"/>
        </w:rPr>
        <w:t xml:space="preserve">##     delete_props: function (delete_remote = FALSE) </w:t>
      </w:r>
      <w:r>
        <w:br/>
      </w:r>
      <w:r>
        <w:rPr>
          <w:rStyle w:val="VerbatimChar"/>
        </w:rPr>
        <w:t xml:space="preserve">##     description: NA</w:t>
      </w:r>
      <w:r>
        <w:br/>
      </w:r>
      <w:r>
        <w:rPr>
          <w:rStyle w:val="VerbatimChar"/>
        </w:rPr>
        <w:t xml:space="preserve">##     entity_id: NA</w:t>
      </w:r>
      <w:r>
        <w:br/>
      </w:r>
      <w:r>
        <w:rPr>
          <w:rStyle w:val="VerbatimChar"/>
        </w:rPr>
        <w:t xml:space="preserve">##     feat_sf: sf, data.frame</w:t>
      </w:r>
      <w:r>
        <w:br/>
      </w:r>
      <w:r>
        <w:rPr>
          <w:rStyle w:val="VerbatimChar"/>
        </w:rPr>
        <w:t xml:space="preserve">##     find_spatial_relations: function (target_entity = "dh_feature", inputs = list(bundle = NA, </w:t>
      </w:r>
      <w:r>
        <w:br/>
      </w:r>
      <w:r>
        <w:rPr>
          <w:rStyle w:val="VerbatimChar"/>
        </w:rPr>
        <w:t xml:space="preserve">##     from_list: function (config) </w:t>
      </w:r>
      <w:r>
        <w:br/>
      </w:r>
      <w:r>
        <w:rPr>
          <w:rStyle w:val="VerbatimChar"/>
        </w:rPr>
        <w:t xml:space="preserve">##     fstatus: active</w:t>
      </w:r>
      <w:r>
        <w:br/>
      </w:r>
      <w:r>
        <w:rPr>
          <w:rStyle w:val="VerbatimChar"/>
        </w:rPr>
        <w:t xml:space="preserve">##     ftype: usgs_full_drainage</w:t>
      </w:r>
      <w:r>
        <w:br/>
      </w:r>
      <w:r>
        <w:rPr>
          <w:rStyle w:val="VerbatimChar"/>
        </w:rPr>
        <w:t xml:space="preserve">##     geom: MULTIPOLYGON(((-80.135930610801 36.998859048058,-80.1358 ...</w:t>
      </w:r>
      <w:r>
        <w:br/>
      </w:r>
      <w:r>
        <w:rPr>
          <w:rStyle w:val="VerbatimChar"/>
        </w:rPr>
        <w:t xml:space="preserve">##     geom_CRS: 4326</w:t>
      </w:r>
      <w:r>
        <w:br/>
      </w:r>
      <w:r>
        <w:rPr>
          <w:rStyle w:val="VerbatimChar"/>
        </w:rPr>
        <w:t xml:space="preserve">##     get_id: function () </w:t>
      </w:r>
      <w:r>
        <w:br/>
      </w:r>
      <w:r>
        <w:rPr>
          <w:rStyle w:val="VerbatimChar"/>
        </w:rPr>
        <w:t xml:space="preserve">##     get_mps: function () </w:t>
      </w:r>
      <w:r>
        <w:br/>
      </w:r>
      <w:r>
        <w:rPr>
          <w:rStyle w:val="VerbatimChar"/>
        </w:rPr>
        <w:t xml:space="preserve">##     get_prop: function (propname = NULL, varkey = NULL, propcode = NULL, remote = TRUE) </w:t>
      </w:r>
      <w:r>
        <w:br/>
      </w:r>
      <w:r>
        <w:rPr>
          <w:rStyle w:val="VerbatimChar"/>
        </w:rPr>
        <w:t xml:space="preserve">##     get_raster_ts: function (varkey = "prism_mod_daily", starttime = FALSE, endtime = Sys.Date(), </w:t>
      </w:r>
      <w:r>
        <w:br/>
      </w:r>
      <w:r>
        <w:rPr>
          <w:rStyle w:val="VerbatimChar"/>
        </w:rPr>
        <w:t xml:space="preserve">##     get_vardef: function (config = FALSE, refresh = FALSE) </w:t>
      </w:r>
      <w:r>
        <w:br/>
      </w:r>
      <w:r>
        <w:rPr>
          <w:rStyle w:val="VerbatimChar"/>
        </w:rPr>
        <w:t xml:space="preserve">##     handle_config: function (config) </w:t>
      </w:r>
      <w:r>
        <w:br/>
      </w:r>
      <w:r>
        <w:rPr>
          <w:rStyle w:val="VerbatimChar"/>
        </w:rPr>
        <w:t xml:space="preserve">##     has_vardef: FALSE</w:t>
      </w:r>
      <w:r>
        <w:br/>
      </w:r>
      <w:r>
        <w:rPr>
          <w:rStyle w:val="VerbatimChar"/>
        </w:rPr>
        <w:t xml:space="preserve">##     hydrocode: usgs_ws_02056900</w:t>
      </w:r>
      <w:r>
        <w:br/>
      </w:r>
      <w:r>
        <w:rPr>
          <w:rStyle w:val="VerbatimChar"/>
        </w:rPr>
        <w:t xml:space="preserve">##     hydroid: 289998</w:t>
      </w:r>
      <w:r>
        <w:br/>
      </w:r>
      <w:r>
        <w:rPr>
          <w:rStyle w:val="VerbatimChar"/>
        </w:rPr>
        <w:t xml:space="preserve">##     initialize: function (datasource = NULL, config, load_remote = FALSE) </w:t>
      </w:r>
      <w:r>
        <w:br/>
      </w:r>
      <w:r>
        <w:rPr>
          <w:rStyle w:val="VerbatimChar"/>
        </w:rPr>
        <w:t xml:space="preserve">##     insure_varid: function (config) </w:t>
      </w:r>
      <w:r>
        <w:br/>
      </w:r>
      <w:r>
        <w:rPr>
          <w:rStyle w:val="VerbatimChar"/>
        </w:rPr>
        <w:t xml:space="preserve">##     load_data: function (config, load_remote) </w:t>
      </w:r>
      <w:r>
        <w:br/>
      </w:r>
      <w:r>
        <w:rPr>
          <w:rStyle w:val="VerbatimChar"/>
        </w:rPr>
        <w:t xml:space="preserve">##     load_plugin: function () </w:t>
      </w:r>
      <w:r>
        <w:br/>
      </w:r>
      <w:r>
        <w:rPr>
          <w:rStyle w:val="VerbatimChar"/>
        </w:rPr>
        <w:t xml:space="preserve">##     matrix_revision_id: NA</w:t>
      </w:r>
      <w:r>
        <w:br/>
      </w:r>
      <w:r>
        <w:rPr>
          <w:rStyle w:val="VerbatimChar"/>
        </w:rPr>
        <w:t xml:space="preserve">##     mps: list</w:t>
      </w:r>
      <w:r>
        <w:br/>
      </w:r>
      <w:r>
        <w:rPr>
          <w:rStyle w:val="VerbatimChar"/>
        </w:rPr>
        <w:t xml:space="preserve">##     name: BLACKWATER RIVER NEAR ROCKY MOUNT, VA</w:t>
      </w:r>
      <w:r>
        <w:br/>
      </w:r>
      <w:r>
        <w:rPr>
          <w:rStyle w:val="VerbatimChar"/>
        </w:rPr>
        <w:t xml:space="preserve">##     nextdown_id: NA</w:t>
      </w:r>
      <w:r>
        <w:br/>
      </w:r>
      <w:r>
        <w:rPr>
          <w:rStyle w:val="VerbatimChar"/>
        </w:rPr>
        <w:t xml:space="preserve">##     parent_id: NA</w:t>
      </w:r>
      <w:r>
        <w:br/>
      </w:r>
      <w:r>
        <w:rPr>
          <w:rStyle w:val="VerbatimChar"/>
        </w:rPr>
        <w:t xml:space="preserve">##     pk_name: hydroid</w:t>
      </w:r>
      <w:r>
        <w:br/>
      </w:r>
      <w:r>
        <w:rPr>
          <w:rStyle w:val="VerbatimChar"/>
        </w:rPr>
        <w:t xml:space="preserve">##     plot_feat: function (useggplot = TRUE, other_geom = list()) </w:t>
      </w:r>
      <w:r>
        <w:br/>
      </w:r>
      <w:r>
        <w:rPr>
          <w:rStyle w:val="VerbatimChar"/>
        </w:rPr>
        <w:t xml:space="preserve">##     plugin: NA</w:t>
      </w:r>
      <w:r>
        <w:br/>
      </w:r>
      <w:r>
        <w:rPr>
          <w:rStyle w:val="VerbatimChar"/>
        </w:rPr>
        <w:t xml:space="preserve">##     propvalues: function (propname = NULL, varid = NULL, propcode = NULL) </w:t>
      </w:r>
      <w:r>
        <w:br/>
      </w:r>
      <w:r>
        <w:rPr>
          <w:rStyle w:val="VerbatimChar"/>
        </w:rPr>
        <w:t xml:space="preserve">##     save: function (push_remote = FALSE) </w:t>
      </w:r>
      <w:r>
        <w:br/>
      </w:r>
      <w:r>
        <w:rPr>
          <w:rStyle w:val="VerbatimChar"/>
        </w:rPr>
        <w:t xml:space="preserve">##     save_field: function (class_field_name, field_table, value_pairs, pkeys = c("entity_type", </w:t>
      </w:r>
      <w:r>
        <w:br/>
      </w:r>
      <w:r>
        <w:rPr>
          <w:rStyle w:val="VerbatimChar"/>
        </w:rPr>
        <w:t xml:space="preserve">##     set_prop: function (propname, propcode = NULL, propvalue = NULL, varkey = NULL, </w:t>
      </w:r>
      <w:r>
        <w:br/>
      </w:r>
      <w:r>
        <w:rPr>
          <w:rStyle w:val="VerbatimChar"/>
        </w:rPr>
        <w:t xml:space="preserve">##     sql_select_from: </w:t>
      </w:r>
      <w:r>
        <w:br/>
      </w:r>
      <w:r>
        <w:rPr>
          <w:rStyle w:val="VerbatimChar"/>
        </w:rPr>
        <w:t xml:space="preserve">##           select * from dh_feature_fielded</w:t>
      </w:r>
      <w:r>
        <w:br/>
      </w:r>
      <w:r>
        <w:rPr>
          <w:rStyle w:val="VerbatimChar"/>
        </w:rPr>
        <w:t xml:space="preserve">##         </w:t>
      </w:r>
      <w:r>
        <w:br/>
      </w:r>
      <w:r>
        <w:rPr>
          <w:rStyle w:val="VerbatimChar"/>
        </w:rPr>
        <w:t xml:space="preserve">##     to_list: function (base_only = FALSE) </w:t>
      </w:r>
      <w:r>
        <w:br/>
      </w:r>
      <w:r>
        <w:rPr>
          <w:rStyle w:val="VerbatimChar"/>
        </w:rPr>
        <w:t xml:space="preserve">##     tsvalues: function (varkey = NULL, tstime = NULL, tsendtime = NULL) </w:t>
      </w:r>
      <w:r>
        <w:br/>
      </w:r>
      <w:r>
        <w:rPr>
          <w:rStyle w:val="VerbatimChar"/>
        </w:rPr>
        <w:t xml:space="preserve">##     vardef: NULL</w:t>
      </w:r>
      <w:r>
        <w:br/>
      </w:r>
      <w:r>
        <w:rPr>
          <w:rStyle w:val="VerbatimChar"/>
        </w:rPr>
        <w:t xml:space="preserve">##     varid: NA</w:t>
      </w:r>
      <w:r>
        <w:br/>
      </w:r>
      <w:r>
        <w:rPr>
          <w:rStyle w:val="VerbatimChar"/>
        </w:rPr>
        <w:t xml:space="preserve">##     wkt_to_sf: function ()</w:t>
      </w:r>
    </w:p>
    <w:p>
      <w:pPr>
        <w:pStyle w:val="FirstParagraph"/>
      </w:pPr>
      <w:r>
        <w:drawing>
          <wp:inline>
            <wp:extent cx="4620126" cy="3696101"/>
            <wp:effectExtent b="0" l="0" r="0" t="0"/>
            <wp:docPr descr="" title="" id="39" name="Picture"/>
            <a:graphic>
              <a:graphicData uri="http://schemas.openxmlformats.org/drawingml/2006/picture">
                <pic:pic>
                  <pic:nvPicPr>
                    <pic:cNvPr descr="CaseStudyTemplateSkeleton_files/CaseStudyTemplateSkeleton_files/figure-docx/case study graph-1.png" id="40" name="Picture"/>
                    <pic:cNvPicPr>
                      <a:picLocks noChangeArrowheads="1" noChangeAspect="1"/>
                    </pic:cNvPicPr>
                  </pic:nvPicPr>
                  <pic:blipFill>
                    <a:blip r:embed="rId38"/>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42" name="Picture"/>
            <a:graphic>
              <a:graphicData uri="http://schemas.openxmlformats.org/drawingml/2006/picture">
                <pic:pic>
                  <pic:nvPicPr>
                    <pic:cNvPr descr="CaseStudyTemplateSkeleton_files/CaseStudyTemplateSkeleton_files/figure-docx/case study graph-2.png" id="43" name="Picture"/>
                    <pic:cNvPicPr>
                      <a:picLocks noChangeArrowheads="1" noChangeAspect="1"/>
                    </pic:cNvPicPr>
                  </pic:nvPicPr>
                  <pic:blipFill>
                    <a:blip r:embed="rId41"/>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45" name="Picture"/>
            <a:graphic>
              <a:graphicData uri="http://schemas.openxmlformats.org/drawingml/2006/picture">
                <pic:pic>
                  <pic:nvPicPr>
                    <pic:cNvPr descr="CaseStudyTemplateSkeleton_files/CaseStudyTemplateSkeleton_files/figure-docx/case study graph-3.png" id="46" name="Picture"/>
                    <pic:cNvPicPr>
                      <a:picLocks noChangeArrowheads="1" noChangeAspect="1"/>
                    </pic:cNvPicPr>
                  </pic:nvPicPr>
                  <pic:blipFill>
                    <a:blip r:embed="rId44"/>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48" name="Picture"/>
            <a:graphic>
              <a:graphicData uri="http://schemas.openxmlformats.org/drawingml/2006/picture">
                <pic:pic>
                  <pic:nvPicPr>
                    <pic:cNvPr descr="CaseStudyTemplateSkeleton_files/CaseStudyTemplateSkeleton_files/figure-docx/case study graph-4.png" id="49" name="Picture"/>
                    <pic:cNvPicPr>
                      <a:picLocks noChangeArrowheads="1" noChangeAspect="1"/>
                    </pic:cNvPicPr>
                  </pic:nvPicPr>
                  <pic:blipFill>
                    <a:blip r:embed="rId47"/>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51" name="Picture"/>
            <a:graphic>
              <a:graphicData uri="http://schemas.openxmlformats.org/drawingml/2006/picture">
                <pic:pic>
                  <pic:nvPicPr>
                    <pic:cNvPr descr="CaseStudyTemplateSkeleton_files/CaseStudyTemplateSkeleton_files/figure-docx/case study graph-5.png" id="52" name="Picture"/>
                    <pic:cNvPicPr>
                      <a:picLocks noChangeArrowheads="1" noChangeAspect="1"/>
                    </pic:cNvPicPr>
                  </pic:nvPicPr>
                  <pic:blipFill>
                    <a:blip r:embed="rId50"/>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54" name="Picture"/>
            <a:graphic>
              <a:graphicData uri="http://schemas.openxmlformats.org/drawingml/2006/picture">
                <pic:pic>
                  <pic:nvPicPr>
                    <pic:cNvPr descr="CaseStudyTemplateSkeleton_files/CaseStudyTemplateSkeleton_files/figure-docx/case study graph-6.png" id="55" name="Picture"/>
                    <pic:cNvPicPr>
                      <a:picLocks noChangeArrowheads="1" noChangeAspect="1"/>
                    </pic:cNvPicPr>
                  </pic:nvPicPr>
                  <pic:blipFill>
                    <a:blip r:embed="rId53"/>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57" name="Picture"/>
            <a:graphic>
              <a:graphicData uri="http://schemas.openxmlformats.org/drawingml/2006/picture">
                <pic:pic>
                  <pic:nvPicPr>
                    <pic:cNvPr descr="CaseStudyTemplateSkeleton_files/CaseStudyTemplateSkeleton_files/figure-docx/case study graph-7.png" id="58" name="Picture"/>
                    <pic:cNvPicPr>
                      <a:picLocks noChangeArrowheads="1" noChangeAspect="1"/>
                    </pic:cNvPicPr>
                  </pic:nvPicPr>
                  <pic:blipFill>
                    <a:blip r:embed="rId56"/>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60" name="Picture"/>
            <a:graphic>
              <a:graphicData uri="http://schemas.openxmlformats.org/drawingml/2006/picture">
                <pic:pic>
                  <pic:nvPicPr>
                    <pic:cNvPr descr="CaseStudyTemplateSkeleton_files/CaseStudyTemplateSkeleton_files/figure-docx/case study graph-8.png" id="61" name="Picture"/>
                    <pic:cNvPicPr>
                      <a:picLocks noChangeArrowheads="1" noChangeAspect="1"/>
                    </pic:cNvPicPr>
                  </pic:nvPicPr>
                  <pic:blipFill>
                    <a:blip r:embed="rId59"/>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63" name="Picture"/>
            <a:graphic>
              <a:graphicData uri="http://schemas.openxmlformats.org/drawingml/2006/picture">
                <pic:pic>
                  <pic:nvPicPr>
                    <pic:cNvPr descr="CaseStudyTemplateSkeleton_files/CaseStudyTemplateSkeleton_files/figure-docx/case study graph-9.png" id="64" name="Picture"/>
                    <pic:cNvPicPr>
                      <a:picLocks noChangeArrowheads="1" noChangeAspect="1"/>
                    </pic:cNvPicPr>
                  </pic:nvPicPr>
                  <pic:blipFill>
                    <a:blip r:embed="rId62"/>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66" name="Picture"/>
            <a:graphic>
              <a:graphicData uri="http://schemas.openxmlformats.org/drawingml/2006/picture">
                <pic:pic>
                  <pic:nvPicPr>
                    <pic:cNvPr descr="CaseStudyTemplateSkeleton_files/CaseStudyTemplateSkeleton_files/figure-docx/case study graph-10.png" id="67" name="Picture"/>
                    <pic:cNvPicPr>
                      <a:picLocks noChangeArrowheads="1" noChangeAspect="1"/>
                    </pic:cNvPicPr>
                  </pic:nvPicPr>
                  <pic:blipFill>
                    <a:blip r:embed="rId65"/>
                    <a:stretch>
                      <a:fillRect/>
                    </a:stretch>
                  </pic:blipFill>
                  <pic:spPr bwMode="auto">
                    <a:xfrm>
                      <a:off x="0" y="0"/>
                      <a:ext cx="4620126" cy="3696101"/>
                    </a:xfrm>
                    <a:prstGeom prst="rect">
                      <a:avLst/>
                    </a:prstGeom>
                    <a:noFill/>
                    <a:ln w="9525">
                      <a:noFill/>
                      <a:headEnd/>
                      <a:tailEnd/>
                    </a:ln>
                  </pic:spPr>
                </pic:pic>
              </a:graphicData>
            </a:graphic>
          </wp:inline>
        </w:drawing>
      </w:r>
    </w:p>
    <w:bookmarkEnd w:id="6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0" Target="media/rId30.png" /><Relationship Type="http://schemas.openxmlformats.org/officeDocument/2006/relationships/image" Id="rId15" Target="media/rId15.png" /><Relationship Type="http://schemas.openxmlformats.org/officeDocument/2006/relationships/image" Id="rId19" Target="media/rId19.png" /><Relationship Type="http://schemas.openxmlformats.org/officeDocument/2006/relationships/image" Id="rId27" Target="media/rId27.png" /><Relationship Type="http://schemas.openxmlformats.org/officeDocument/2006/relationships/image" Id="rId23" Target="media/rId23.png" /><Relationship Type="http://schemas.openxmlformats.org/officeDocument/2006/relationships/image" Id="rId38" Target="media/rId38.png" /><Relationship Type="http://schemas.openxmlformats.org/officeDocument/2006/relationships/image" Id="rId65" Target="media/rId65.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11" Target="media/rId1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Study Template (Rough Draft)</dc:title>
  <dc:creator/>
  <cp:keywords/>
  <dcterms:created xsi:type="dcterms:W3CDTF">2026-08-31T13:42:28Z</dcterms:created>
  <dcterms:modified xsi:type="dcterms:W3CDTF">2026-08-31T13:42:28Z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2026-07-28</vt:lpwstr>
  </property>
  <property fmtid="{D5CDD505-2E9C-101B-9397-08002B2CF9AE}" pid="3" name="output">
    <vt:lpwstr>word_document</vt:lpwstr>
  </property>
  <property fmtid="{D5CDD505-2E9C-101B-9397-08002B2CF9AE}" pid="4" name="params">
    <vt:lpwstr/>
  </property>
</Properties>
</file>