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ELF</w:t>
      </w:r>
      <w:r>
        <w:t xml:space="preserve"> </w:t>
      </w:r>
      <w:r>
        <w:t xml:space="preserve">Monthly</w:t>
      </w:r>
      <w:r>
        <w:t xml:space="preserve"> </w:t>
      </w:r>
      <w:r>
        <w:t xml:space="preserve">Comparisons</w:t>
      </w:r>
    </w:p>
    <w:p>
      <w:pPr>
        <w:pStyle w:val="SourceCode"/>
      </w:pPr>
      <w:r>
        <w:rPr>
          <w:rStyle w:val="VerbatimChar"/>
        </w:rPr>
        <w:t xml:space="preserve">## Warning: package 'gdata' was built under R version 3.3.3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VerbatimChar"/>
        </w:rPr>
        <w:t xml:space="preserve">## [1] "Using URI:  http://deq1.bse.vt.edu/d.dh/export_elf_statistics/fe_quantreg/active/full/aqbio_nt_total/species/0.8/max/0/530/nhd_huc8/"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all</w:t>
      </w:r>
      <w:r>
        <w:t xml:space="preserve"> </w:t>
      </w:r>
      <w:r>
        <w:t xml:space="preserve">* quantile: 0.8</w:t>
      </w:r>
      <w:r>
        <w:t xml:space="preserve"> </w:t>
      </w:r>
      <w:r>
        <w:t xml:space="preserve">* Metric: aqbio_nt_total</w:t>
      </w:r>
      <w:r>
        <w:t xml:space="preserve"> </w:t>
      </w:r>
      <w:r>
        <w:t xml:space="preserve">* Geospatial Unit: nhd_huc8</w:t>
      </w:r>
      <w:r>
        <w:t xml:space="preserve"> </w:t>
      </w:r>
      <w:r>
        <w:t xml:space="preserve">* Analysis Type: fe_quantreg</w:t>
      </w:r>
      <w:r>
        <w:t xml:space="preserve"> </w:t>
      </w:r>
      <w:r>
        <w:t xml:space="preserve">* Timespan: full</w:t>
      </w:r>
      <w:r>
        <w:t xml:space="preserve"> </w:t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90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/>
  <dcterms:created xsi:type="dcterms:W3CDTF">2017-11-03T17:45:39Z</dcterms:created>
  <dcterms:modified xsi:type="dcterms:W3CDTF">2017-11-03T17:45:39Z</dcterms:modified>
</cp:coreProperties>
</file>