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ELF</w:t>
      </w:r>
      <w:r>
        <w:t xml:space="preserve"> </w:t>
      </w:r>
      <w:r>
        <w:t xml:space="preserve">Regional</w:t>
      </w:r>
      <w:r>
        <w:t xml:space="preserve"> </w:t>
      </w:r>
      <w:r>
        <w:t xml:space="preserve">Comparisons</w:t>
      </w:r>
    </w:p>
    <w:p>
      <w:pPr>
        <w:pStyle w:val="FirstParagraph"/>
      </w:pPr>
      <w:r>
        <w:t xml:space="preserve">Automated routines were used to detect Ecological Limit Functions (ELF) as a variety of spatial scales including Omernik Eco-Region iii, the NHD HUC 6, HUC 8, and HUC 10. The characteristics of the ELF were estimated by the upper 20% quantile of the data set described by y = f(ln(x)), where y was a number of taxa metric, and x was drainage area, mean annual flow, or mean monthly flow as estmated by the EROM model. Because the datasets demonstrated an increasing NT as watershed area increased up to a certain point (refered to here as the</w:t>
      </w:r>
      <w:r>
        <w:t xml:space="preserve"> </w:t>
      </w:r>
      <w:r>
        <w:t xml:space="preserve">“</w:t>
      </w:r>
      <w:r>
        <w:t xml:space="preserve">RCC Breakpoint</w:t>
      </w:r>
      <w:r>
        <w:t xml:space="preserve">”</w:t>
      </w:r>
      <w:r>
        <w:t xml:space="preserve">), then leveled off or began to decrease, it was important to restrict analysis of data to the left side of this breakpoint. Initially, the breakpoint selected was by inspection of a scatterplot of the entire multi-state dataset, resulting in 530 square miles. Upon reviewing HUC6 data, however, it became clear that there were different RCC breakpoints evident in the different river basins.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lf_spatial_trends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lf_spatial_trends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lf_spatial_trends_files/figure-docx/unnamed-chunk-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  0%  25%  50%  75% 100% </w:t>
      </w:r>
      <w:r>
        <w:br w:type="textWrapping"/>
      </w:r>
      <w:r>
        <w:rPr>
          <w:rStyle w:val="VerbatimChar"/>
        </w:rPr>
        <w:t xml:space="preserve">##    4    6   10   19   31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lf_spatial_trends_files/figure-docx/unnamed-chunk-1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13cd01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ELF Regional Comparisons</dc:title>
  <dc:creator/>
  <dcterms:created xsi:type="dcterms:W3CDTF">2018-03-28T14:06:47Z</dcterms:created>
  <dcterms:modified xsi:type="dcterms:W3CDTF">2018-03-28T14:06:47Z</dcterms:modified>
</cp:coreProperties>
</file>