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7.png" ContentType="image/png"/>
  <Override PartName="/word/media/rId39.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10/20/2021</w:t>
      </w:r>
    </w:p>
    <w:p>
      <w:pPr>
        <w:pStyle w:val="Titre1"/>
      </w:pPr>
      <w:bookmarkStart w:id="20" w:name="vahydro-model"/>
      <w:r>
        <w:t xml:space="preserve">VAHydro Model:</w:t>
      </w:r>
      <w:bookmarkEnd w:id="20"/>
    </w:p>
    <w:p>
      <w:pPr>
        <w:pStyle w:val="Titre2"/>
      </w:pPr>
      <w:bookmarkStart w:id="21" w:name="vahydro"/>
      <w:r>
        <w:t xml:space="preserve">VAHydro</w:t>
      </w:r>
      <w:bookmarkEnd w:id="21"/>
    </w:p>
    <w:p>
      <w:pPr>
        <w:pStyle w:val="Normal"/>
      </w:pPr>
      <w:r>
        <w:t xml:space="preserve">The comprehensive VAHydro hydrologic model is used to evaluate potential impacts to surface water supply and other beneficial uses (including aquatic life), for withdrawal projects that have applied for a Virginia Water Protection (VWP). The VAHydro model simulates streamflow with inputs such as precipitation, climate, land use, and topography, as well as local data collected through Local and Regional Water Supply Plans and reported water use submitted to DEQ through the Annual Water Withdrawal Reporting program. The VAHydro model includes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p>
      <w:pPr>
        <w:pStyle w:val="Titre2"/>
      </w:pPr>
      <w:bookmarkStart w:id="22" w:name="cia"/>
      <w:r>
        <w:t xml:space="preserve">CIA</w:t>
      </w:r>
      <w:bookmarkEnd w:id="22"/>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p>
      <w:pPr>
        <w:pStyle w:val="Titre1"/>
      </w:pPr>
      <w:bookmarkStart w:id="23" w:name="project-introduction"/>
      <w:r>
        <w:t xml:space="preserve">Project Introduction</w:t>
      </w:r>
      <w:bookmarkEnd w:id="23"/>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pStyle w:val="Compact"/>
        <w:numPr>
          <w:numId w:val="1001"/>
          <w:ilvl w:val="0"/>
        </w:numPr>
      </w:pPr>
      <w:r>
        <w:rPr>
          <w:b/>
        </w:rPr>
        <w:t xml:space="preserve">Annual Withdrawal Limit</w:t>
      </w:r>
      <w:r>
        <w:t xml:space="preserve"> </w:t>
      </w:r>
      <w:r>
        <w:t xml:space="preserve">= 1168 mg/yr (3.2 mgd)</w:t>
      </w:r>
    </w:p>
    <w:p>
      <w:pPr>
        <w:pStyle w:val="Compact"/>
        <w:numPr>
          <w:numId w:val="1002"/>
          <w:ilvl w:val="1"/>
        </w:numPr>
      </w:pPr>
      <w:r>
        <w:t xml:space="preserve">(historically they withdraw ~2 mgd on average)</w:t>
      </w:r>
    </w:p>
    <w:p>
      <w:pPr>
        <w:pStyle w:val="Compact"/>
        <w:numPr>
          <w:numId w:val="1001"/>
          <w:ilvl w:val="0"/>
        </w:numPr>
      </w:pPr>
      <w:r>
        <w:rPr>
          <w:b/>
        </w:rPr>
        <w:t xml:space="preserve">Daily Withdrawal Limit</w:t>
      </w:r>
      <w:r>
        <w:t xml:space="preserve"> </w:t>
      </w:r>
      <w:r>
        <w:t xml:space="preserve">= 4 mgd</w:t>
      </w:r>
    </w:p>
    <w:p>
      <w:pPr>
        <w:pStyle w:val="Compact"/>
        <w:numPr>
          <w:numId w:val="1001"/>
          <w:ilvl w:val="0"/>
        </w:numPr>
      </w:pPr>
      <w:r>
        <w:rPr>
          <w:b/>
        </w:rPr>
        <w:t xml:space="preserve">Flow-by</w:t>
      </w:r>
      <w:r>
        <w:t xml:space="preserve"> </w:t>
      </w:r>
      <w:r>
        <w:t xml:space="preserve">= 0.5 mgd</w:t>
      </w:r>
      <w:r>
        <w:t xml:space="preserve"> </w:t>
      </w:r>
      <w:r>
        <w:t xml:space="preserve"> </w:t>
      </w:r>
      <w:r>
        <w:t xml:space="preserve"> </w:t>
      </w:r>
    </w:p>
    <w:p>
      <w:pPr>
        <w:pStyle w:val="Titre2"/>
      </w:pPr>
      <w:bookmarkStart w:id="24" w:name="location-map"/>
      <w:r>
        <w:t xml:space="preserve">Location Map</w:t>
      </w:r>
      <w:bookmarkEnd w:id="24"/>
    </w:p>
    <w:p>
      <w:pPr>
        <w:pStyle w:val="Normal"/>
      </w:pPr>
      <w:r>
        <w:rPr>
          <w:i/>
        </w:rPr>
        <w:t xml:space="preserve">No location map available for this facility model</w:t>
      </w:r>
    </w:p>
    <w:p>
      <w:r>
        <w:br w:type="page"/>
      </w:r>
    </w:p>
    <w:p>
      <w:pPr>
        <w:pStyle w:val="Titre1"/>
      </w:pPr>
      <w:bookmarkStart w:id="25" w:name="model-overview-and-scenario-descriptions"/>
      <w:r>
        <w:t xml:space="preserve">Model Overview and Scenario Descriptions</w:t>
      </w:r>
      <w:bookmarkEnd w:id="25"/>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pStyle w:val="Compact"/>
        <w:numPr>
          <w:numId w:val="1003"/>
          <w:ilvl w:val="0"/>
        </w:numPr>
      </w:pPr>
      <w:r>
        <w:rPr>
          <w:b/>
        </w:rPr>
        <w:t xml:space="preserve">runid_11</w:t>
      </w:r>
      <w:r>
        <w:t xml:space="preserve"> </w:t>
      </w:r>
      <w:r>
        <w:t xml:space="preserve">- Run report information not provided.</w:t>
      </w:r>
    </w:p>
    <w:p>
      <w:pPr>
        <w:pStyle w:val="Compact"/>
        <w:numPr>
          <w:numId w:val="1003"/>
          <w:ilvl w:val="0"/>
        </w:numPr>
      </w:pPr>
      <w:r>
        <w:rPr>
          <w:b/>
        </w:rPr>
        <w:t xml:space="preserve">runid_13</w:t>
      </w:r>
      <w:r>
        <w:t xml:space="preserve"> </w:t>
      </w:r>
      <w:r>
        <w:t xml:space="preserve">- Run report information not provided.</w:t>
      </w:r>
    </w:p>
    <w:p>
      <w:pPr>
        <w:pStyle w:val="Compact"/>
        <w:numPr>
          <w:numId w:val="1003"/>
          <w:ilvl w:val="0"/>
        </w:numPr>
      </w:pPr>
      <w:r>
        <w:rPr>
          <w:b/>
        </w:rPr>
        <w:t xml:space="preserve">runid_18</w:t>
      </w:r>
      <w:r>
        <w:t xml:space="preserve"> </w:t>
      </w:r>
      <w:r>
        <w:t xml:space="preserve">- Run report information not provided.</w:t>
      </w:r>
    </w:p>
    <w:p>
      <w:r>
        <w:br w:type="page"/>
      </w:r>
    </w:p>
    <w:p>
      <w:pPr>
        <w:pStyle w:val="Titre1"/>
      </w:pPr>
      <w:bookmarkStart w:id="26" w:name="X2a107ed99cb2b247aedabdf1b3de3d5bb1602a7"/>
      <w:r>
        <w:t xml:space="preserve">Intake Site Description &amp; Current Estimated Stream Flows</w:t>
      </w:r>
      <w:bookmarkEnd w:id="26"/>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25.1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839"/>
        <w:gridCol w:w="83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82.2</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140.3</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63.2</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w:t>
            </w:r>
          </w:p>
        </w:tc>
      </w:tr>
    </w:tbl>
    <w:p>
      <w:pPr>
        <w:pStyle w:val="Corpsdetexte"/>
      </w:pPr>
      <w:r>
        <w:t xml:space="preserve">NULL demand_url</w:t>
      </w:r>
    </w:p>
    <w:p>
      <w:r>
        <w:br w:type="page"/>
      </w:r>
    </w:p>
    <w:p>
      <w:pPr>
        <w:pStyle w:val="Titre1"/>
      </w:pPr>
      <w:bookmarkStart w:id="27" w:name="model-results-summary"/>
      <w:r>
        <w:t xml:space="preserve">Model Results Summary</w:t>
      </w:r>
      <w:bookmarkEnd w:id="27"/>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pStyle w:val="Compact"/>
        <w:numPr>
          <w:numId w:val="1004"/>
          <w:ilvl w:val="0"/>
        </w:numPr>
      </w:pPr>
      <w:r>
        <w:rPr>
          <w:b/>
        </w:rPr>
        <w:t xml:space="preserve">runid_11</w:t>
      </w:r>
      <w:r>
        <w:t xml:space="preserve"> </w:t>
      </w:r>
      <w:r>
        <w:t xml:space="preserve">- Run analysis not provided.</w:t>
      </w:r>
    </w:p>
    <w:p>
      <w:pPr>
        <w:pStyle w:val="Compact"/>
        <w:numPr>
          <w:numId w:val="1004"/>
          <w:ilvl w:val="0"/>
        </w:numPr>
      </w:pPr>
      <w:r>
        <w:rPr>
          <w:b/>
        </w:rPr>
        <w:t xml:space="preserve">runid_13</w:t>
      </w:r>
      <w:r>
        <w:t xml:space="preserve"> </w:t>
      </w:r>
      <w:r>
        <w:t xml:space="preserve">- Run analysis not provided.</w:t>
      </w:r>
    </w:p>
    <w:p>
      <w:pPr>
        <w:pStyle w:val="Compact"/>
        <w:numPr>
          <w:numId w:val="1004"/>
          <w:ilvl w:val="0"/>
        </w:numPr>
      </w:pPr>
      <w:r>
        <w:rPr>
          <w:b/>
        </w:rPr>
        <w:t xml:space="preserve">runid_18</w:t>
      </w:r>
      <w:r>
        <w:t xml:space="preserve"> </w:t>
      </w:r>
      <w:r>
        <w:t xml:space="preserve">- Run analysis not provided.</w:t>
      </w:r>
    </w:p>
    <w:p>
      <w:pPr>
        <w:pStyle w:val="Titre2"/>
      </w:pPr>
      <w:bookmarkStart w:id="28" w:name="conclusion"/>
      <w:r>
        <w:t xml:space="preserve">Conclusion</w:t>
      </w:r>
      <w:bookmarkEnd w:id="28"/>
    </w:p>
    <w:p>
      <w:pPr>
        <w:pStyle w:val="Normal"/>
      </w:pPr>
      <w:r>
        <w:t xml:space="preserve">Overall, remodeling to consider a net % change to flow (after the point source return flow) has improved the outlook across all scenarios examined, and supports moving towards a</w:t>
      </w:r>
      <w:r>
        <w:t xml:space="preserve"> </w:t>
      </w:r>
      <w:r>
        <w:t xml:space="preserve">“</w:t>
      </w:r>
      <w:r>
        <w:t xml:space="preserve">percent of flow</w:t>
      </w:r>
      <w:r>
        <w:t xml:space="preserve">”</w:t>
      </w:r>
      <w:r>
        <w:t xml:space="preserve"> </w:t>
      </w:r>
      <w:r>
        <w:t xml:space="preserve">flowby approach. When modeling as a net % change in flow, the reservoir is not chronically drawn down as was shown in previous model results.</w:t>
      </w:r>
    </w:p>
    <w:p>
      <w:pPr>
        <w:pStyle w:val="Corpsdetexte"/>
      </w:pPr>
      <w:r>
        <w:t xml:space="preserve">With the current permit operations and a limit of 3.2 mgd they likely wouldn’t be able to meet a 90% flowby and retain 60 days remaining storage in the reservoir during the drought of record. However a flowby closer to 80% would likely be effective at maintaining storage levels and ensuring they can sustainably meet demand during dry periods while still better preserving the natural flow regime over a static 0.5 mgd flowby approach. This project may also be able to get to a 90% flowby by reducing demands from 3.2 mgd to around 3.0 mgd, and/or by including drought triggers in the permit to help maintain storage levels in the reservoir during dry periods (this permit doesn’t currently have drought triggers in place). Additionally, this facility has emergency connections with neighboring towns which may be sufficient to maintain supply during times of extreme drought. Note that demand is projected to decline according to water supply plan.</w:t>
      </w:r>
    </w:p>
    <w:p>
      <w:pPr>
        <w:pStyle w:val="Corpsdetexte"/>
      </w:pPr>
      <w:r>
        <w:t xml:space="preserve">Overall, the scenarios examined support the option for moving towards a</w:t>
      </w:r>
      <w:r>
        <w:t xml:space="preserve"> </w:t>
      </w:r>
      <w:r>
        <w:t xml:space="preserve">“</w:t>
      </w:r>
      <w:r>
        <w:t xml:space="preserve">percent of flow</w:t>
      </w:r>
      <w:r>
        <w:t xml:space="preserve">”</w:t>
      </w:r>
      <w:r>
        <w:t xml:space="preserve"> </w:t>
      </w:r>
      <w:r>
        <w:t xml:space="preserve">flowby approach. It is important to note that modeling with the Big Cherry Dam maximum release capacity set to 15 cfs benefits reservoir storage by minimizing reservoir refill time, promoting improved storage recovery following dry periods. This 15 cfs, or some similarly modest maximum release, is crucial in enabling a PoF management schema to be effective.</w:t>
      </w:r>
    </w:p>
    <w:p>
      <w:r>
        <w:br w:type="page"/>
      </w:r>
    </w:p>
    <w:p>
      <w:pPr>
        <w:pStyle w:val="Titre1"/>
      </w:pPr>
      <w:bookmarkStart w:id="29" w:name="cumulative-impact-analysis"/>
      <w:r>
        <w:t xml:space="preserve">Cumulative Impact Analysis</w:t>
      </w:r>
      <w:bookmarkEnd w:id="29"/>
    </w:p>
    <w:p>
      <w:pPr>
        <w:pStyle w:val="Normal"/>
      </w:pPr>
      <w:r>
        <w:t xml:space="preserve">The following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pStyle w:val="Titre2"/>
      </w:pPr>
      <w:bookmarkStart w:id="30" w:name="Xf0763edeaba3531f9a3b47309baa01f3df416e6"/>
      <w:r>
        <w:t xml:space="preserve">Glossary of Cumulative Impact Modeling Terms</w:t>
      </w:r>
      <w:bookmarkEnd w:id="30"/>
    </w:p>
    <w:p>
      <w:pPr>
        <w:pStyle w:val="Compact"/>
        <w:numPr>
          <w:numId w:val="1005"/>
          <w:ilvl w:val="0"/>
        </w:numPr>
      </w:pPr>
      <w:r>
        <w:t xml:space="preserve">Consumptive Use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Titre2"/>
      </w:pPr>
      <w:bookmarkStart w:id="31" w:name="stats-comparison-table"/>
      <w:r>
        <w:t xml:space="preserve">Stats Comparison Table:</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FAIRY STONE STATE PARK WTP:Philpott Dam</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FAIRY STONE STATE PARK WTP:Philpott Dam</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FAIRY STONE STATE PARK WTP:Philpott Dam</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p>
      <w:pPr>
        <w:pStyle w:val="Titre1"/>
      </w:pPr>
      <w:bookmarkStart w:id="32" w:name="reservoir-storage-plots"/>
      <w:r>
        <w:t xml:space="preserve">Reservoir Storage Plots:</w:t>
      </w:r>
      <w:bookmarkEnd w:id="32"/>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runid_11</w:t>
      </w:r>
      <w:r>
        <w:t xml:space="preserve">”</w:t>
      </w:r>
      <w:r>
        <w:t xml:space="preserve"> </w:t>
      </w:r>
      <w:r>
        <w:t xml:space="preserve">[1]</w:t>
      </w:r>
      <w:r>
        <w:t xml:space="preserve"> </w:t>
      </w:r>
      <w:r>
        <w:t xml:space="preserve">“</w:t>
      </w:r>
      <w:r>
        <w:t xml:space="preserve">No active impoundment found for run id runid_13</w:t>
      </w:r>
      <w:r>
        <w:t xml:space="preserve">”</w:t>
      </w:r>
      <w:r>
        <w:t xml:space="preserve"> </w:t>
      </w:r>
      <w:r>
        <w:t xml:space="preserve">[1]</w:t>
      </w:r>
      <w:r>
        <w:t xml:space="preserve"> </w:t>
      </w:r>
      <w:r>
        <w:t xml:space="preserve">“</w:t>
      </w:r>
      <w:r>
        <w:t xml:space="preserve">No active impoundment found for run id runid_18</w:t>
      </w:r>
      <w:r>
        <w:t xml:space="preserve">”</w:t>
      </w:r>
    </w:p>
    <w:p>
      <w:r>
        <w:br w:type="page"/>
      </w:r>
    </w:p>
    <w:p>
      <w:pPr>
        <w:pStyle w:val="Titre1"/>
      </w:pPr>
      <w:bookmarkStart w:id="33" w:name="unmet-demand-plots"/>
      <w:r>
        <w:t xml:space="preserve">Unmet Demand Plots:</w:t>
      </w:r>
      <w:bookmarkEnd w:id="33"/>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p>
      <w:pPr>
        <w:pStyle w:val="Titre2"/>
      </w:pPr>
      <w:bookmarkStart w:id="34" w:name="hydrograph-runid_11"/>
      <w:r>
        <w:t xml:space="preserve">Hydrograph: runid_11</w:t>
      </w:r>
      <w:bookmarkEnd w:id="34"/>
    </w:p>
    <w:p>
      <w:pPr>
        <w:pStyle w:val="Normal"/>
      </w:pPr>
      <w:r>
        <w:drawing>
          <wp:inline>
            <wp:extent cx="5969000" cy="4050392"/>
            <wp:effectExtent b="0" l="0" r="0" t="0"/>
            <wp:docPr descr="" title="" id="1" name="Picture"/>
            <a:graphic>
              <a:graphicData uri="http://schemas.openxmlformats.org/drawingml/2006/picture">
                <pic:pic>
                  <pic:nvPicPr>
                    <pic:cNvPr descr="http://deq1.bse.vt.edu:81/data/proj3/out/fig.30daymax_unmet.306664.11.png" id="2" name="Picture"/>
                    <pic:cNvPicPr>
                      <a:picLocks noChangeArrowheads="1" noChangeAspect="1"/>
                    </pic:cNvPicPr>
                  </pic:nvPicPr>
                  <pic:blipFill>
                    <a:blip r:embed="rId35"/>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runid_11</w:t>
      </w:r>
      <w:r>
        <w:t xml:space="preserve">”</w:t>
      </w:r>
    </w:p>
    <w:p>
      <w:r>
        <w:br w:type="page"/>
      </w:r>
    </w:p>
    <w:p>
      <w:pPr>
        <w:pStyle w:val="Titre2"/>
      </w:pPr>
      <w:bookmarkStart w:id="36" w:name="hydrograph-runid_13"/>
      <w:r>
        <w:t xml:space="preserve">Hydrograph: runid_13</w:t>
      </w:r>
      <w:bookmarkEnd w:id="36"/>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06664.13.png" id="4"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runid_13</w:t>
      </w:r>
      <w:r>
        <w:t xml:space="preserve">”</w:t>
      </w:r>
    </w:p>
    <w:p>
      <w:r>
        <w:br w:type="page"/>
      </w:r>
    </w:p>
    <w:p>
      <w:pPr>
        <w:pStyle w:val="Titre2"/>
      </w:pPr>
      <w:bookmarkStart w:id="38" w:name="hydrograph-runid_18"/>
      <w:r>
        <w:t xml:space="preserve">Hydrograph: runid_18</w:t>
      </w:r>
      <w:bookmarkEnd w:id="38"/>
    </w:p>
    <w:p>
      <w:pPr>
        <w:pStyle w:val="Normal"/>
      </w:pPr>
      <w:r>
        <w:drawing>
          <wp:inline>
            <wp:extent cx="5969000" cy="4050392"/>
            <wp:effectExtent b="0" l="0" r="0" t="0"/>
            <wp:docPr descr="" title="" id="5" name="Picture"/>
            <a:graphic>
              <a:graphicData uri="http://schemas.openxmlformats.org/drawingml/2006/picture">
                <pic:pic>
                  <pic:nvPicPr>
                    <pic:cNvPr descr="http://deq1.bse.vt.edu:81/data/proj3/out/fig.30daymax_unmet.306664.18.png" id="6" name="Picture"/>
                    <pic:cNvPicPr>
                      <a:picLocks noChangeArrowheads="1" noChangeAspect="1"/>
                    </pic:cNvPicPr>
                  </pic:nvPicPr>
                  <pic:blipFill>
                    <a:blip r:embed="rId39"/>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runid_18</w:t>
      </w:r>
      <w:r>
        <w:t xml:space="preserve">”</w:t>
      </w:r>
    </w:p>
    <w:p>
      <w:r>
        <w:br w:type="page"/>
      </w:r>
    </w:p>
    <w:p>
      <w:r>
        <w:br w:type="page"/>
      </w:r>
    </w:p>
    <w:p>
      <w:pPr>
        <w:pStyle w:val="Titre1"/>
      </w:pPr>
      <w:bookmarkStart w:id="40" w:name="ecological-impacts-assessment"/>
      <w:r>
        <w:t xml:space="preserve">Ecological Impacts Assessment:</w:t>
      </w:r>
      <w:bookmarkEnd w:id="40"/>
    </w:p>
    <w:p>
      <w:pPr>
        <w:pStyle w:val="Titre2"/>
      </w:pPr>
      <w:bookmarkStart w:id="41" w:name="elfgen"/>
      <w:r>
        <w:t xml:space="preserve">Elfgen:</w:t>
      </w:r>
      <w:bookmarkEnd w:id="41"/>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7" name="Picture"/>
            <a:graphic>
              <a:graphicData uri="http://schemas.openxmlformats.org/drawingml/2006/picture">
                <pic:pic>
                  <pic:nvPicPr>
                    <pic:cNvPr descr="http://deq1.bse.vt.edu:81/data/proj3/out/fig.elfgen.6353254.png" id="8" name="Picture"/>
                    <pic:cNvPicPr>
                      <a:picLocks noChangeArrowheads="1" noChangeAspect="1"/>
                    </pic:cNvPicPr>
                  </pic:nvPicPr>
                  <pic:blipFill>
                    <a:blip r:embed="rId42"/>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p>
      <w:pPr>
        <w:pStyle w:val="Titre2"/>
      </w:pPr>
      <w:bookmarkStart w:id="43" w:name="richness-change-metric-table"/>
      <w:r>
        <w:t xml:space="preserve">Richness Change Metric Table:</w:t>
      </w:r>
      <w:bookmarkEnd w:id="43"/>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 (For additional details on</w:t>
      </w:r>
      <w:r>
        <w:t xml:space="preserve"> </w:t>
      </w:r>
      <w:r>
        <w:t xml:space="preserve">“</w:t>
      </w:r>
      <w:r>
        <w:t xml:space="preserve">elfgen</w:t>
      </w:r>
      <w:r>
        <w:t xml:space="preserve">”</w:t>
      </w:r>
      <w:r>
        <w:t xml:space="preserve"> </w:t>
      </w:r>
      <w:r>
        <w:t xml:space="preserve">methodology, see</w:t>
      </w:r>
      <w:r>
        <w:t xml:space="preserve"> </w:t>
      </w:r>
      <w:hyperlink r:id="rId44">
        <w:r>
          <w:rPr>
            <w:rStyle w:val="Lienhypertexte"/>
          </w:rPr>
          <w:t xml:space="preserve">https://onlinelibrary.wiley.com/doi/full/10.1111/1752-1688.12876</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Philpott Dam</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bl>
    <w:p>
      <w:pPr>
        <w:pStyle w:val="Titre2"/>
      </w:pPr>
      <w:bookmarkStart w:id="45" w:name="habitat-if-applicable"/>
      <w:r>
        <w:t xml:space="preserve">Habitat (If Applicable):</w:t>
      </w:r>
      <w:bookmarkEnd w:id="45"/>
    </w:p>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5" Type="http://schemas.openxmlformats.org/officeDocument/2006/relationships/image" Target="media/rId35.png"/>
<Relationship Id="rId37" Type="http://schemas.openxmlformats.org/officeDocument/2006/relationships/image" Target="media/rId37.png"/>
<Relationship Id="rId39" Type="http://schemas.openxmlformats.org/officeDocument/2006/relationships/image" Target="media/rId39.png"/>
<Relationship Id="rId42" Type="http://schemas.openxmlformats.org/officeDocument/2006/relationships/image" Target="media/rId42.png"/>
<Relationship Id="rId44" Type="http://schemas.openxmlformats.org/officeDocument/2006/relationships/hyperlink" Target="https://onlinelibrary.wiley.com/doi/full/10.1111/1752-1688.12876" TargetMode="External"/>
</Relationships>

</file>

<file path=word/_rels/footnotes.xml.rels><?xml version="1.0" encoding="UTF-8" standalone="yes"?>

<Relationships  xmlns="http://schemas.openxmlformats.org/package/2006/relationships">
<Relationship Id="rId44" Type="http://schemas.openxmlformats.org/officeDocument/2006/relationships/hyperlink" Target="https://onlinelibrary.wiley.com/doi/full/10.1111/1752-1688.12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2021-10-20T18:11:19Z</dcterms:created>
  <dcterms:modified xsi:type="dcterms:W3CDTF">2021-10-20T14:11:20Z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10/20/2021</vt:lpwstr>
  </property>
  <property fmtid="{D5CDD505-2E9C-101B-9397-08002B2CF9AE}" pid="3" name="output">
    <vt:lpwstr/>
  </property>
  <property fmtid="{D5CDD505-2E9C-101B-9397-08002B2CF9AE}" pid="4" name="params">
    <vt:lpwstr/>
  </property>
</Properties>
</file>