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41.png" ContentType="image/png"/>
  <Override PartName="/word/media/rId45.png" ContentType="image/png"/>
  <Override PartName="/word/media/rId49.png" ContentType="image/png"/>
  <Override PartName="/word/media/rId52.png" ContentType="image/png"/>
  <Override PartName="/word/media/rId24.png" ContentType="image/png"/>
  <Override PartName="/word/media/rId35.png" ContentType="image/png"/>
  <Override PartName="/word/media/rId39.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09/13/2021</w:t>
      </w:r>
    </w:p>
    <w:bookmarkStart w:id="23"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21" w:name="Xf0763edeaba3531f9a3b47309baa01f3df416e6"/>
    <w:p>
      <w:pPr>
        <w:pStyle w:val="Titre3"/>
      </w:pPr>
      <w:r>
        <w:t xml:space="preserve">Glossary of Cumulative Impact Modeling Terms</w:t>
      </w:r>
    </w:p>
    <w:p>
      <w:pPr>
        <w:numPr>
          <w:ilvl w:val="0"/>
          <w:numId w:val="1001"/>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r>
        <w:br w:type="page"/>
      </w:r>
    </w:p>
    <w:bookmarkEnd w:id="21"/>
    <w:bookmarkEnd w:id="22"/>
    <w:bookmarkEnd w:id="23"/>
    <w:bookmarkStart w:id="26"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2"/>
        </w:numPr>
        <w:pStyle w:val="Compact"/>
      </w:pPr>
      <w:r>
        <w:rPr>
          <w:b/>
        </w:rPr>
        <w:t xml:space="preserve">Annual Withdrawal Limit</w:t>
      </w:r>
      <w:r>
        <w:t xml:space="preserve"> </w:t>
      </w:r>
      <w:r>
        <w:t xml:space="preserve">= 1168 mg/yr (3.2 mgd)</w:t>
      </w:r>
    </w:p>
    <w:p>
      <w:pPr>
        <w:numPr>
          <w:ilvl w:val="1"/>
          <w:numId w:val="1003"/>
        </w:numPr>
        <w:pStyle w:val="Compact"/>
      </w:pPr>
      <w:r>
        <w:t xml:space="preserve">(historically they withdraw ~2 mgd on average)</w:t>
      </w:r>
    </w:p>
    <w:p>
      <w:pPr>
        <w:numPr>
          <w:ilvl w:val="0"/>
          <w:numId w:val="1002"/>
        </w:numPr>
        <w:pStyle w:val="Compact"/>
      </w:pPr>
      <w:r>
        <w:rPr>
          <w:b/>
        </w:rPr>
        <w:t xml:space="preserve">Daily Withdrawal Limit</w:t>
      </w:r>
      <w:r>
        <w:t xml:space="preserve"> </w:t>
      </w:r>
      <w:r>
        <w:t xml:space="preserve">= 4 mgd</w:t>
      </w:r>
    </w:p>
    <w:p>
      <w:pPr>
        <w:numPr>
          <w:ilvl w:val="0"/>
          <w:numId w:val="1002"/>
        </w:numPr>
        <w:pStyle w:val="Compact"/>
      </w:pPr>
      <w:r>
        <w:rPr>
          <w:b/>
        </w:rPr>
        <w:t xml:space="preserve">Flow-by</w:t>
      </w:r>
      <w:r>
        <w:t xml:space="preserve"> </w:t>
      </w:r>
      <w:r>
        <w:t xml:space="preserve">= 0.5 mgd</w:t>
      </w:r>
      <w:r>
        <w:t xml:space="preserve"> </w:t>
      </w:r>
      <w:r>
        <w:t xml:space="preserve"> </w:t>
      </w:r>
      <w:r>
        <w:t xml:space="preserve"> </w:t>
      </w:r>
    </w:p>
    <w:bookmarkStart w:id="25"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4"/>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5"/>
    <w:bookmarkEnd w:id="26"/>
    <w:bookmarkStart w:id="27"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The</w:t>
      </w:r>
      <w:r>
        <w:t xml:space="preserve"> </w:t>
      </w:r>
      <w:r>
        <w:t xml:space="preserve">“</w:t>
      </w:r>
      <w:r>
        <w:t xml:space="preserve">South Fork Powell River - Below Big Cherry Reservoir</w:t>
      </w:r>
      <w:r>
        <w:t xml:space="preserve">”</w:t>
      </w:r>
      <w:r>
        <w:t xml:space="preserve"> </w:t>
      </w:r>
      <w:r>
        <w:t xml:space="preserve">model segment is located just east of the town of Big Stone Gap in Wise County in southwest Virginia. The South Fork Powell River joins the Powell River downstream within the town of Big Stone Gap. This model segment has a drainage area of 8.2 square miles, and contains the intake structure which is located approximately 3 miles downstream of the Big Cherry Dam (The monitoring weir and discharge structure are also located within this same model segment, shortly downstream of the intake).</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5.54 square miles. The model simulates the stream below Big Cherry Dam including the withdrawal that supplies the Big Stone gap water treatment plant, down through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 Additional note: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ilvl w:val="0"/>
          <w:numId w:val="1004"/>
        </w:numPr>
      </w:pPr>
      <w:r>
        <w:rPr>
          <w:b/>
        </w:rPr>
        <w:t xml:space="preserve">Draft Alternative #1</w:t>
      </w:r>
      <w:r>
        <w:t xml:space="preserve"> </w:t>
      </w:r>
      <w:r>
        <w:t xml:space="preserve">(3.2 mgd &amp; 90% Flow-by) - The 90% Flow-by scenario is modeled with an annual withdrawal limit of 1168 mg/yr (3.2 mgd) and a flowby of 90%. This scenario is designed to simulate operations using the permit withdrawal limit, combined with the DWR standard guidance of the intake not withdrawing more than 10% instantaneous flow.</w:t>
      </w:r>
    </w:p>
    <w:p>
      <w:pPr>
        <w:numPr>
          <w:ilvl w:val="0"/>
          <w:numId w:val="1004"/>
        </w:numPr>
      </w:pPr>
      <w:r>
        <w:rPr>
          <w:b/>
        </w:rPr>
        <w:t xml:space="preserve">Draft Alternative #XX</w:t>
      </w:r>
      <w:r>
        <w:t xml:space="preserve"> </w:t>
      </w:r>
      <w:r>
        <w:t xml:space="preserve">(2.8 mgd Annual Limit &amp; 90% Flow-by) - This scenario is modeled with an annual withdrawal limit of 2.8 mg/yr (1022 mgd) and a flowby of 90%.</w:t>
      </w:r>
    </w:p>
    <w:p>
      <w:pPr>
        <w:numPr>
          <w:ilvl w:val="0"/>
          <w:numId w:val="1004"/>
        </w:numPr>
      </w:pPr>
      <w:r>
        <w:rPr>
          <w:b/>
        </w:rPr>
        <w:t xml:space="preserve">Draft Alternative #2</w:t>
      </w:r>
      <w:r>
        <w:t xml:space="preserve"> </w:t>
      </w:r>
      <w:r>
        <w:t xml:space="preserve">(3.2 mgd &amp; 40% Flow-by) - The 80% Flow-by scenario is modeled with an annual withdrawal limit of 1168 mg/yr (3.2 mgd) and a flowby of 80%. This scenario is designed to simulate operations using the permit withdrawal limit, combined with a flowby that ensures the intake does not withdraw more than 20% instantaneous flow.</w:t>
      </w:r>
    </w:p>
    <w:p>
      <w:pPr>
        <w:numPr>
          <w:ilvl w:val="0"/>
          <w:numId w:val="1004"/>
        </w:numPr>
      </w:pPr>
      <w:r>
        <w:rPr>
          <w:b/>
        </w:rPr>
        <w:t xml:space="preserve">Total Permitted w/ Point Source</w:t>
      </w:r>
      <w:r>
        <w:t xml:space="preserve"> </w:t>
      </w:r>
      <w:r>
        <w:t xml:space="preserve">(Total Permitted + Point Source) - This scenario is modeled with an annual withdrawal limit of 1168 mg/yr (3.2 mgd) and a static flowby of 0.5 mgd (as outlined in the permit). This scenario is designed to simulate total permitted operations as outlined in the permit, with the only addition being the consideration of net % change to flow after return flow from point source.</w:t>
      </w:r>
    </w:p>
    <w:p>
      <w:r>
        <w:br w:type="page"/>
      </w:r>
    </w:p>
    <w:bookmarkEnd w:id="27"/>
    <w:bookmarkStart w:id="28"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South Fork Powell River Intake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105.4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pPr>
        <w:pStyle w:val="Corpsdetexte"/>
      </w:pPr>
      <w:r>
        <w:t xml:space="preserve">NULL demand_url</w:t>
      </w:r>
    </w:p>
    <w:p>
      <w:r>
        <w:br w:type="page"/>
      </w:r>
    </w:p>
    <w:bookmarkEnd w:id="28"/>
    <w:bookmarkStart w:id="30"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5"/>
        </w:numPr>
      </w:pPr>
      <w:r>
        <w:rPr>
          <w:b/>
        </w:rPr>
        <w:t xml:space="preserve">Draft Alternative #1</w:t>
      </w:r>
      <w:r>
        <w:t xml:space="preserve"> </w:t>
      </w:r>
      <w:r>
        <w:t xml:space="preserve">- The full demand of 3.2 mgd can be met at nearly all times in the simulated period when combined with a 90% flowby (The maximum 30 day potential unmet demand is 0.00 mgd). This scenario results in a reduced number of days of remaining storage in the Big Cherry Reservoir during the simulated drought of record (13 days of remaining storage).</w:t>
      </w:r>
    </w:p>
    <w:p>
      <w:pPr>
        <w:numPr>
          <w:ilvl w:val="0"/>
          <w:numId w:val="1005"/>
        </w:numPr>
      </w:pPr>
      <w:r>
        <w:rPr>
          <w:b/>
        </w:rPr>
        <w:t xml:space="preserve">Draft Alternative #XX</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5"/>
        </w:numPr>
      </w:pPr>
      <w:r>
        <w:rPr>
          <w:b/>
        </w:rPr>
        <w:t xml:space="preserve">Draft Alternative #2</w:t>
      </w:r>
      <w:r>
        <w:t xml:space="preserve"> </w:t>
      </w:r>
      <w:r>
        <w:t xml:space="preserve">- The full demand of 3.2 mgd can be met at nearly all times in the simulated period when combined with an 80% flowby (The maximum 30 day potential unmet demand is 0.00 mgd). Compared to the 90% flowby, this scenario results in an increased number of days of remaining storage in the Big Cherry Reservoir during the simulated drought of record (72 days of remaining storage).</w:t>
      </w:r>
    </w:p>
    <w:p>
      <w:pPr>
        <w:numPr>
          <w:ilvl w:val="0"/>
          <w:numId w:val="1005"/>
        </w:numPr>
      </w:pPr>
      <w:r>
        <w:rPr>
          <w:b/>
        </w:rPr>
        <w:t xml:space="preserve">Total Permitted w/ Point Source</w:t>
      </w:r>
      <w:r>
        <w:t xml:space="preserve"> </w:t>
      </w:r>
      <w:r>
        <w:t xml:space="preserve">- This scenario is intended to be used as a point of comparison for the following alternatives which utilize a</w:t>
      </w:r>
      <w:r>
        <w:t xml:space="preserve"> </w:t>
      </w:r>
      <w:r>
        <w:t xml:space="preserve">“</w:t>
      </w:r>
      <w:r>
        <w:t xml:space="preserve">percent of flow</w:t>
      </w:r>
      <w:r>
        <w:t xml:space="preserve">”</w:t>
      </w:r>
      <w:r>
        <w:t xml:space="preserve"> </w:t>
      </w:r>
      <w:r>
        <w:t xml:space="preserve">style flowby. Due to the size of the demand in the existing permit relative to flows in the South Fork Powell River and due to the consideration of net % change to flow after return flow from point source, the full demand of 3.2 mgd can be met at all times in the simulated period when combined with the static 0.5 mgd flowby (The maximum 30 day potential unmet demand is 0.00 mgd). This scenario results in plenty of days of remaining storage in the Big Cherry Reservoir during the simulated drought of record (99 days of remaining storage).</w:t>
      </w:r>
    </w:p>
    <w:bookmarkStart w:id="29" w:name="conclusion"/>
    <w:p>
      <w:pPr>
        <w:pStyle w:val="Titre2"/>
      </w:pPr>
      <w:r>
        <w:t xml:space="preserve">Conclusion</w:t>
      </w:r>
    </w:p>
    <w:p>
      <w:pPr>
        <w:pStyle w:val="Normal"/>
      </w:pPr>
      <w:r>
        <w:t xml:space="preserve">Overall, remodeling to consider a net % change to flow (after the point source return flow) has improved the outlook across all scenarios examined, and supports moving towards a</w:t>
      </w:r>
      <w:r>
        <w:t xml:space="preserve"> </w:t>
      </w:r>
      <w:r>
        <w:t xml:space="preserve">“</w:t>
      </w:r>
      <w:r>
        <w:t xml:space="preserve">percent of flow</w:t>
      </w:r>
      <w:r>
        <w:t xml:space="preserve">”</w:t>
      </w:r>
      <w:r>
        <w:t xml:space="preserve"> </w:t>
      </w:r>
      <w:r>
        <w:t xml:space="preserve">flowby approach. When modeling as a net % change in flow, the reservoir is not chronically drawn down as was shown in previous model results.</w:t>
      </w:r>
    </w:p>
    <w:p>
      <w:pPr>
        <w:pStyle w:val="Corpsdetexte"/>
      </w:pPr>
      <w:r>
        <w:t xml:space="preserve">With the current permit operations and a limit of 3.2 mgd they likely wouldn’t be able to meet a 90% flowby and retain 60 days remaining storage in the reservoir during the drought of record. However a flowby closer to 80% would likely be effective at maintaining storage levels and ensuring they can sustainably meet demand during dry periods while still better preserving the natural flow regime over a static 0.5 mgd flowby approach. This project may also be able to get to a 90% flowby by reducing demands from 3.2 mgd to around 3.0 mgd, and/or by including drought triggers in the permit to help maintain storage levels in the reservoir during dry periods (this permit doesn’t currently have drought triggers in place). Additionally, this facility has emergency connections with neighboring towns which may be sufficient to maintain supply during times of extreme drought. Note that demand is projected to decline according to water supply plan.</w:t>
      </w:r>
    </w:p>
    <w:p>
      <w:r>
        <w:br w:type="page"/>
      </w:r>
    </w:p>
    <w:bookmarkEnd w:id="29"/>
    <w:bookmarkEnd w:id="30"/>
    <w:bookmarkStart w:id="33" w:name="cumulative-impact-analysis"/>
    <w:p>
      <w:pPr>
        <w:pStyle w:val="Titre1"/>
      </w:pPr>
      <w:r>
        <w:t xml:space="preserve">Cumulative Impact Analysis</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Estimates for richness change are also presented both as an absolute number of species (Richness Change (abs)) and as a percentage of the total number of species present (Richness Change (%)). Richness change calcualtions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31">
        <w:r>
          <w:rPr>
            <w:rStyle w:val="Lienhypertexte"/>
          </w:rPr>
          <w:t xml:space="preserve">https://onlinelibrary.wiley.com/doi/full/10.1111/1752-1688.12876</w:t>
        </w:r>
      </w:hyperlink>
      <w:r>
        <w:t xml:space="preserv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Start w:id="32"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3.2 mgd &amp; 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2.8 mgd Annual Limit &amp; 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3.2 mgd &amp; 40%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 Point Source</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Below Big Cherry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Below Big Cherry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Below Big Cherry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Below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3.48</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BIG STONE GAP WTP:Powell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BIG STONE GAP WTP:Powell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BIG STONE GAP WTP:Powell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BIG STONE GAP WTP:Powell River</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base_demand_mgy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1,167.19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1,167.19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unmet_demand_mgy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bl>
    <w:p>
      <w:pPr>
        <w:sectPr>
          <w:pgSz w:h="11906" w:w="16838" w:orient="landscape"/>
          <w:type w:val="oddPage"/>
          <w:cols/>
          <w:pgMar xmlns:w="http://schemas.openxmlformats.org/wordprocessingml/2006/main" w:header="0" w:bottom="720" w:top="720" w:right="1440" w:left="720" w:footer="0" w:gutter="720"/>
        </w:sectPr>
      </w:pPr>
    </w:p>
    <w:bookmarkEnd w:id="32"/>
    <w:bookmarkEnd w:id="33"/>
    <w:bookmarkStart w:id="34"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riverseg impoundment for run id 6011</w:t>
      </w:r>
      <w:r>
        <w:t xml:space="preserve">”</w:t>
      </w:r>
      <w:r>
        <w:t xml:space="preserve"> </w:t>
      </w:r>
      <w:r>
        <w:t xml:space="preserve">[1]</w:t>
      </w:r>
      <w:r>
        <w:t xml:space="preserve"> </w:t>
      </w:r>
      <w:r>
        <w:t xml:space="preserve">“</w:t>
      </w:r>
      <w:r>
        <w:t xml:space="preserve">No riverseg impoundment for run id 6012</w:t>
      </w:r>
      <w:r>
        <w:t xml:space="preserve">”</w:t>
      </w:r>
      <w:r>
        <w:t xml:space="preserve"> </w:t>
      </w:r>
      <w:r>
        <w:t xml:space="preserve">[1]</w:t>
      </w:r>
      <w:r>
        <w:t xml:space="preserve"> </w:t>
      </w:r>
      <w:r>
        <w:t xml:space="preserve">“</w:t>
      </w:r>
      <w:r>
        <w:t xml:space="preserve">No riverseg impoundment for run id 6013</w:t>
      </w:r>
      <w:r>
        <w:t xml:space="preserve">”</w:t>
      </w:r>
      <w:r>
        <w:t xml:space="preserve"> </w:t>
      </w:r>
      <w:r>
        <w:t xml:space="preserve">[1]</w:t>
      </w:r>
      <w:r>
        <w:t xml:space="preserve"> </w:t>
      </w:r>
      <w:r>
        <w:t xml:space="preserve">“</w:t>
      </w:r>
      <w:r>
        <w:t xml:space="preserve">No riverseg impoundment for run id 6014</w:t>
      </w:r>
      <w:r>
        <w:t xml:space="preserve">”</w:t>
      </w:r>
    </w:p>
    <w:p>
      <w:r>
        <w:br w:type="page"/>
      </w:r>
    </w:p>
    <w:bookmarkEnd w:id="34"/>
    <w:bookmarkStart w:id="51" w:name="unmet-demand-plots"/>
    <w:p>
      <w:pPr>
        <w:pStyle w:val="Titre1"/>
      </w:pPr>
      <w:r>
        <w:t xml:space="preserve">Unmet Demand Plots:</w:t>
      </w:r>
    </w:p>
    <w:p>
      <w:pPr>
        <w:pStyle w:val="Normal"/>
      </w:pPr>
      <w:r>
        <w:t xml:space="preserve">The following heatmaps depict the number of days with unmet demands for each month of the simulation (due to demands exceeding allowable withdrawal at the intake based on the cumulative conditions in the watershed and the flow-by rules in effect). Heatmaps also show the amount of unmet demand for each month [Unmet Days / Amount (mgd)]. Hydrographs are shown for the period of the simulation with greatest unmet demand.</w:t>
      </w:r>
    </w:p>
    <w:bookmarkStart w:id="36" w:name="heatmap-3.2-mgd-90-flow-by"/>
    <w:p>
      <w:pPr>
        <w:pStyle w:val="Titre2"/>
      </w:pPr>
      <w:r>
        <w:t xml:space="preserve">Heatmap: 3.2 mgd &amp; 90% Flow-by</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247415.6011.png" id="4" name="Picture"/>
                    <pic:cNvPicPr>
                      <a:picLocks noChangeArrowheads="1" noChangeAspect="1"/>
                    </pic:cNvPicPr>
                  </pic:nvPicPr>
                  <pic:blipFill>
                    <a:blip r:embed="rId35"/>
                    <a:stretch>
                      <a:fillRect/>
                    </a:stretch>
                  </pic:blipFill>
                  <pic:spPr bwMode="auto">
                    <a:xfrm>
                      <a:off x="0" y="0"/>
                      <a:ext cx="5969000" cy="3769894"/>
                    </a:xfrm>
                    <a:prstGeom prst="rect">
                      <a:avLst/>
                    </a:prstGeom>
                    <a:noFill/>
                    <a:ln w="9525">
                      <a:noFill/>
                      <a:headEnd/>
                      <a:tailEnd/>
                    </a:ln>
                  </pic:spPr>
                </pic:pic>
              </a:graphicData>
            </a:graphic>
          </wp:inline>
        </w:drawing>
      </w:r>
    </w:p>
    <w:bookmarkEnd w:id="36"/>
    <w:bookmarkStart w:id="38" w:name="hydrograph-3.2-mgd-90-flow-by"/>
    <w:p>
      <w:pPr>
        <w:pStyle w:val="Titre2"/>
      </w:pPr>
      <w:r>
        <w:t xml:space="preserve">Hydrograph: 3.2 mgd &amp; 90% Flow-by</w:t>
      </w:r>
    </w:p>
    <w:p>
      <w:pPr>
        <w:pStyle w:val="Normal"/>
      </w:pPr>
      <w:r>
        <w:drawing>
          <wp:inline>
            <wp:extent cx="5969000" cy="4050392"/>
            <wp:effectExtent b="0" l="0" r="0" t="0"/>
            <wp:docPr descr="" title="" id="5" name="Picture"/>
            <a:graphic>
              <a:graphicData uri="http://schemas.openxmlformats.org/drawingml/2006/picture">
                <pic:pic>
                  <pic:nvPicPr>
                    <pic:cNvPr descr="http://deq1.bse.vt.edu:81/data/proj3/out/fig.30daymax_unmet.247415.6011.png" id="6" name="Picture"/>
                    <pic:cNvPicPr>
                      <a:picLocks noChangeArrowheads="1" noChangeAspect="1"/>
                    </pic:cNvPicPr>
                  </pic:nvPicPr>
                  <pic:blipFill>
                    <a:blip r:embed="rId37"/>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3.2 mgd &amp; 90% Flow-by</w:t>
      </w:r>
      <w:r>
        <w:t xml:space="preserve">”</w:t>
      </w:r>
    </w:p>
    <w:p>
      <w:r>
        <w:br w:type="page"/>
      </w:r>
    </w:p>
    <w:bookmarkEnd w:id="38"/>
    <w:bookmarkStart w:id="40" w:name="heatmap-2.8-mgd-annual-limit-90-flow-by"/>
    <w:p>
      <w:pPr>
        <w:pStyle w:val="Titre2"/>
      </w:pPr>
      <w:r>
        <w:t xml:space="preserve">Heatmap: 2.8 mgd Annual Limit &amp; 90% Flow-by</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47415.6012.png" id="8" name="Picture"/>
                    <pic:cNvPicPr>
                      <a:picLocks noChangeArrowheads="1" noChangeAspect="1"/>
                    </pic:cNvPicPr>
                  </pic:nvPicPr>
                  <pic:blipFill>
                    <a:blip r:embed="rId39"/>
                    <a:stretch>
                      <a:fillRect/>
                    </a:stretch>
                  </pic:blipFill>
                  <pic:spPr bwMode="auto">
                    <a:xfrm>
                      <a:off x="0" y="0"/>
                      <a:ext cx="5969000" cy="3769894"/>
                    </a:xfrm>
                    <a:prstGeom prst="rect">
                      <a:avLst/>
                    </a:prstGeom>
                    <a:noFill/>
                    <a:ln w="9525">
                      <a:noFill/>
                      <a:headEnd/>
                      <a:tailEnd/>
                    </a:ln>
                  </pic:spPr>
                </pic:pic>
              </a:graphicData>
            </a:graphic>
          </wp:inline>
        </w:drawing>
      </w:r>
    </w:p>
    <w:bookmarkEnd w:id="40"/>
    <w:bookmarkStart w:id="42" w:name="Xf82fc949995103ceb2096171921f741c5553e1b"/>
    <w:p>
      <w:pPr>
        <w:pStyle w:val="Titre2"/>
      </w:pPr>
      <w:r>
        <w:t xml:space="preserve">Hydrograph: 2.8 mgd Annual Limit &amp; 90% Flow-by</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247415.6012.png" id="10" name="Picture"/>
                    <pic:cNvPicPr>
                      <a:picLocks noChangeArrowheads="1" noChangeAspect="1"/>
                    </pic:cNvPicPr>
                  </pic:nvPicPr>
                  <pic:blipFill>
                    <a:blip r:embed="rId41"/>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2.8 mgd Annual Limit &amp; 90% Flow-by</w:t>
      </w:r>
      <w:r>
        <w:t xml:space="preserve">”</w:t>
      </w:r>
    </w:p>
    <w:p>
      <w:r>
        <w:br w:type="page"/>
      </w:r>
    </w:p>
    <w:bookmarkEnd w:id="42"/>
    <w:bookmarkStart w:id="44" w:name="heatmap-3.2-mgd-40-flow-by"/>
    <w:p>
      <w:pPr>
        <w:pStyle w:val="Titre2"/>
      </w:pPr>
      <w:r>
        <w:t xml:space="preserve">Heatmap: 3.2 mgd &amp; 40% Flow-by</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6013.png" id="12" name="Picture"/>
                    <pic:cNvPicPr>
                      <a:picLocks noChangeArrowheads="1" noChangeAspect="1"/>
                    </pic:cNvPicPr>
                  </pic:nvPicPr>
                  <pic:blipFill>
                    <a:blip r:embed="rId43"/>
                    <a:stretch>
                      <a:fillRect/>
                    </a:stretch>
                  </pic:blipFill>
                  <pic:spPr bwMode="auto">
                    <a:xfrm>
                      <a:off x="0" y="0"/>
                      <a:ext cx="5969000" cy="3769894"/>
                    </a:xfrm>
                    <a:prstGeom prst="rect">
                      <a:avLst/>
                    </a:prstGeom>
                    <a:noFill/>
                    <a:ln w="9525">
                      <a:noFill/>
                      <a:headEnd/>
                      <a:tailEnd/>
                    </a:ln>
                  </pic:spPr>
                </pic:pic>
              </a:graphicData>
            </a:graphic>
          </wp:inline>
        </w:drawing>
      </w:r>
    </w:p>
    <w:bookmarkEnd w:id="44"/>
    <w:bookmarkStart w:id="46" w:name="hydrograph-3.2-mgd-40-flow-by"/>
    <w:p>
      <w:pPr>
        <w:pStyle w:val="Titre2"/>
      </w:pPr>
      <w:r>
        <w:t xml:space="preserve">Hydrograph: 3.2 mgd &amp; 40% Flow-by</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247415.6013.png" id="14" name="Picture"/>
                    <pic:cNvPicPr>
                      <a:picLocks noChangeArrowheads="1" noChangeAspect="1"/>
                    </pic:cNvPicPr>
                  </pic:nvPicPr>
                  <pic:blipFill>
                    <a:blip r:embed="rId45"/>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3.2 mgd &amp; 40% Flow-by</w:t>
      </w:r>
      <w:r>
        <w:t xml:space="preserve">”</w:t>
      </w:r>
    </w:p>
    <w:p>
      <w:r>
        <w:br w:type="page"/>
      </w:r>
    </w:p>
    <w:bookmarkEnd w:id="46"/>
    <w:bookmarkStart w:id="48" w:name="heatmap-total-permitted-point-source"/>
    <w:p>
      <w:pPr>
        <w:pStyle w:val="Titre2"/>
      </w:pPr>
      <w:r>
        <w:t xml:space="preserve">Heatmap: Total Permitted + Point Source</w:t>
      </w:r>
    </w:p>
    <w:p>
      <w:pPr>
        <w:pStyle w:val="Normal"/>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6014.png" id="16" name="Picture"/>
                    <pic:cNvPicPr>
                      <a:picLocks noChangeArrowheads="1" noChangeAspect="1"/>
                    </pic:cNvPicPr>
                  </pic:nvPicPr>
                  <pic:blipFill>
                    <a:blip r:embed="rId47"/>
                    <a:stretch>
                      <a:fillRect/>
                    </a:stretch>
                  </pic:blipFill>
                  <pic:spPr bwMode="auto">
                    <a:xfrm>
                      <a:off x="0" y="0"/>
                      <a:ext cx="5969000" cy="3769894"/>
                    </a:xfrm>
                    <a:prstGeom prst="rect">
                      <a:avLst/>
                    </a:prstGeom>
                    <a:noFill/>
                    <a:ln w="9525">
                      <a:noFill/>
                      <a:headEnd/>
                      <a:tailEnd/>
                    </a:ln>
                  </pic:spPr>
                </pic:pic>
              </a:graphicData>
            </a:graphic>
          </wp:inline>
        </w:drawing>
      </w:r>
    </w:p>
    <w:bookmarkEnd w:id="48"/>
    <w:bookmarkStart w:id="50" w:name="hydrograph-total-permitted-point-source"/>
    <w:p>
      <w:pPr>
        <w:pStyle w:val="Titre2"/>
      </w:pPr>
      <w:r>
        <w:t xml:space="preserve">Hydrograph: Total Permitted + Point Source</w:t>
      </w:r>
    </w:p>
    <w:p>
      <w:pPr>
        <w:pStyle w:val="Normal"/>
      </w:pPr>
      <w:r>
        <w:drawing>
          <wp:inline>
            <wp:extent cx="5969000" cy="4050392"/>
            <wp:effectExtent b="0" l="0" r="0" t="0"/>
            <wp:docPr descr="" title="" id="17" name="Picture"/>
            <a:graphic>
              <a:graphicData uri="http://schemas.openxmlformats.org/drawingml/2006/picture">
                <pic:pic>
                  <pic:nvPicPr>
                    <pic:cNvPr descr="http://deq1.bse.vt.edu:81/data/proj3/out/fig.30daymax_unmet.247415.6014.png" id="18" name="Picture"/>
                    <pic:cNvPicPr>
                      <a:picLocks noChangeArrowheads="1" noChangeAspect="1"/>
                    </pic:cNvPicPr>
                  </pic:nvPicPr>
                  <pic:blipFill>
                    <a:blip r:embed="rId49"/>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 Point Source</w:t>
      </w:r>
      <w:r>
        <w:t xml:space="preserve">”</w:t>
      </w:r>
    </w:p>
    <w:p>
      <w:r>
        <w:br w:type="page"/>
      </w:r>
    </w:p>
    <w:p>
      <w:r>
        <w:br w:type="page"/>
      </w:r>
    </w:p>
    <w:bookmarkEnd w:id="50"/>
    <w:bookmarkEnd w:id="51"/>
    <w:bookmarkStart w:id="55" w:name="ecological-impacts-assessment"/>
    <w:p>
      <w:pPr>
        <w:pStyle w:val="Titre1"/>
      </w:pPr>
      <w:r>
        <w:t xml:space="preserve">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In order to calculate river segment-level richness change, elfgen is first used to produce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6.1. Stats Comparison Table are derived from this flow-ecology relation.</w:t>
      </w:r>
    </w:p>
    <w:p>
      <w:pPr>
        <w:pStyle w:val="Corpsdetexte"/>
      </w:pPr>
      <w:r>
        <w:drawing>
          <wp:inline>
            <wp:extent cx="5969000" cy="4689928"/>
            <wp:effectExtent b="0" l="0" r="0" t="0"/>
            <wp:docPr descr="" title="" id="19" name="Picture"/>
            <a:graphic>
              <a:graphicData uri="http://schemas.openxmlformats.org/drawingml/2006/picture">
                <pic:pic>
                  <pic:nvPicPr>
                    <pic:cNvPr descr="http://deq1.bse.vt.edu:81/data/proj3/out/fig.elfgen.6556882.png" id="20"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bookmarkEnd w:id="53"/>
    <w:bookmarkStart w:id="54" w:name="habitat-if-applicable"/>
    <w:p>
      <w:pPr>
        <w:pStyle w:val="Titre2"/>
      </w:pPr>
      <w:r>
        <w:t xml:space="preserve">Habitat (If Applicable):</w:t>
      </w:r>
    </w:p>
    <w:bookmarkEnd w:id="54"/>
    <w:bookmarkEnd w:id="55"/>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7" Type="http://schemas.openxmlformats.org/officeDocument/2006/relationships/image" Target="media/rId37.png"/>
<Relationship Id="rId41" Type="http://schemas.openxmlformats.org/officeDocument/2006/relationships/image" Target="media/rId41.png"/>
<Relationship Id="rId45" Type="http://schemas.openxmlformats.org/officeDocument/2006/relationships/image" Target="media/rId45.png"/>
<Relationship Id="rId49" Type="http://schemas.openxmlformats.org/officeDocument/2006/relationships/image" Target="media/rId49.png"/>
<Relationship Id="rId52" Type="http://schemas.openxmlformats.org/officeDocument/2006/relationships/image" Target="media/rId52.png"/>
<Relationship Id="rId24" Type="http://schemas.openxmlformats.org/officeDocument/2006/relationships/image" Target="media/rId24.png"/>
<Relationship Id="rId35" Type="http://schemas.openxmlformats.org/officeDocument/2006/relationships/image" Target="media/rId35.png"/>
<Relationship Id="rId39" Type="http://schemas.openxmlformats.org/officeDocument/2006/relationships/image" Target="media/rId39.png"/>
<Relationship Id="rId43" Type="http://schemas.openxmlformats.org/officeDocument/2006/relationships/image" Target="media/rId43.png"/>
<Relationship Id="rId47" Type="http://schemas.openxmlformats.org/officeDocument/2006/relationships/image" Target="media/rId47.png"/>
<Relationship Id="rId31"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31"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2021-09-13T18:22:38Z</dcterms:created>
  <dcterms:modified xsi:type="dcterms:W3CDTF">2021-09-13T14:22:43Z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09/13/2021</vt:lpwstr>
  </property>
  <property fmtid="{D5CDD505-2E9C-101B-9397-08002B2CF9AE}" pid="3" name="output">
    <vt:lpwstr/>
  </property>
  <property fmtid="{D5CDD505-2E9C-101B-9397-08002B2CF9AE}" pid="4" name="params">
    <vt:lpwstr/>
  </property>
</Properties>
</file>