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4.png" ContentType="image/png"/>
  <Override PartName="/word/media/rId50.png" ContentType="image/png"/>
  <Override PartName="/word/media/rId40.png" ContentType="image/png"/>
  <Override PartName="/word/media/rId46.png" ContentType="image/png"/>
  <Override PartName="/word/media/rId52.png" ContentType="image/png"/>
  <Override PartName="/word/media/rId27.png" ContentType="image/png"/>
  <Override PartName="/word/media/rId36.png" ContentType="image/png"/>
  <Override PartName="/word/media/rId42.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09/13/2021</w:t>
      </w:r>
    </w:p>
    <w:bookmarkStart w:id="23"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21" w:name="Xf0763edeaba3531f9a3b47309baa01f3df416e6"/>
    <w:p>
      <w:pPr>
        <w:pStyle w:val="Titre3"/>
      </w:pPr>
      <w:r>
        <w:t xml:space="preserve">Glossary of Cumulative Impact Modeling Terms</w:t>
      </w:r>
    </w:p>
    <w:p>
      <w:pPr>
        <w:numPr>
          <w:ilvl w:val="0"/>
          <w:numId w:val="1001"/>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r>
        <w:br w:type="page"/>
      </w:r>
    </w:p>
    <w:bookmarkEnd w:id="21"/>
    <w:bookmarkEnd w:id="22"/>
    <w:bookmarkEnd w:id="23"/>
    <w:bookmarkStart w:id="25"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2"/>
        </w:numPr>
        <w:pStyle w:val="Compact"/>
      </w:pPr>
      <w:r>
        <w:rPr>
          <w:b/>
        </w:rPr>
        <w:t xml:space="preserve">Annual Withdrawal Limit</w:t>
      </w:r>
      <w:r>
        <w:t xml:space="preserve"> </w:t>
      </w:r>
      <w:r>
        <w:t xml:space="preserve">= 1168 mg/yr (3.2 mgd)</w:t>
      </w:r>
    </w:p>
    <w:p>
      <w:pPr>
        <w:numPr>
          <w:ilvl w:val="1"/>
          <w:numId w:val="1003"/>
        </w:numPr>
        <w:pStyle w:val="Compact"/>
      </w:pPr>
      <w:r>
        <w:t xml:space="preserve">(historically they withdraw ~2 mgd on average)</w:t>
      </w:r>
    </w:p>
    <w:p>
      <w:pPr>
        <w:numPr>
          <w:ilvl w:val="0"/>
          <w:numId w:val="1002"/>
        </w:numPr>
        <w:pStyle w:val="Compact"/>
      </w:pPr>
      <w:r>
        <w:rPr>
          <w:b/>
        </w:rPr>
        <w:t xml:space="preserve">Daily Withdrawal Limit</w:t>
      </w:r>
      <w:r>
        <w:t xml:space="preserve"> </w:t>
      </w:r>
      <w:r>
        <w:t xml:space="preserve">= 4 mgd</w:t>
      </w:r>
    </w:p>
    <w:p>
      <w:pPr>
        <w:numPr>
          <w:ilvl w:val="0"/>
          <w:numId w:val="1002"/>
        </w:numPr>
        <w:pStyle w:val="Compact"/>
      </w:pPr>
      <w:r>
        <w:rPr>
          <w:b/>
        </w:rPr>
        <w:t xml:space="preserve">Flow-by</w:t>
      </w:r>
      <w:r>
        <w:t xml:space="preserve"> </w:t>
      </w:r>
      <w:r>
        <w:t xml:space="preserve">= 0.5 mgd</w:t>
      </w:r>
      <w:r>
        <w:t xml:space="preserve"> </w:t>
      </w:r>
      <w:r>
        <w:t xml:space="preserve"> </w:t>
      </w:r>
      <w:r>
        <w:t xml:space="preserve"> </w:t>
      </w:r>
    </w:p>
    <w:bookmarkStart w:id="24" w:name="location-map"/>
    <w:p>
      <w:pPr>
        <w:pStyle w:val="Titre2"/>
      </w:pPr>
      <w:r>
        <w:t xml:space="preserve">Location Map</w:t>
      </w:r>
    </w:p>
    <w:p>
      <w:pPr>
        <w:pStyle w:val="Normal"/>
      </w:pPr>
      <w:r>
        <w:rPr>
          <w:i/>
        </w:rPr>
        <w:t xml:space="preserve">No location map available for this facility model</w:t>
      </w:r>
    </w:p>
    <w:p>
      <w:r>
        <w:br w:type="page"/>
      </w:r>
    </w:p>
    <w:bookmarkEnd w:id="24"/>
    <w:bookmarkEnd w:id="25"/>
    <w:bookmarkStart w:id="26"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Crooked Run is a tributary that joins the Shenandoah River just south of Front Royal VA. The area of Crooked Run above it’s confluence with the Shenandoah River in this model is 47.0 square miles.</w:t>
      </w:r>
    </w:p>
    <w:p>
      <w:pPr>
        <w:pStyle w:val="Corpsdetexte"/>
      </w:pPr>
      <w:r>
        <w:rPr>
          <w:b/>
        </w:rPr>
        <w:t xml:space="preserve">Facility &amp; Intake Model Description</w:t>
      </w:r>
      <w:r>
        <w:t xml:space="preserve"> </w:t>
      </w:r>
      <w:r>
        <w:t xml:space="preserve">The Blue Ridge Shadows golf course is modeled as a pump-store facility with a local impoundment having no direct drainage area, and an intake on Crooked Run to refill when water is available. The impoundment is estimated to have a maximum storage of 21.84 acre-feet. Modeled demand is calculated by taking the requested annual maximum demand and scaling it according the to historical monthly use patterns for the intake. The previous permit featured a static MIF below which no pumping was possible. Model scenarios were selected in order to explore</w:t>
      </w:r>
      <w:r>
        <w:t xml:space="preserve"> </w:t>
      </w:r>
      <w:r>
        <w:t xml:space="preserve">“</w:t>
      </w:r>
      <w:r>
        <w:t xml:space="preserve">percent of flow</w:t>
      </w:r>
      <w:r>
        <w:t xml:space="preserve">”</w:t>
      </w:r>
      <w:r>
        <w:t xml:space="preserve"> </w:t>
      </w:r>
      <w:r>
        <w:t xml:space="preserve">type withdrawal limits in order to mimic natural flows, and also provide operational flexibility. Flow at the Crooked Run intake is simulated through the use of a rainfall-runoff model, with explicit simulation of the land-use above the intake. This differs from some historical models that would have used a USGS gage flow record from a nearby gage to simulate flows at the intake. By using the rainfall-runoff simulation at a point very close to the actual intake, modeled low-flows can be improved due to consideration of specific catchment area, land use, and other upstream withdrawals. As a result, this permit-max simulation may have lower available water because it reflects current demands with historical meteorology in a smaller watershed. Because of practical considerations of permit operation, a surrogate gage may still be employed, and that gage may have higher base flows than Crooked Creek at this intake, therefore, permit rules should attempt to account for that possibility.</w:t>
      </w:r>
    </w:p>
    <w:p>
      <w:pPr>
        <w:pStyle w:val="Corpsdetexte"/>
      </w:pPr>
      <w:r>
        <w:t xml:space="preserve">The following model scenarios were simulated in order to determine the most effective means of meeting the project need and all other in-stream beneficial uses:</w:t>
      </w:r>
    </w:p>
    <w:p>
      <w:pPr>
        <w:numPr>
          <w:ilvl w:val="0"/>
          <w:numId w:val="1004"/>
        </w:numPr>
      </w:pPr>
      <w:r>
        <w:rPr>
          <w:b/>
        </w:rPr>
        <w:t xml:space="preserve">Existing permit conditions</w:t>
      </w:r>
      <w:r>
        <w:t xml:space="preserve"> </w:t>
      </w:r>
      <w:r>
        <w:t xml:space="preserve">(Current Permit (15.4 MGY))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4"/>
        </w:numPr>
      </w:pPr>
      <w:r>
        <w:rPr>
          <w:b/>
        </w:rPr>
        <w:t xml:space="preserve">Existing permit conditions</w:t>
      </w:r>
      <w:r>
        <w:t xml:space="preserve"> </w:t>
      </w:r>
      <w:r>
        <w:t xml:space="preserve">(Current Permit (w/36.37MGY)) - The existing permit scenario has a static minimum instream flow of 4.13 cfs, which means that all withdrawal must cease from Crooked Run when flow drops below 4.13 cfs. This MIF is based on flows in Opequon Creek near Berryville, since the alternative gage, Opequon Creek at Stephens City is no longer in service. Flowby value at the intake is area-weighted as 3.7 cfs = 9.4 * 22.9 / 58.2, since 9.4 cfs is flowby at Berryville gage, with Drainage area 58.2 square miles, and the Crooked Creek model intake is 22.9 square miles.</w:t>
      </w:r>
    </w:p>
    <w:p>
      <w:pPr>
        <w:numPr>
          <w:ilvl w:val="0"/>
          <w:numId w:val="1004"/>
        </w:numPr>
      </w:pPr>
      <w:r>
        <w:rPr>
          <w:b/>
        </w:rPr>
        <w:t xml:space="preserve">Proposed permit conditions with 90% flowby</w:t>
      </w:r>
      <w:r>
        <w:t xml:space="preserve"> </w:t>
      </w:r>
      <w:r>
        <w:t xml:space="preserve">(90% Flow-by (w/36.37MGY)) - The 90% flow-by scenario limits the daily withdrawal from Crooked Run to no more than 10% of the flow in the stream, based on the previous days simulated flow.</w:t>
      </w:r>
    </w:p>
    <w:p>
      <w:r>
        <w:br w:type="page"/>
      </w:r>
    </w:p>
    <w:bookmarkEnd w:id="26"/>
    <w:bookmarkStart w:id="29" w:name="X2a107ed99cb2b247aedabdf1b3de3d5bb1602a7"/>
    <w:p>
      <w:pPr>
        <w:pStyle w:val="Titre1"/>
      </w:pPr>
      <w:r>
        <w:t xml:space="preserve">Intake Site Description &amp; Current Estimated Stream Flows</w:t>
      </w:r>
    </w:p>
    <w:p>
      <w:pPr>
        <w:pStyle w:val="Normal"/>
      </w:pPr>
      <w:r>
        <w:rPr>
          <w:b/>
        </w:rPr>
        <w:t xml:space="preserve">Table 1:</w:t>
      </w:r>
      <w:r>
        <w:t xml:space="preserve"> </w:t>
      </w:r>
      <w:r>
        <w:t xml:space="preserve">Modeled monthly current flow statistics for Blue Ridge Shadows at Crooked Run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4.7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w:t>
            </w:r>
          </w:p>
        </w:tc>
      </w:tr>
    </w:tbl>
    <w:bookmarkStart w:id="28" w:name="X76a3a2345365adbe7b785dee4fe8dc6d7cee088"/>
    <w:p>
      <w:pPr>
        <w:pStyle w:val="Titre2"/>
      </w:pPr>
      <w:r>
        <w:t xml:space="preserve">Facility Base Demand Before Conservation: 90% Flow-by (w/36.37MGY)</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351628.2.png" id="2" name="Picture"/>
                    <pic:cNvPicPr>
                      <a:picLocks noChangeArrowheads="1" noChangeAspect="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31"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5"/>
        </w:numPr>
        <w:pStyle w:val="Compact"/>
      </w:pPr>
      <w:r>
        <w:rPr>
          <w:b/>
        </w:rPr>
        <w:t xml:space="preserve">Existing permit conditions</w:t>
      </w:r>
      <w:r>
        <w:t xml:space="preserve"> </w:t>
      </w:r>
      <w:r>
        <w:t xml:space="preserve">- The static minimum instream flow in this scenario results in reduced water availability during 5 out of 30 years of the long-term simulation. During 4 years out of the 30 years simulated, pond storage is totally depleted and pumping from Crooked run is reduced below the modeled need for periods in excess of 1 month. For example, during summer 1991, average flow in Crooked Run drops below 4 cfs for over 4 months, coinciding with the period of greatest demand for this facility. Modeled pond storage dropped below 50% in 19 out of 30 years simulated. However, by employing a static MIF in this scenario, instream flows in Crooked Run are maximized under drought conditions.</w:t>
      </w:r>
    </w:p>
    <w:p>
      <w:pPr>
        <w:numPr>
          <w:ilvl w:val="0"/>
          <w:numId w:val="1005"/>
        </w:numPr>
        <w:pStyle w:val="Compact"/>
      </w:pPr>
      <w:r>
        <w:rPr>
          <w:b/>
        </w:rPr>
        <w:t xml:space="preserve">Existing permit conditions</w:t>
      </w:r>
      <w:r>
        <w:t xml:space="preserve"> </w:t>
      </w:r>
      <w:r>
        <w:t xml:space="preserve">- The static minimum instream flowby coupled with the drought year demand in the JPA of 36.37 results in reduced water availability during 28 out of 30 years of the long-term simulation. Modeled pond storage dropped below 50% in 28 out of 30 years simulated. During 27 years out of the 30 years simulated, pond storage is totally depleted and pumping from Crooked run is reduced below the modeled need for periods in excess of 1 month.</w:t>
      </w:r>
      <w:r>
        <w:br/>
      </w:r>
    </w:p>
    <w:p>
      <w:pPr>
        <w:numPr>
          <w:ilvl w:val="0"/>
          <w:numId w:val="1005"/>
        </w:numPr>
        <w:pStyle w:val="Compact"/>
      </w:pPr>
      <w:r>
        <w:rPr>
          <w:b/>
        </w:rPr>
        <w:t xml:space="preserve">Proposed permit conditions with 90% flowby</w:t>
      </w:r>
      <w:r>
        <w:t xml:space="preserve"> </w:t>
      </w:r>
      <w:r>
        <w:t xml:space="preserve">- The 90% flow-by scenario results in more flexibility to pump under extremely dry conditions, as compared to the current static MIF permit condition. As a result, the operation is able to meet off-stream need during all simulated periods, with pond drawdown below 50% occuring 5 times in the 30 year simulation.</w:t>
      </w:r>
    </w:p>
    <w:bookmarkStart w:id="30" w:name="conclusion"/>
    <w:p>
      <w:pPr>
        <w:pStyle w:val="Titre2"/>
      </w:pPr>
      <w:r>
        <w:t xml:space="preserve">Conclusion</w:t>
      </w:r>
    </w:p>
    <w:p>
      <w:pPr>
        <w:pStyle w:val="Normal"/>
      </w:pPr>
      <w:r>
        <w:t xml:space="preserve">Overall, remodeling to consider a net % change to flow (after the point source return flow) has improved the outlook across all scenarios examined, and supports moving towards a</w:t>
      </w:r>
      <w:r>
        <w:t xml:space="preserve"> </w:t>
      </w:r>
      <w:r>
        <w:t xml:space="preserve">“</w:t>
      </w:r>
      <w:r>
        <w:t xml:space="preserve">percent of flow</w:t>
      </w:r>
      <w:r>
        <w:t xml:space="preserve">”</w:t>
      </w:r>
      <w:r>
        <w:t xml:space="preserve"> </w:t>
      </w:r>
      <w:r>
        <w:t xml:space="preserve">flowby approach. When modeling as a net % change in flow, the reservoir is not chronically drawn down as was shown in previous model results.</w:t>
      </w:r>
    </w:p>
    <w:p>
      <w:pPr>
        <w:pStyle w:val="Corpsdetexte"/>
      </w:pPr>
      <w:r>
        <w:t xml:space="preserve">With the current permit operations and a limit of 3.2 mgd they likely wouldn’t be able to meet a 90% flowby and retain 60 days remaining storage in the reservoir during the drought of record. However a flowby closer to 80% would likely be effective at maintaining storage levels and ensuring they can sustainably meet demand during dry periods while still better preserving the natural flow regime over a static 0.5 mgd flowby approach. This project may also be able to get to a 90% flowby by reducing demands from 3.2 mgd to around 3.0 mgd, and/or by including drought triggers in the permit to help maintain storage levels in the reservoir during dry periods (this permit doesn’t currently have drought triggers in place). Additionally, this facility has emergency connections with neighboring towns which may be sufficient to maintain supply during times of extreme drought. Note that demand is projected to decline according to water supply plan.</w:t>
      </w:r>
    </w:p>
    <w:p>
      <w:r>
        <w:br w:type="page"/>
      </w:r>
    </w:p>
    <w:bookmarkEnd w:id="30"/>
    <w:bookmarkEnd w:id="31"/>
    <w:bookmarkStart w:id="34" w:name="cumulative-impact-analysis"/>
    <w:p>
      <w:pPr>
        <w:pStyle w:val="Titre1"/>
      </w:pPr>
      <w:r>
        <w:t xml:space="preserve">Cumulative Impact Analysis</w:t>
      </w:r>
    </w:p>
    <w:p>
      <w:pPr>
        <w:pStyle w:val="Normal"/>
      </w:pPr>
      <w:r>
        <w:t xml:space="preserve">This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percent total consumptive use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Estimates for richness change are also presented both as an absolute number of species (Richness Change (abs)) and as a percentage of the total number of species present (Richness Change (%)). Richness change calcualtions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32">
        <w:r>
          <w:rPr>
            <w:rStyle w:val="Lienhypertexte"/>
          </w:rPr>
          <w:t xml:space="preserve">https://onlinelibrary.wiley.com/doi/full/10.1111/1752-1688.12876</w:t>
        </w:r>
      </w:hyperlink>
      <w:r>
        <w:t xml:space="preserv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Start w:id="33"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(15.4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 (w/36.37MGY)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 (w/36.37MGY)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Crooked Run</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0.72</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Shadows Golf Club:Shenandoah River</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base_demand_mgy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unmet_demand_mgy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bl>
    <w:p>
      <w:pPr>
        <w:sectPr>
          <w:pgSz w:h="11906" w:w="16838" w:orient="landscape"/>
          <w:type w:val="oddPage"/>
          <w:cols/>
          <w:pgMar xmlns:w="http://schemas.openxmlformats.org/wordprocessingml/2006/main" w:header="0" w:bottom="720" w:top="720" w:right="1440" w:left="720" w:footer="0" w:gutter="720"/>
        </w:sectPr>
      </w:pPr>
    </w:p>
    <w:bookmarkEnd w:id="33"/>
    <w:bookmarkEnd w:id="34"/>
    <w:bookmarkStart w:id="35"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riverseg impoundment for run id 4</w:t>
      </w:r>
      <w:r>
        <w:t xml:space="preserve">”</w:t>
      </w:r>
      <w:r>
        <w:t xml:space="preserve"> </w:t>
      </w:r>
      <w:r>
        <w:t xml:space="preserve">[1]</w:t>
      </w:r>
      <w:r>
        <w:t xml:space="preserve"> </w:t>
      </w:r>
      <w:r>
        <w:t xml:space="preserve">“</w:t>
      </w:r>
      <w:r>
        <w:t xml:space="preserve">No riverseg impoundment for run id 400</w:t>
      </w:r>
      <w:r>
        <w:t xml:space="preserve">”</w:t>
      </w:r>
      <w:r>
        <w:t xml:space="preserve"> </w:t>
      </w:r>
      <w:r>
        <w:t xml:space="preserve">[1]</w:t>
      </w:r>
      <w:r>
        <w:t xml:space="preserve"> </w:t>
      </w:r>
      <w:r>
        <w:t xml:space="preserve">“</w:t>
      </w:r>
      <w:r>
        <w:t xml:space="preserve">No riverseg impoundment for run id 600</w:t>
      </w:r>
      <w:r>
        <w:t xml:space="preserve">”</w:t>
      </w:r>
    </w:p>
    <w:p>
      <w:r>
        <w:br w:type="page"/>
      </w:r>
    </w:p>
    <w:bookmarkEnd w:id="35"/>
    <w:bookmarkStart w:id="54" w:name="unmet-demand-plots"/>
    <w:p>
      <w:pPr>
        <w:pStyle w:val="Titre1"/>
      </w:pPr>
      <w:r>
        <w:t xml:space="preserve">Unmet Demand Plots:</w:t>
      </w:r>
    </w:p>
    <w:p>
      <w:pPr>
        <w:pStyle w:val="Normal"/>
      </w:pPr>
      <w:r>
        <w:t xml:space="preserve">The following heatmaps depict the number of days with unmet demands for each month of the simulation (due to demands exceeding allowable withdrawal at the intake based on the cumulative conditions in the watershed and the flow-by rules in effect). Heatmaps also show the amount of unmet demand for each month [Unmet Days / Amount (mgd)]. Hydrographs are shown for the period of the simulation with greatest unmet demand.</w:t>
      </w:r>
    </w:p>
    <w:bookmarkStart w:id="37" w:name="heatmap-current-permit-15.4-mgy"/>
    <w:p>
      <w:pPr>
        <w:pStyle w:val="Titre2"/>
      </w:pPr>
      <w:r>
        <w:t xml:space="preserve">Heatmap: Current Permit (15.4 MGY)</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51628.4.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permit-15.4-mgy"/>
    <w:p>
      <w:pPr>
        <w:pStyle w:val="Titre2"/>
      </w:pPr>
      <w:r>
        <w:t xml:space="preserve">Hydrograph: Current Permit (15.4 MGY)</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51628.4.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p>
    <w:bookmarkEnd w:id="39"/>
    <w:bookmarkStart w:id="41" w:name="X69c28d1593ecb8084fa914f5e17501cab02ae37"/>
    <w:p>
      <w:pPr>
        <w:pStyle w:val="Titre2"/>
      </w:pPr>
      <w:r>
        <w:t xml:space="preserve">Reservoir Storage: Current Permit (15.4 MGY)</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imp_storage.all.351628.4.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41"/>
    <w:bookmarkStart w:id="43" w:name="heatmap-current-permit-w36.37mgy"/>
    <w:p>
      <w:pPr>
        <w:pStyle w:val="Titre2"/>
      </w:pPr>
      <w:r>
        <w:t xml:space="preserve">Heatmap: Current Permit (w/36.37MGY)</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51628.400.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current-permit-w36.37mgy"/>
    <w:p>
      <w:pPr>
        <w:pStyle w:val="Titre2"/>
      </w:pPr>
      <w:r>
        <w:t xml:space="preserve">Hydrograph: Current Permit (w/36.37MGY)</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51628.400.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p>
    <w:bookmarkEnd w:id="45"/>
    <w:bookmarkStart w:id="47" w:name="Xee5ce8221cced1ac35b98fdcb417010431573c6"/>
    <w:p>
      <w:pPr>
        <w:pStyle w:val="Titre2"/>
      </w:pPr>
      <w:r>
        <w:t xml:space="preserve">Reservoir Storage: Current Permit (w/36.37MGY)</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imp_storage.all.351628.400.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47"/>
    <w:bookmarkStart w:id="49" w:name="heatmap-90-flow-by-w36.37mgy"/>
    <w:p>
      <w:pPr>
        <w:pStyle w:val="Titre2"/>
      </w:pPr>
      <w:r>
        <w:t xml:space="preserve">Heatmap: 90% Flow-by (w/36.37MGY)</w:t>
      </w:r>
    </w:p>
    <w:p>
      <w:pPr>
        <w:pStyle w:val="Normal"/>
      </w:pPr>
      <w:r>
        <w:drawing>
          <wp:inline>
            <wp:extent cx="5969000" cy="3769894"/>
            <wp:effectExtent b="0" l="0" r="0" t="0"/>
            <wp:docPr descr="" title="" id="15" name="Picture"/>
            <a:graphic>
              <a:graphicData uri="http://schemas.openxmlformats.org/drawingml/2006/picture">
                <pic:pic>
                  <pic:nvPicPr>
                    <pic:cNvPr descr="http://deq1.bse.vt.edu:81/data/proj3/out/fig.unmet_heatmap_amt.351628.600.png" id="16" name="Picture"/>
                    <pic:cNvPicPr>
                      <a:picLocks noChangeArrowheads="1" noChangeAspect="1"/>
                    </pic:cNvPicPr>
                  </pic:nvPicPr>
                  <pic:blipFill>
                    <a:blip r:embed="rId48"/>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1" w:name="hydrograph-90-flow-by-w36.37mgy"/>
    <w:p>
      <w:pPr>
        <w:pStyle w:val="Titre2"/>
      </w:pPr>
      <w:r>
        <w:t xml:space="preserve">Hydrograph: 90% Flow-by (w/36.37MGY)</w:t>
      </w:r>
    </w:p>
    <w:p>
      <w:pPr>
        <w:pStyle w:val="Normal"/>
      </w:pPr>
      <w:r>
        <w:drawing>
          <wp:inline>
            <wp:extent cx="5969000" cy="5969000"/>
            <wp:effectExtent b="0" l="0" r="0" t="0"/>
            <wp:docPr descr="" title="" id="17" name="Picture"/>
            <a:graphic>
              <a:graphicData uri="http://schemas.openxmlformats.org/drawingml/2006/picture">
                <pic:pic>
                  <pic:nvPicPr>
                    <pic:cNvPr descr="http://deq1.bse.vt.edu:81/data/proj3/out/fig.30daymax_unmet.351628.600.png" id="18"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p>
    <w:bookmarkEnd w:id="51"/>
    <w:bookmarkStart w:id="53" w:name="reservoir-storage-90-flow-by-w36.37mgy"/>
    <w:p>
      <w:pPr>
        <w:pStyle w:val="Titre2"/>
      </w:pPr>
      <w:r>
        <w:t xml:space="preserve">Reservoir Storage: 90% Flow-by (w/36.37MGY)</w:t>
      </w:r>
    </w:p>
    <w:p>
      <w:pPr>
        <w:pStyle w:val="Normal"/>
      </w:pPr>
      <w:r>
        <w:drawing>
          <wp:inline>
            <wp:extent cx="5969000" cy="5969000"/>
            <wp:effectExtent b="0" l="0" r="0" t="0"/>
            <wp:docPr descr="" title="" id="19" name="Picture"/>
            <a:graphic>
              <a:graphicData uri="http://schemas.openxmlformats.org/drawingml/2006/picture">
                <pic:pic>
                  <pic:nvPicPr>
                    <pic:cNvPr descr="http://deq1.bse.vt.edu:81/data/proj3/out/fig.imp_storage.all.351628.600.png" id="20" name="Picture"/>
                    <pic:cNvPicPr>
                      <a:picLocks noChangeArrowheads="1" noChangeAspect="1"/>
                    </pic:cNvPicPr>
                  </pic:nvPicPr>
                  <pic:blipFill>
                    <a:blip r:embed="rId5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53"/>
    <w:bookmarkEnd w:id="54"/>
    <w:bookmarkStart w:id="57" w:name="ecological-impacts-assessment"/>
    <w:p>
      <w:pPr>
        <w:pStyle w:val="Titre1"/>
      </w:pPr>
      <w:r>
        <w:t xml:space="preserve">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In order to calculate river segment-level richness change, elfgen is first used to produce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6.1. Stats Comparison Table are derived from this flow-ecology relation.</w:t>
      </w:r>
    </w:p>
    <w:p>
      <w:pPr>
        <w:pStyle w:val="Corpsdetexte"/>
      </w:pPr>
      <w:r>
        <w:rPr>
          <w:i/>
        </w:rPr>
        <w:t xml:space="preserve">No elfgen plot available for this model</w:t>
      </w:r>
    </w:p>
    <w:bookmarkEnd w:id="55"/>
    <w:bookmarkStart w:id="56" w:name="habitat-if-applicable"/>
    <w:p>
      <w:pPr>
        <w:pStyle w:val="Titre2"/>
      </w:pPr>
      <w:r>
        <w:t xml:space="preserve">Habitat (If Applicable):</w:t>
      </w:r>
    </w:p>
    <w:bookmarkEnd w:id="56"/>
    <w:bookmarkEnd w:id="57"/>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4" Type="http://schemas.openxmlformats.org/officeDocument/2006/relationships/image" Target="media/rId44.png"/>
<Relationship Id="rId50" Type="http://schemas.openxmlformats.org/officeDocument/2006/relationships/image" Target="media/rId50.png"/>
<Relationship Id="rId40" Type="http://schemas.openxmlformats.org/officeDocument/2006/relationships/image" Target="media/rId40.png"/>
<Relationship Id="rId46" Type="http://schemas.openxmlformats.org/officeDocument/2006/relationships/image" Target="media/rId46.png"/>
<Relationship Id="rId52" Type="http://schemas.openxmlformats.org/officeDocument/2006/relationships/image" Target="media/rId52.png"/>
<Relationship Id="rId27" Type="http://schemas.openxmlformats.org/officeDocument/2006/relationships/image" Target="media/rId27.png"/>
<Relationship Id="rId36" Type="http://schemas.openxmlformats.org/officeDocument/2006/relationships/image" Target="media/rId36.png"/>
<Relationship Id="rId42" Type="http://schemas.openxmlformats.org/officeDocument/2006/relationships/image" Target="media/rId42.png"/>
<Relationship Id="rId48" Type="http://schemas.openxmlformats.org/officeDocument/2006/relationships/image" Target="media/rId48.png"/>
<Relationship Id="rId32"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32"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2021-09-13T17:19:41Z</dcterms:created>
  <dcterms:modified xsi:type="dcterms:W3CDTF">2021-09-13T13:19:45Z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09/13/2021</vt:lpwstr>
  </property>
  <property fmtid="{D5CDD505-2E9C-101B-9397-08002B2CF9AE}" pid="3" name="output">
    <vt:lpwstr/>
  </property>
  <property fmtid="{D5CDD505-2E9C-101B-9397-08002B2CF9AE}" pid="4" name="params">
    <vt:lpwstr/>
  </property>
</Properties>
</file>