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6.png" ContentType="image/png"/>
  <Override PartName="/word/media/rId40.png" ContentType="image/png"/>
  <Override PartName="/word/media/rId44.png" ContentType="image/png"/>
  <Override PartName="/word/media/rId48.png" ContentType="image/png"/>
  <Override PartName="/word/media/rId54.png" ContentType="image/png"/>
  <Override PartName="/word/media/rId25.png" ContentType="image/png"/>
  <Override PartName="/word/media/rId38.png" ContentType="image/png"/>
  <Override PartName="/word/media/rId42.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03/07/2022</w:t>
      </w:r>
    </w:p>
    <w:bookmarkStart w:id="24" w:name="vahydro-model"/>
    <w:p>
      <w:pPr>
        <w:pStyle w:val="Titre1"/>
      </w:pPr>
      <w:r>
        <w:t xml:space="preserve">VAHydro Model:</w:t>
      </w:r>
    </w:p>
    <w:bookmarkStart w:id="22" w:name="vahydro"/>
    <w:p>
      <w:pPr>
        <w:pStyle w:val="Titre2"/>
      </w:pPr>
      <w:r>
        <w:t xml:space="preserve">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2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2"/>
    <w:bookmarkStart w:id="23"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3"/>
    <w:bookmarkEnd w:id="24"/>
    <w:bookmarkStart w:id="27" w:name="project-introduction"/>
    <w:p>
      <w:pPr>
        <w:pStyle w:val="Titre1"/>
      </w:pPr>
      <w:r>
        <w:t xml:space="preserve">Project Introduction</w:t>
      </w:r>
    </w:p>
    <w:p>
      <w:pPr>
        <w:pStyle w:val="Normal"/>
      </w:pPr>
      <w:r>
        <w:t xml:space="preserve">This project consists of an existing water intake constructed in the 1960’s with an upgrade in the early 1980’s. The Town owns and operates the Big Cherry Dam located approximately 3 miles upstream from the intake structure. The Town’s water treatment plant operators control the amount of water discharging the dam into the Powell River and all of the stream by-pass flow to meet the previous permit requirements of 4.0 MOD of maximum withdrawal and 0.50 MGD of by-pass flow. This is always true unless the dam is overflowing exceeding the amount of water required from various rainfall events. Therefore, the existing/proposed maximum withdrawal amounts will not have an impact on the stream in terms of rates, volumes, frequency, etc. This is a daily activity as it serves the existing water treatment plant.</w:t>
      </w:r>
    </w:p>
    <w:p>
      <w:pPr>
        <w:pStyle w:val="Corpsdetexte"/>
      </w:pPr>
      <w:r>
        <w:t xml:space="preserve">Permit: Big Cherry Dam, 01-0688</w:t>
      </w:r>
      <w:r>
        <w:br/>
      </w:r>
      <w:r>
        <w:t xml:space="preserve">Permit Dates: 2003-08-23 to 2018-08-22</w:t>
      </w:r>
    </w:p>
    <w:p>
      <w:pPr>
        <w:numPr>
          <w:ilvl w:val="0"/>
          <w:numId w:val="1001"/>
        </w:numPr>
        <w:pStyle w:val="Compact"/>
      </w:pPr>
      <w:r>
        <w:rPr>
          <w:bCs/>
          <w:b/>
        </w:rPr>
        <w:t xml:space="preserve">Annual Withdrawal Limit</w:t>
      </w:r>
      <w:r>
        <w:t xml:space="preserve"> </w:t>
      </w:r>
      <w:r>
        <w:t xml:space="preserve">= 1168 MG/yr (3.2 MGD)</w:t>
      </w:r>
    </w:p>
    <w:p>
      <w:pPr>
        <w:numPr>
          <w:ilvl w:val="1"/>
          <w:numId w:val="1002"/>
        </w:numPr>
        <w:pStyle w:val="Compact"/>
      </w:pPr>
      <w:r>
        <w:t xml:space="preserve">(historically they withdraw ~2 MGD on average)</w:t>
      </w:r>
    </w:p>
    <w:p>
      <w:pPr>
        <w:numPr>
          <w:ilvl w:val="0"/>
          <w:numId w:val="1001"/>
        </w:numPr>
        <w:pStyle w:val="Compact"/>
      </w:pPr>
      <w:r>
        <w:rPr>
          <w:bCs/>
          <w:b/>
        </w:rPr>
        <w:t xml:space="preserve">Daily Withdrawal Limit</w:t>
      </w:r>
      <w:r>
        <w:t xml:space="preserve"> </w:t>
      </w:r>
      <w:r>
        <w:t xml:space="preserve">= 4 MGD</w:t>
      </w:r>
    </w:p>
    <w:p>
      <w:pPr>
        <w:numPr>
          <w:ilvl w:val="0"/>
          <w:numId w:val="1001"/>
        </w:numPr>
        <w:pStyle w:val="Compact"/>
      </w:pPr>
      <w:r>
        <w:rPr>
          <w:bCs/>
          <w:b/>
        </w:rPr>
        <w:t xml:space="preserve">Flow-by</w:t>
      </w:r>
      <w:r>
        <w:t xml:space="preserve"> </w:t>
      </w:r>
      <w:r>
        <w:t xml:space="preserve">= 0.5 MGD</w:t>
      </w:r>
      <w:r>
        <w:t xml:space="preserve"> </w:t>
      </w:r>
      <w:r>
        <w:t xml:space="preserve"> </w:t>
      </w:r>
      <w:r>
        <w:t xml:space="preserve"> </w:t>
      </w:r>
    </w:p>
    <w:bookmarkStart w:id="26" w:name="location-map"/>
    <w:p>
      <w:pPr>
        <w:pStyle w:val="Titre2"/>
      </w:pPr>
      <w:r>
        <w:t xml:space="preserve">Location Map</w:t>
      </w:r>
    </w:p>
    <w:p>
      <w:pPr>
        <w:pStyle w:val="Normal"/>
      </w:pPr>
      <w:r>
        <w:drawing>
          <wp:inline>
            <wp:extent cx="5963478" cy="4541418"/>
            <wp:effectExtent b="0" l="0" r="0" t="0"/>
            <wp:docPr descr="" title="" id="1" name="Picture"/>
            <a:graphic>
              <a:graphicData uri="http://schemas.openxmlformats.org/drawingml/2006/picture">
                <pic:pic>
                  <pic:nvPicPr>
                    <pic:cNvPr descr="http://deq1.bse.vt.edu:81/data/proj3/out/fig.location_map.4827216.png" id="2" name="Picture"/>
                    <pic:cNvPicPr>
                      <a:picLocks noChangeArrowheads="1" noChangeAspect="1"/>
                    </pic:cNvPicPr>
                  </pic:nvPicPr>
                  <pic:blipFill>
                    <a:blip r:embed="rId25"/>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bookmarkEnd w:id="26"/>
    <w:bookmarkEnd w:id="27"/>
    <w:bookmarkStart w:id="30"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The VAHydro Roanoke River at Salem model segment covers the Roanoke River from just downstream of the USGS gage at Glenvar through the city of Roanoke, ending at the USGS gage 02055000 near the base of Mill Mountain. Model flow calibration at the upstream gage underestimates drought flows during the months of August-November, which will tend to over-estimate unmet demands during drought conditions. A low flow margin of safety of approximately 15 cfs may be added to determine a more realistic water availability during the most extreme drought events, that is, when flows are below the 5% non-exceedance percentile. For example, using a 10% allowable diversion, an additional 1.5 cfs (1.0 mgd) of flow may be available for withdrawal during extreme drought periods than that which is simulated. Model performance is strong at the 25% non-exceedance flow and above.</w:t>
      </w:r>
    </w:p>
    <w:p>
      <w:pPr>
        <w:pStyle w:val="Corpsdetexte"/>
      </w:pPr>
      <w:r>
        <w:rPr>
          <w:bCs/>
          <w:b/>
        </w:rPr>
        <w:t xml:space="preserve">Facility &amp; Intake Model Description</w:t>
      </w:r>
      <w:r>
        <w:t xml:space="preserve"> </w:t>
      </w:r>
      <w:r>
        <w:t xml:space="preserve">The City of Salem operates an intake on the Roanoke River, located downstream of the USGS flow gage 02054530 in Glenvar. DEQ records show withdrawals have increased from 1 MGD in 1982 to approximately 4 mgd in 2021.</w:t>
      </w:r>
    </w:p>
    <w:p>
      <w:pPr>
        <w:pStyle w:val="Corpsdetexte"/>
      </w:pPr>
      <w:r>
        <w:t xml:space="preserve">The following model scenarios were simulated in order to determine the most effective means of meeting the project need and all other in-stream beneficial uses:</w:t>
      </w:r>
    </w:p>
    <w:p>
      <w:pPr>
        <w:numPr>
          <w:ilvl w:val="0"/>
          <w:numId w:val="1003"/>
        </w:numPr>
        <w:pStyle w:val="Compact"/>
      </w:pPr>
      <w:r>
        <w:rPr>
          <w:bCs/>
          <w:b/>
        </w:rPr>
        <w:t xml:space="preserve">runid_11</w:t>
      </w:r>
      <w:r>
        <w:t xml:space="preserve"> </w:t>
      </w:r>
      <w:r>
        <w:t xml:space="preserve">- Run report information not provided.</w:t>
      </w:r>
    </w:p>
    <w:p>
      <w:pPr>
        <w:numPr>
          <w:ilvl w:val="0"/>
          <w:numId w:val="1003"/>
        </w:numPr>
        <w:pStyle w:val="Compact"/>
      </w:pPr>
      <w:r>
        <w:rPr>
          <w:bCs/>
          <w:b/>
        </w:rPr>
        <w:t xml:space="preserve">runid_2011</w:t>
      </w:r>
      <w:r>
        <w:t xml:space="preserve"> </w:t>
      </w:r>
      <w:r>
        <w:t xml:space="preserve">- Run report information not provided.</w:t>
      </w:r>
    </w:p>
    <w:p>
      <w:pPr>
        <w:numPr>
          <w:ilvl w:val="0"/>
          <w:numId w:val="1003"/>
        </w:numPr>
        <w:pStyle w:val="Compact"/>
      </w:pPr>
      <w:r>
        <w:rPr>
          <w:bCs/>
          <w:b/>
        </w:rPr>
        <w:t xml:space="preserve">runid_4011</w:t>
      </w:r>
      <w:r>
        <w:t xml:space="preserve"> </w:t>
      </w:r>
      <w:r>
        <w:t xml:space="preserve">- Run report information not provided.</w:t>
      </w:r>
    </w:p>
    <w:p>
      <w:pPr>
        <w:numPr>
          <w:ilvl w:val="0"/>
          <w:numId w:val="1003"/>
        </w:numPr>
        <w:pStyle w:val="Compact"/>
      </w:pPr>
      <w:r>
        <w:rPr>
          <w:bCs/>
          <w:b/>
        </w:rPr>
        <w:t xml:space="preserve">runid_6011</w:t>
      </w:r>
      <w:r>
        <w:t xml:space="preserve"> </w:t>
      </w:r>
      <w:r>
        <w:t xml:space="preserve">- Run report information not provided.</w:t>
      </w:r>
    </w:p>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discharges and management rules upstream of the withdrawal location. The models estimates of currently available flows are presented in Table 1. The Virginia Drought Assessment and Response Plan</w:t>
      </w:r>
      <w:r>
        <w:rPr>
          <w:rStyle w:val="Appelnotedebasdep"/>
        </w:rPr>
        <w:footnoteReference w:id="28"/>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p>
      <w:pPr>
        <w:pStyle w:val="Corpsdetexte"/>
      </w:pPr>
      <w:r>
        <w:rPr>
          <w:bCs/>
          <w:b/>
        </w:rPr>
        <w:t xml:space="preserve">Table 1:</w:t>
      </w:r>
      <w:r>
        <w:t xml:space="preserve"> </w:t>
      </w:r>
      <w:r>
        <w:t xml:space="preserve">Modeled monthly current flow statistics for Roanoke River Salem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123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778"/>
        <w:gridCol w:w="778"/>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620</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186</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334</w:t>
            </w:r>
          </w:p>
        </w:tc>
      </w:tr>
    </w:tbl>
    <w:p>
      <w:r>
        <w:br w:type="page"/>
      </w:r>
    </w:p>
    <w:bookmarkEnd w:id="30"/>
    <w:bookmarkStart w:id="53" w:name="results"/>
    <w:p>
      <w:pPr>
        <w:pStyle w:val="Titre1"/>
      </w:pPr>
      <w:r>
        <w:t xml:space="preserve">Results</w:t>
      </w:r>
    </w:p>
    <w:bookmarkStart w:id="31" w:name="summary"/>
    <w:p>
      <w:pPr>
        <w:pStyle w:val="Titre2"/>
      </w:pPr>
      <w:r>
        <w:t xml:space="preserve">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4"/>
        </w:numPr>
        <w:pStyle w:val="Compact"/>
      </w:pPr>
      <w:r>
        <w:rPr>
          <w:bCs/>
          <w:b/>
        </w:rPr>
        <w:t xml:space="preserve">runid_11</w:t>
      </w:r>
      <w:r>
        <w:t xml:space="preserve"> </w:t>
      </w:r>
      <w:r>
        <w:t xml:space="preserve">- Run analysis not provided.</w:t>
      </w:r>
    </w:p>
    <w:p>
      <w:pPr>
        <w:numPr>
          <w:ilvl w:val="0"/>
          <w:numId w:val="1004"/>
        </w:numPr>
        <w:pStyle w:val="Compact"/>
      </w:pPr>
      <w:r>
        <w:rPr>
          <w:bCs/>
          <w:b/>
        </w:rPr>
        <w:t xml:space="preserve">runid_2011</w:t>
      </w:r>
      <w:r>
        <w:t xml:space="preserve"> </w:t>
      </w:r>
      <w:r>
        <w:t xml:space="preserve">- Run analysis not provided.</w:t>
      </w:r>
    </w:p>
    <w:p>
      <w:pPr>
        <w:numPr>
          <w:ilvl w:val="0"/>
          <w:numId w:val="1004"/>
        </w:numPr>
        <w:pStyle w:val="Compact"/>
      </w:pPr>
      <w:r>
        <w:rPr>
          <w:bCs/>
          <w:b/>
        </w:rPr>
        <w:t xml:space="preserve">runid_4011</w:t>
      </w:r>
      <w:r>
        <w:t xml:space="preserve"> </w:t>
      </w:r>
      <w:r>
        <w:t xml:space="preserve">- Run analysis not provided.</w:t>
      </w:r>
    </w:p>
    <w:p>
      <w:pPr>
        <w:numPr>
          <w:ilvl w:val="0"/>
          <w:numId w:val="1004"/>
        </w:numPr>
        <w:pStyle w:val="Compact"/>
      </w:pPr>
      <w:r>
        <w:rPr>
          <w:bCs/>
          <w:b/>
        </w:rPr>
        <w:t xml:space="preserve">runid_6011</w:t>
      </w:r>
      <w:r>
        <w:t xml:space="preserve"> </w:t>
      </w:r>
      <w:r>
        <w:t xml:space="preserve">- Run analysis not provided.</w:t>
      </w:r>
    </w:p>
    <w:bookmarkEnd w:id="31"/>
    <w:bookmarkStart w:id="32" w:name="conclusion"/>
    <w:p>
      <w:pPr>
        <w:pStyle w:val="Titre2"/>
      </w:pPr>
      <w:r>
        <w:t xml:space="preserve">Conclusion</w:t>
      </w:r>
    </w:p>
    <w:p>
      <w:pPr>
        <w:numPr>
          <w:ilvl w:val="0"/>
          <w:numId w:val="1005"/>
        </w:numPr>
        <w:pStyle w:val="Compact"/>
      </w:pPr>
      <w:r>
        <w:rPr>
          <w:bCs/>
          <w:b/>
        </w:rPr>
        <w:t xml:space="preserve">NULL</w:t>
      </w:r>
      <w:r>
        <w:t xml:space="preserve"> </w:t>
      </w:r>
      <w:r>
        <w:t xml:space="preserve">- Preferred scenario, runid_600 , conclusions not provided.</w:t>
      </w:r>
      <w:r>
        <w:t xml:space="preserve"> </w:t>
      </w:r>
      <w:r>
        <w:t xml:space="preserve">Conclusions should be stored in [model] -&gt; 600 -&gt; reports -&gt; conclusions</w:t>
      </w:r>
    </w:p>
    <w:p>
      <w:r>
        <w:br w:type="page"/>
      </w:r>
    </w:p>
    <w:bookmarkEnd w:id="32"/>
    <w:bookmarkStart w:id="52"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33" w:name="Xf0763edeaba3531f9a3b47309baa01f3df416e6"/>
    <w:p>
      <w:pPr>
        <w:pStyle w:val="Titre3"/>
      </w:pPr>
      <w:r>
        <w:t xml:space="preserve">Glossary of Cumulative Impact Modeling Terms</w:t>
      </w:r>
    </w:p>
    <w:p>
      <w:pPr>
        <w:numPr>
          <w:ilvl w:val="0"/>
          <w:numId w:val="1006"/>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6"/>
        </w:numPr>
        <w:pStyle w:val="Compact"/>
      </w:pPr>
      <w:r>
        <w:t xml:space="preserve">30 Day Low Flow: *DESCRIPTION NEEDED</w:t>
      </w:r>
    </w:p>
    <w:p>
      <w:pPr>
        <w:numPr>
          <w:ilvl w:val="0"/>
          <w:numId w:val="1006"/>
        </w:numPr>
        <w:pStyle w:val="Compact"/>
      </w:pPr>
      <w:r>
        <w:t xml:space="preserve">90 Day Low Flow: *DESCRIPTION NEEDED</w:t>
      </w:r>
    </w:p>
    <w:p>
      <w:pPr>
        <w:numPr>
          <w:ilvl w:val="0"/>
          <w:numId w:val="1006"/>
        </w:numPr>
        <w:pStyle w:val="Compact"/>
      </w:pPr>
      <w:r>
        <w:t xml:space="preserve">*Additional DESCRIPTIONS NEEDED for other table metrics that aren’t clearly understood</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33"/>
    <w:bookmarkStart w:id="34" w:name="summary-of-results"/>
    <w:p>
      <w:pPr>
        <w:pStyle w:val="Titre3"/>
      </w:pPr>
      <w:r>
        <w:t xml:space="preserve">Summary of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gridCol w:w="2736"/>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r>
      <w:tr>
        <w:trPr>
          <w:cantSplit/>
          <w:trHeight w:val="617" w:hRule="auto"/>
        </w:trPr>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42.84</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2,807.43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2,323.95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505.22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6.75</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34"/>
    <w:bookmarkStart w:id="35"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runid_11</w:t>
      </w:r>
      <w:r>
        <w:t xml:space="preserve">”</w:t>
      </w:r>
      <w:r>
        <w:t xml:space="preserve"> </w:t>
      </w:r>
      <w:r>
        <w:t xml:space="preserve">[1]</w:t>
      </w:r>
      <w:r>
        <w:t xml:space="preserve"> </w:t>
      </w:r>
      <w:r>
        <w:t xml:space="preserve">“</w:t>
      </w:r>
      <w:r>
        <w:t xml:space="preserve">No active impoundment found for run id runid_2011</w:t>
      </w:r>
      <w:r>
        <w:t xml:space="preserve">”</w:t>
      </w:r>
      <w:r>
        <w:t xml:space="preserve"> </w:t>
      </w:r>
      <w:r>
        <w:t xml:space="preserve">[1]</w:t>
      </w:r>
      <w:r>
        <w:t xml:space="preserve"> </w:t>
      </w:r>
      <w:r>
        <w:t xml:space="preserve">“</w:t>
      </w:r>
      <w:r>
        <w:t xml:space="preserve">No active impoundment found for run id runid_4011</w:t>
      </w:r>
      <w:r>
        <w:t xml:space="preserve">”</w:t>
      </w:r>
      <w:r>
        <w:t xml:space="preserve"> </w:t>
      </w:r>
      <w:r>
        <w:t xml:space="preserve">[1]</w:t>
      </w:r>
      <w:r>
        <w:t xml:space="preserve"> </w:t>
      </w:r>
      <w:r>
        <w:t xml:space="preserve">“</w:t>
      </w:r>
      <w:r>
        <w:t xml:space="preserve">No active impoundment found for run id runid_6011</w:t>
      </w:r>
      <w:r>
        <w:t xml:space="preserve">”</w:t>
      </w:r>
    </w:p>
    <w:p>
      <w:r>
        <w:br w:type="page"/>
      </w:r>
    </w:p>
    <w:bookmarkEnd w:id="35"/>
    <w:bookmarkStart w:id="50"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37" w:name="hydrograph-runid_11"/>
    <w:p>
      <w:pPr>
        <w:pStyle w:val="Titre4"/>
      </w:pPr>
      <w:r>
        <w:t xml:space="preserve">Hydrograph: runid_11</w:t>
      </w:r>
    </w:p>
    <w:p>
      <w:pPr>
        <w:pStyle w:val="Normal"/>
      </w:pPr>
      <w:r>
        <w:drawing>
          <wp:inline>
            <wp:extent cx="5969000" cy="4050392"/>
            <wp:effectExtent b="0" l="0" r="0" t="0"/>
            <wp:docPr descr="" title="" id="3" name="Picture"/>
            <a:graphic>
              <a:graphicData uri="http://schemas.openxmlformats.org/drawingml/2006/picture">
                <pic:pic>
                  <pic:nvPicPr>
                    <pic:cNvPr descr="http://deq1.bse.vt.edu:81/data/proj3/out/fig.30daymax_unmet.306768.11.png" id="4" name="Picture"/>
                    <pic:cNvPicPr>
                      <a:picLocks noChangeArrowheads="1" noChangeAspect="1"/>
                    </pic:cNvPicPr>
                  </pic:nvPicPr>
                  <pic:blipFill>
                    <a:blip r:embed="rId36"/>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runid_11</w:t>
      </w:r>
      <w:r>
        <w:t xml:space="preserve">”</w:t>
      </w:r>
    </w:p>
    <w:p>
      <w:r>
        <w:br w:type="page"/>
      </w:r>
    </w:p>
    <w:bookmarkEnd w:id="37"/>
    <w:bookmarkStart w:id="39" w:name="heatmap-runid_2011"/>
    <w:p>
      <w:pPr>
        <w:pStyle w:val="Titre4"/>
      </w:pPr>
      <w:r>
        <w:t xml:space="preserve">Heatmap: runid_2011</w:t>
      </w:r>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306768.2011.png" id="6" name="Picture"/>
                    <pic:cNvPicPr>
                      <a:picLocks noChangeArrowheads="1" noChangeAspect="1"/>
                    </pic:cNvPicPr>
                  </pic:nvPicPr>
                  <pic:blipFill>
                    <a:blip r:embed="rId38"/>
                    <a:stretch>
                      <a:fillRect/>
                    </a:stretch>
                  </pic:blipFill>
                  <pic:spPr bwMode="auto">
                    <a:xfrm>
                      <a:off x="0" y="0"/>
                      <a:ext cx="5969000" cy="3769894"/>
                    </a:xfrm>
                    <a:prstGeom prst="rect">
                      <a:avLst/>
                    </a:prstGeom>
                    <a:noFill/>
                    <a:ln w="9525">
                      <a:noFill/>
                      <a:headEnd/>
                      <a:tailEnd/>
                    </a:ln>
                  </pic:spPr>
                </pic:pic>
              </a:graphicData>
            </a:graphic>
          </wp:inline>
        </w:drawing>
      </w:r>
    </w:p>
    <w:bookmarkEnd w:id="39"/>
    <w:bookmarkStart w:id="41" w:name="hydrograph-runid_2011"/>
    <w:p>
      <w:pPr>
        <w:pStyle w:val="Titre4"/>
      </w:pPr>
      <w:r>
        <w:t xml:space="preserve">Hydrograph: runid_2011</w:t>
      </w:r>
    </w:p>
    <w:p>
      <w:pPr>
        <w:pStyle w:val="Normal"/>
      </w:pPr>
      <w:r>
        <w:drawing>
          <wp:inline>
            <wp:extent cx="5969000" cy="5969000"/>
            <wp:effectExtent b="0" l="0" r="0" t="0"/>
            <wp:docPr descr="" title="" id="7" name="Picture"/>
            <a:graphic>
              <a:graphicData uri="http://schemas.openxmlformats.org/drawingml/2006/picture">
                <pic:pic>
                  <pic:nvPicPr>
                    <pic:cNvPr descr="http://deq1.bse.vt.edu:81/data/proj3/out/fig.30daymax_unmet.306768.2011.png" id="8" name="Picture"/>
                    <pic:cNvPicPr>
                      <a:picLocks noChangeArrowheads="1" noChangeAspect="1"/>
                    </pic:cNvPicPr>
                  </pic:nvPicPr>
                  <pic:blipFill>
                    <a:blip r:embed="rId40"/>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runid_2011</w:t>
      </w:r>
      <w:r>
        <w:t xml:space="preserve">”</w:t>
      </w:r>
    </w:p>
    <w:p>
      <w:r>
        <w:br w:type="page"/>
      </w:r>
    </w:p>
    <w:bookmarkEnd w:id="41"/>
    <w:bookmarkStart w:id="43" w:name="heatmap-runid_4011"/>
    <w:p>
      <w:pPr>
        <w:pStyle w:val="Titre4"/>
      </w:pPr>
      <w:r>
        <w:t xml:space="preserve">Heatmap: runid_4011</w:t>
      </w:r>
    </w:p>
    <w:p>
      <w:pPr>
        <w:pStyle w:val="Normal"/>
      </w:pPr>
      <w:r>
        <w:drawing>
          <wp:inline>
            <wp:extent cx="5969000" cy="3769894"/>
            <wp:effectExtent b="0" l="0" r="0" t="0"/>
            <wp:docPr descr="" title="" id="9" name="Picture"/>
            <a:graphic>
              <a:graphicData uri="http://schemas.openxmlformats.org/drawingml/2006/picture">
                <pic:pic>
                  <pic:nvPicPr>
                    <pic:cNvPr descr="http://deq1.bse.vt.edu:81/data/proj3/out/fig.unmet_heatmap_amt.306768.4011.png" id="10"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bookmarkEnd w:id="43"/>
    <w:bookmarkStart w:id="45" w:name="hydrograph-runid_4011"/>
    <w:p>
      <w:pPr>
        <w:pStyle w:val="Titre4"/>
      </w:pPr>
      <w:r>
        <w:t xml:space="preserve">Hydrograph: runid_4011</w:t>
      </w:r>
    </w:p>
    <w:p>
      <w:pPr>
        <w:pStyle w:val="Normal"/>
      </w:pPr>
      <w:r>
        <w:drawing>
          <wp:inline>
            <wp:extent cx="5969000" cy="5969000"/>
            <wp:effectExtent b="0" l="0" r="0" t="0"/>
            <wp:docPr descr="" title="" id="11" name="Picture"/>
            <a:graphic>
              <a:graphicData uri="http://schemas.openxmlformats.org/drawingml/2006/picture">
                <pic:pic>
                  <pic:nvPicPr>
                    <pic:cNvPr descr="http://deq1.bse.vt.edu:81/data/proj3/out/fig.30daymax_unmet.306768.4011.png" id="12" name="Picture"/>
                    <pic:cNvPicPr>
                      <a:picLocks noChangeArrowheads="1" noChangeAspect="1"/>
                    </pic:cNvPicPr>
                  </pic:nvPicPr>
                  <pic:blipFill>
                    <a:blip r:embed="rId44"/>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runid_4011</w:t>
      </w:r>
      <w:r>
        <w:t xml:space="preserve">”</w:t>
      </w:r>
    </w:p>
    <w:p>
      <w:r>
        <w:br w:type="page"/>
      </w:r>
    </w:p>
    <w:bookmarkEnd w:id="45"/>
    <w:bookmarkStart w:id="47" w:name="heatmap-runid_6011"/>
    <w:p>
      <w:pPr>
        <w:pStyle w:val="Titre4"/>
      </w:pPr>
      <w:r>
        <w:t xml:space="preserve">Heatmap: runid_6011</w:t>
      </w:r>
    </w:p>
    <w:p>
      <w:pPr>
        <w:pStyle w:val="Normal"/>
      </w:pPr>
      <w:r>
        <w:drawing>
          <wp:inline>
            <wp:extent cx="5969000" cy="3769894"/>
            <wp:effectExtent b="0" l="0" r="0" t="0"/>
            <wp:docPr descr="" title="" id="13" name="Picture"/>
            <a:graphic>
              <a:graphicData uri="http://schemas.openxmlformats.org/drawingml/2006/picture">
                <pic:pic>
                  <pic:nvPicPr>
                    <pic:cNvPr descr="http://deq1.bse.vt.edu:81/data/proj3/out/fig.unmet_heatmap_amt.306768.6011.png" id="14"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bookmarkEnd w:id="47"/>
    <w:bookmarkStart w:id="49" w:name="hydrograph-runid_6011"/>
    <w:p>
      <w:pPr>
        <w:pStyle w:val="Titre4"/>
      </w:pPr>
      <w:r>
        <w:t xml:space="preserve">Hydrograph: runid_6011</w:t>
      </w:r>
    </w:p>
    <w:p>
      <w:pPr>
        <w:pStyle w:val="Normal"/>
      </w:pPr>
      <w:r>
        <w:drawing>
          <wp:inline>
            <wp:extent cx="5969000" cy="5969000"/>
            <wp:effectExtent b="0" l="0" r="0" t="0"/>
            <wp:docPr descr="" title="" id="15" name="Picture"/>
            <a:graphic>
              <a:graphicData uri="http://schemas.openxmlformats.org/drawingml/2006/picture">
                <pic:pic>
                  <pic:nvPicPr>
                    <pic:cNvPr descr="http://deq1.bse.vt.edu:81/data/proj3/out/fig.30daymax_unmet.306768.6011.png" id="16" name="Picture"/>
                    <pic:cNvPicPr>
                      <a:picLocks noChangeArrowheads="1" noChangeAspect="1"/>
                    </pic:cNvPicPr>
                  </pic:nvPicPr>
                  <pic:blipFill>
                    <a:blip r:embed="rId4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runid_6011</w:t>
      </w:r>
      <w:r>
        <w:t xml:space="preserve">”</w:t>
      </w:r>
    </w:p>
    <w:p>
      <w:r>
        <w:br w:type="page"/>
      </w:r>
    </w:p>
    <w:p>
      <w:r>
        <w:br w:type="page"/>
      </w:r>
    </w:p>
    <w:bookmarkEnd w:id="49"/>
    <w:bookmarkEnd w:id="50"/>
    <w:bookmarkStart w:id="51" w:name="additional-model-flow-plots"/>
    <w:p>
      <w:pPr>
        <w:pStyle w:val="Titre3"/>
      </w:pPr>
      <w:r>
        <w:t xml:space="preserve">Additional Model Flow Plots:</w:t>
      </w:r>
    </w:p>
    <w:p>
      <w:pPr>
        <w:jc w:val="center"/>
        <w:pStyle w:val="Figure"/>
      </w:pPr>
      <w:r>
        <w:rPr/>
        <w:drawing xmlns:r="http://schemas.openxmlformats.org/officeDocument/2006/relationships">
          <wp:inline distT="0" distB="0" distL="0" distR="0">
            <wp:extent cx="5715000" cy="438912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60"/>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1"/>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2"/>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3"/>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4"/>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5"/>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6"/>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67"/>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68"/>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6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70"/>
                    <a:srcRect/>
                    <a:stretch>
                      <a:fillRect/>
                    </a:stretch>
                  </pic:blipFill>
                  <pic:spPr bwMode="auto">
                    <a:xfrm>
                      <a:off x="0" y="0"/>
                      <a:ext cx="79375" cy="60960"/>
                    </a:xfrm>
                    <a:prstGeom prst="rect">
                      <a:avLst/>
                    </a:prstGeom>
                    <a:noFill/>
                  </pic:spPr>
                </pic:pic>
              </a:graphicData>
            </a:graphic>
          </wp:inline>
        </w:drawing>
      </w:r>
    </w:p>
    <w:p>
      <w:r>
        <w:br w:type="page"/>
      </w:r>
    </w:p>
    <w:bookmarkEnd w:id="51"/>
    <w:bookmarkEnd w:id="52"/>
    <w:bookmarkEnd w:id="53"/>
    <w:bookmarkStart w:id="61" w:name="X1caaf1d17d291896f9cf274a41dbe3eb875ccf1"/>
    <w:p>
      <w:pPr>
        <w:pStyle w:val="Titre1"/>
      </w:pPr>
      <w:r>
        <w:t xml:space="preserve">Appendix A - Ecological Impacts Assessment:</w:t>
      </w:r>
    </w:p>
    <w:bookmarkStart w:id="55"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41" name="Picture"/>
            <a:graphic>
              <a:graphicData uri="http://schemas.openxmlformats.org/drawingml/2006/picture">
                <pic:pic>
                  <pic:nvPicPr>
                    <pic:cNvPr descr="http://deq1.bse.vt.edu:81/data/proj3/out/fig.elfgen.6353520.png" id="42" name="Picture"/>
                    <pic:cNvPicPr>
                      <a:picLocks noChangeArrowheads="1" noChangeAspect="1"/>
                    </pic:cNvPicPr>
                  </pic:nvPicPr>
                  <pic:blipFill>
                    <a:blip r:embed="rId54"/>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55"/>
    <w:bookmarkStart w:id="59"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56"/>
      </w:r>
      <w:r>
        <w:t xml:space="preserve">. Note: elfgen methodology only applicable for watersheds &lt; 800 cfs mean annual flow.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736"/>
        <w:gridCol w:w="2736"/>
        <w:gridCol w:w="2736"/>
        <w:gridCol w:w="2736"/>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-0.86</w:t>
            </w:r>
          </w:p>
        </w:tc>
      </w:tr>
    </w:tbl>
    <w:bookmarkEnd w:id="59"/>
    <w:bookmarkStart w:id="60" w:name="habitat-if-applicable"/>
    <w:p>
      <w:pPr>
        <w:pStyle w:val="Titre2"/>
      </w:pPr>
      <w:r>
        <w:t xml:space="preserve">Habitat (If Applicable):</w:t>
      </w:r>
    </w:p>
    <w:p>
      <w:r>
        <w:br w:type="page"/>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60"/>
    <w:bookmarkEnd w:id="61"/>
    <w:bookmarkStart w:id="62"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2160"/>
        <w:gridCol w:w="936"/>
        <w:gridCol w:w="2520"/>
        <w:gridCol w:w="1368"/>
        <w:gridCol w:w="2520"/>
        <w:gridCol w:w="1728"/>
        <w:gridCol w:w="1368"/>
        <w:gridCol w:w="144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runid_6011: wd_mgy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2,972.10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 Roanoke River tributary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WD FROM SP HOLLOW RES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1,726.51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1,727.21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3,183.34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1,625.51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CRYSTAL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1,709.23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2,323.95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GARDEN CITY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174.57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MUSE SPRING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MANSARD SQUARE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BUSH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CRAIG AVE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MUSE SPRING TO FRED WHITAKER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STONEBRIDGE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BUSH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TROUTVILLE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CHESTNUT STREET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Country Club,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BALLYHACK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BACK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ROUTE 24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MELISSA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Mountain View Well 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APPLE TREE VILLAGE S3/STEEPLEC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HANGING ROCK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white oak estates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HILLS GOLF CORP.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white oak estates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TROUTVILLE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 PARKVIEW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MT VIEW  WELL 7\APPLE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APPLE TREE VILLAGE S3/STEEPLEC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  CLEARVIEW ESTATES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British Woods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British Woods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MT VIEW  WELL 6\APPLE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APPLE TREE VILLAGE S3/STEEPLEC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STRATFORD PLACE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 PARKVIEW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 PARKVIEW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HEATHERSTONE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Keswick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HGHTS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GLADE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PLANT 35 AND 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STRATFORD PLACE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NEW HOPE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OLD WTP 1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2,323.95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BUSH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FALLING CREEK EST WELL 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FALLING CR EST  WELL 3 TODDBRY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FALLING CR EST  WELL 1 TWIN MT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FALLING CREEK WELL 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MT VIEW WELL #2 BIRCHWOOD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APPLE TREE VILLAGE S3/STEEPLEC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OAKCREST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HGHTS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   BOILER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BONSACK #1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460 EAST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HUNT RIDGE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460 EAST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VISTA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CLOVERDALE - VISTA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 WELL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STARMOUNT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KNOLL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AVENHAM\HUNTING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AVENHAM\HUNTING HILLS SER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Deer Branch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Brookside Par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STARMOUNT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FRONT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COUNTRYSIDE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GRISSO WELL - PENN FOREST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WESTERN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OLE MONTEREY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HAMPDEN HILLS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HAMPDEN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ARLINGTON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COUNTRYSIDE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HAVEN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HAVEN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BRIDLEWOOD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ORCHARD APPLETREE BOTETOURT 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WELL #7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HOLLINS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HOLLINS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DEER RUN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MEADOW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MEADOW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220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DALEVILLE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BURLINGTON HEIGHTS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BURLINGTON HEIGHT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VIRGINIA BAPTIST CHILDREN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CRESTHILL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ORCHARD APPLETREE BOTETOURT 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ORCHARD APPLETREE BOTETOURT 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HAMPDEN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HAMPDEN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WELL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WYNDALE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SOUTHERN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Emulsion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SERV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FACILITIES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62"/>
    <w:sectPr xmlns:w="http://schemas.openxmlformats.org/wordprocessingml/2006/main">
      <w:pgMar w:header="0" w:bottom="720" w:top="720" w:right="1440" w:left="720" w:footer="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 </w:t>
      </w:r>
      <w:hyperlink r:id="rId21">
        <w:r>
          <w:rPr>
            <w:rStyle w:val="Lienhypertexte"/>
          </w:rPr>
          <w:t xml:space="preserve">Chesapeake Bay Program Phase 6 Model</w:t>
        </w:r>
      </w:hyperlink>
      <w:r>
        <w:t xml:space="preserve">.</w:t>
      </w:r>
    </w:p>
  </w:footnote>
  <w:footnote w:id="28">
    <w:p>
      <w:pPr>
        <w:pStyle w:val="Notedebasdepage"/>
      </w:pPr>
      <w:r>
        <w:rPr>
          <w:rStyle w:val="Appelnotedebasdep"/>
        </w:rPr>
        <w:footnoteRef/>
      </w:r>
      <w:r>
        <w:t xml:space="preserve"> </w:t>
      </w:r>
      <w:r>
        <w:t xml:space="preserve"> </w:t>
      </w:r>
      <w:hyperlink r:id="rId29">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56">
    <w:p>
      <w:pPr>
        <w:pStyle w:val="Notedebasdepage"/>
      </w:pPr>
      <w:r>
        <w:rPr>
          <w:rStyle w:val="Appelnotedebasdep"/>
        </w:rPr>
        <w:footnoteRef/>
      </w:r>
      <w:r>
        <w:t xml:space="preserve"> </w:t>
      </w:r>
      <w:r>
        <w:t xml:space="preserve">Kleiner et al:</w:t>
      </w:r>
      <w:r>
        <w:t xml:space="preserve"> </w:t>
      </w:r>
      <w:hyperlink r:id="rId57">
        <w:r>
          <w:rPr>
            <w:rStyle w:val="Lienhypertexte"/>
          </w:rPr>
          <w:t xml:space="preserve">https://onlinelibrary.wiley.com/doi/full/10.1111/1752-1688.12876</w:t>
        </w:r>
      </w:hyperlink>
      <w:r>
        <w:t xml:space="preserve"> </w:t>
      </w:r>
      <w:r>
        <w:t xml:space="preserve">&amp; Rapp et al:</w:t>
      </w:r>
      <w:r>
        <w:t xml:space="preserve"> </w:t>
      </w:r>
      <w:hyperlink r:id="rId58">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6" Type="http://schemas.openxmlformats.org/officeDocument/2006/relationships/image" Target="media/rId36.png"/>
<Relationship Id="rId40" Type="http://schemas.openxmlformats.org/officeDocument/2006/relationships/image" Target="media/rId40.png"/>
<Relationship Id="rId44" Type="http://schemas.openxmlformats.org/officeDocument/2006/relationships/image" Target="media/rId44.png"/>
<Relationship Id="rId48" Type="http://schemas.openxmlformats.org/officeDocument/2006/relationships/image" Target="media/rId48.png"/>
<Relationship Id="rId54" Type="http://schemas.openxmlformats.org/officeDocument/2006/relationships/image" Target="media/rId54.png"/>
<Relationship Id="rId25" Type="http://schemas.openxmlformats.org/officeDocument/2006/relationships/image" Target="media/rId25.png"/>
<Relationship Id="rId38" Type="http://schemas.openxmlformats.org/officeDocument/2006/relationships/image" Target="media/rId38.png"/>
<Relationship Id="rId42" Type="http://schemas.openxmlformats.org/officeDocument/2006/relationships/image" Target="media/rId42.png"/>
<Relationship Id="rId46" Type="http://schemas.openxmlformats.org/officeDocument/2006/relationships/image" Target="media/rId46.png"/>
<Relationship Id="rId57" Type="http://schemas.openxmlformats.org/officeDocument/2006/relationships/hyperlink" Target="https://onlinelibrary.wiley.com/doi/full/10.1111/1752-1688.12876" TargetMode="External"/>
<Relationship Id="rId58"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 Id="rId59" Type="http://schemas.openxmlformats.org/officeDocument/2006/relationships/image" Target="media/file47dc6589f89.png"/>
<Relationship Id="rId60" Type="http://schemas.openxmlformats.org/officeDocument/2006/relationships/image" Target="media/file47dc5d9368de.png"/>
<Relationship Id="rId61" Type="http://schemas.openxmlformats.org/officeDocument/2006/relationships/image" Target="media/file47dc26dc1749.png"/>
<Relationship Id="rId62" Type="http://schemas.openxmlformats.org/officeDocument/2006/relationships/image" Target="media/file47dc377f756f.png"/>
<Relationship Id="rId63" Type="http://schemas.openxmlformats.org/officeDocument/2006/relationships/image" Target="media/file47dc3b0636ea.png"/>
<Relationship Id="rId64" Type="http://schemas.openxmlformats.org/officeDocument/2006/relationships/image" Target="media/file47dc3b76e08.png"/>
<Relationship Id="rId65" Type="http://schemas.openxmlformats.org/officeDocument/2006/relationships/image" Target="media/file47dc32f53079.png"/>
<Relationship Id="rId66" Type="http://schemas.openxmlformats.org/officeDocument/2006/relationships/image" Target="media/file47dc39cf5aa8.png"/>
<Relationship Id="rId67" Type="http://schemas.openxmlformats.org/officeDocument/2006/relationships/image" Target="media/file47dc1afe2e89.png"/>
<Relationship Id="rId68" Type="http://schemas.openxmlformats.org/officeDocument/2006/relationships/image" Target="media/file47dc61e13221.png"/>
<Relationship Id="rId69" Type="http://schemas.openxmlformats.org/officeDocument/2006/relationships/image" Target="media/file47dc1e30131a.png"/>
<Relationship Id="rId70" Type="http://schemas.openxmlformats.org/officeDocument/2006/relationships/image" Target="media/file47dc7283401c.png"/>
</Relationships>

</file>

<file path=word/_rels/footnotes.xml.rels><?xml version="1.0" encoding="UTF-8" standalone="yes"?>

<Relationships  xmlns="http://schemas.openxmlformats.org/package/2006/relationships">
<Relationship Id="rId57" Type="http://schemas.openxmlformats.org/officeDocument/2006/relationships/hyperlink" Target="https://onlinelibrary.wiley.com/doi/full/10.1111/1752-1688.12876" TargetMode="External"/>
<Relationship Id="rId58"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2022-03-07T16:08:00Z</dcterms:created>
  <dcterms:modified xsi:type="dcterms:W3CDTF">2022-03-07T11:08:04Z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03/07/2022</vt:lpwstr>
  </property>
  <property fmtid="{D5CDD505-2E9C-101B-9397-08002B2CF9AE}" pid="3" name="output">
    <vt:lpwstr/>
  </property>
  <property fmtid="{D5CDD505-2E9C-101B-9397-08002B2CF9AE}" pid="4" name="params">
    <vt:lpwstr/>
  </property>
</Properties>
</file>