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42.png" ContentType="image/png"/>
  <Override PartName="/word/media/rId38.png" ContentType="image/png"/>
  <Override PartName="/word/media/rId44.png" ContentType="image/png"/>
  <Override PartName="/word/media/rId27.png" ContentType="image/png"/>
  <Override PartName="/word/media/rId34.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08/17/2021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instream and off-stream beneficial uses for surface water withdrawals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cumulative impacts of all existing water users in addition to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Crooked Run is a tributary that joins the Shenandoah River just south of Front Royal VA. The area of Crooked Run above it’s confluence with the Shenandoah River in this model is 47.0 square miles.</w:t>
      </w:r>
    </w:p>
    <w:p>
      <w:pPr>
        <w:pStyle w:val="Corpsdetexte"/>
      </w:pPr>
      <w:r>
        <w:rPr>
          <w:b/>
        </w:rPr>
        <w:t xml:space="preserve">Facility &amp; Intake Model Description</w:t>
      </w:r>
      <w:r>
        <w:t xml:space="preserve"> </w:t>
      </w:r>
      <w:r>
        <w:t xml:space="preserve">The Blue Ridge Shadows golf course is modeled as a pump-store facility with a local impoundment having no direct drainage area, and an intake on Crooked Run to refill when water is available. The impoundment is estimated to have a maximum storage of 21.84 acre-feet. Modeled demand is calculated by taking the requested annual maximum demand and scaling it according the to historical monthly use patterns for the intake. The previous permit featured a static MIF below which no pumping was possible. Model scenarios were selected in order to explore</w:t>
      </w:r>
      <w:r>
        <w:t xml:space="preserve"> </w:t>
      </w:r>
      <w:r>
        <w:t xml:space="preserve">“</w:t>
      </w:r>
      <w:r>
        <w:t xml:space="preserve">percent of flow</w:t>
      </w:r>
      <w:r>
        <w:t xml:space="preserve">”</w:t>
      </w:r>
      <w:r>
        <w:t xml:space="preserve"> </w:t>
      </w:r>
      <w:r>
        <w:t xml:space="preserve">type withdrawal limits in order to mimic natural flows, and also provide operational flexibility. Flow at the Crooked Run intake is simulated through the use of a rainfall-runoff model, with explicit simulation of the land-use above the intake. This differs from some historical models that would have used a USGS gage flow record from a nearby gage to simulate flows at the intake. By using the rainfall-runoff simulation at a point very close to the actual intake, modeled low-flows can be improved due to consideration of specific catchment area, land use, and other upstream withdrawals. As a result, this permit-max simulation may have lower available water because it reflects current demands with historical meteorology in a smaller watershed. Because of practical considerations of permit operation, a surrogate gage may still be employed, and that gage may have higher base flows than Crooked Creek at this intake, therefore, permit rules should attempt to account for that possibility.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 This MIF is based on flows in Opequon Creek near Berryville, since the alternative gage, Opequon Creek at Stephens City is no longer in service. Flowby value at the intake is area-weighted as 3.7 cfs = 9.4 * 22.9 / 58.2, since 9.4 cfs is flowby at Berryville gage, with Drainage area 58.2 square miles, and the Crooked Creek model intake is 22.9 square miles.</w:t>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p>
    <w:p>
      <w:r>
        <w:br w:type="page"/>
      </w:r>
    </w:p>
    <w:bookmarkEnd w:id="26"/>
    <w:bookmarkStart w:id="29"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Blue Ridge Shadows at Crooked Run in cubic feet per second (cfs). Columns show the minimum (Min) and average (Mean) modeled flow, and a range of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4.2cfs.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765"/>
        <w:gridCol w:w="729"/>
        <w:gridCol w:w="851"/>
        <w:gridCol w:w="851"/>
        <w:gridCol w:w="851"/>
        <w:gridCol w:w="851"/>
        <w:gridCol w:w="961"/>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w:t>
            </w:r>
          </w:p>
        </w:tc>
      </w:tr>
    </w:tbl>
    <w:bookmarkStart w:id="28" w:name="X84078c4d5aea43a1d2a993bc731c5921b34fbfd"/>
    <w:p>
      <w:pPr>
        <w:pStyle w:val="Titre2"/>
      </w:pPr>
      <w:r>
        <w:t xml:space="preserve">Facility Base Demand Before Conservation: 90% Flow-by</w:t>
      </w:r>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351628.400.png" id="2" name="Picture"/>
                    <pic:cNvPicPr>
                      <a:picLocks noChangeArrowheads="1" noChangeAspect="1"/>
                    </pic:cNvPicPr>
                  </pic:nvPicPr>
                  <pic:blipFill>
                    <a:blip r:embed="rId27"/>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28"/>
    <w:bookmarkEnd w:id="29"/>
    <w:bookmarkStart w:id="31"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The static minimum instream flow in this scenario results in reduced water availability during 5 out of 30 years of the long-term simulation. During 4 years out of the 30 years simulated, pond storage is totally depleted and pumping from Crooked run is reduced below the modeled need for periods in excess of 1 month. For example, during summer 1991, average flow in Crooked Run drops below 4 cfs for over 4 months, coinciding with the period of greatest demand for this facility. Modeled pond storage dropped below 50% in 19 out of 30 years simulated.</w:t>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all simulated periods, with pond drawdown below 50% occuring 5 times in the 30 year simulation.</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bookmarkStart w:id="30" w:name="cia-1"/>
    <w:p>
      <w:pPr>
        <w:pStyle w:val="Titre2"/>
      </w:pPr>
      <w:r>
        <w:t xml:space="preserve">CIA</w:t>
      </w:r>
    </w:p>
    <w:p>
      <w:pPr>
        <w:pStyle w:val="Normal"/>
      </w:pPr>
      <w:r>
        <w:t xml:space="preserve">This 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percent total consumptive use as a resutl of all withdrawals (Cumulative Withdrawal) and discharges (Cumulative Point Source) in the watershed.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30"/>
    <w:bookmarkEnd w:id="31"/>
    <w:bookmarkStart w:id="32"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 Permit</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90% Flow-by</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rseg_model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Crooked Run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Crooked Run</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fac_model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Blue Ridge Shadows Golf Club:Shenandoah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Blue Ridge Shadows Golf Club:Shenandoah River</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bl>
    <w:p>
      <w:pPr>
        <w:sectPr>
          <w:pgSz w:h="11906" w:w="16838" w:orient="landscape"/>
          <w:type w:val="oddPage"/>
          <w:cols/>
          <w:pgMar xmlns:w="http://schemas.openxmlformats.org/wordprocessingml/2006/main" w:header="0" w:bottom="720" w:top="720" w:right="1440" w:left="720" w:footer="0" w:gutter="720"/>
        </w:sectPr>
      </w:pPr>
    </w:p>
    <w:bookmarkEnd w:id="32"/>
    <w:bookmarkStart w:id="33" w:name="reservoir-storage-plots"/>
    <w:p>
      <w:pPr>
        <w:pStyle w:val="Titre1"/>
      </w:pPr>
      <w:r>
        <w:t xml:space="preserve">Reservoir Storage Plots:</w:t>
      </w:r>
    </w:p>
    <w:p>
      <w:pPr>
        <w:pStyle w:val="SourceCode"/>
      </w:pPr>
      <w:r>
        <w:rPr>
          <w:rStyle w:val="VerbatimChar"/>
        </w:rPr>
        <w:t xml:space="preserve">## This property does not exist</w:t>
      </w:r>
    </w:p>
    <w:p>
      <w:pPr>
        <w:pStyle w:val="SourceCode"/>
      </w:pPr>
      <w:r>
        <w:rPr>
          <w:rStyle w:val="VerbatimChar"/>
        </w:rPr>
        <w:t xml:space="preserve">## Number of properties found: 1</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r>
        <w:br/>
      </w:r>
      <w:r>
        <w:rPr>
          <w:rStyle w:val="VerbatimChar"/>
        </w:rPr>
        <w:t xml:space="preserve">## Number of properties found: 1</w:t>
      </w:r>
    </w:p>
    <w:p>
      <w:pPr>
        <w:pStyle w:val="Normal"/>
      </w:pPr>
      <w:r>
        <w:t xml:space="preserve">[1]</w:t>
      </w:r>
      <w:r>
        <w:t xml:space="preserve"> </w:t>
      </w:r>
      <w:r>
        <w:t xml:space="preserve">“</w:t>
      </w:r>
      <w:r>
        <w:t xml:space="preserve">No riverseg impoundment for run id 600</w:t>
      </w:r>
      <w:r>
        <w:t xml:space="preserve">”</w:t>
      </w:r>
    </w:p>
    <w:bookmarkEnd w:id="33"/>
    <w:bookmarkStart w:id="46" w:name="unmet-demand-heatmaps"/>
    <w:p>
      <w:pPr>
        <w:pStyle w:val="Titre1"/>
      </w:pPr>
      <w:r>
        <w:t xml:space="preserve">Unmet Demand Heatmaps:</w:t>
      </w:r>
    </w:p>
    <w:p>
      <w:pPr>
        <w:pStyle w:val="SourceCode"/>
      </w:pPr>
      <w:r>
        <w:rPr>
          <w:rStyle w:val="VerbatimChar"/>
        </w:rPr>
        <w:t xml:space="preserve">## Number of properties found: 1</w:t>
      </w:r>
    </w:p>
    <w:bookmarkStart w:id="35" w:name="reservoir-storage-current-permit"/>
    <w:p>
      <w:pPr>
        <w:pStyle w:val="Titre2"/>
      </w:pPr>
      <w:r>
        <w:t xml:space="preserve">Reservoir Storage: Current Permit</w:t>
      </w:r>
    </w:p>
    <w:p>
      <w:pPr>
        <w:pStyle w:val="Normal"/>
      </w:pPr>
      <w:r>
        <w:drawing>
          <wp:inline>
            <wp:extent cx="5969000" cy="3769894"/>
            <wp:effectExtent b="0" l="0" r="0" t="0"/>
            <wp:docPr descr="" title="" id="3" name="Picture"/>
            <a:graphic>
              <a:graphicData uri="http://schemas.openxmlformats.org/drawingml/2006/picture">
                <pic:pic>
                  <pic:nvPicPr>
                    <pic:cNvPr descr="http://deq1.bse.vt.edu:81/data/proj3/out/fig.unmet_heatmap_amt.351628.400.png" id="4" name="Picture"/>
                    <pic:cNvPicPr>
                      <a:picLocks noChangeArrowheads="1" noChangeAspect="1"/>
                    </pic:cNvPicPr>
                  </pic:nvPicPr>
                  <pic:blipFill>
                    <a:blip r:embed="rId34"/>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5"/>
    <w:bookmarkStart w:id="37" w:name="unmet-demand-current-permit"/>
    <w:p>
      <w:pPr>
        <w:pStyle w:val="Titre2"/>
      </w:pPr>
      <w:r>
        <w:t xml:space="preserve">Unmet Demand: Current Permit</w:t>
      </w:r>
    </w:p>
    <w:p>
      <w:pPr>
        <w:pStyle w:val="Normal"/>
      </w:pPr>
      <w:r>
        <w:drawing>
          <wp:inline>
            <wp:extent cx="5969000" cy="4050392"/>
            <wp:effectExtent b="0" l="0" r="0" t="0"/>
            <wp:docPr descr="" title="" id="5" name="Picture"/>
            <a:graphic>
              <a:graphicData uri="http://schemas.openxmlformats.org/drawingml/2006/picture">
                <pic:pic>
                  <pic:nvPicPr>
                    <pic:cNvPr descr="http://deq1.bse.vt.edu:81/data/proj3/out/fig.30daymax_unmet.351628.400.png" id="6" name="Picture"/>
                    <pic:cNvPicPr>
                      <a:picLocks noChangeArrowheads="1" noChangeAspect="1"/>
                    </pic:cNvPicPr>
                  </pic:nvPicPr>
                  <pic:blipFill>
                    <a:blip r:embed="rId36"/>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7"/>
    <w:bookmarkStart w:id="39" w:name="reservoir-storage-current-permit-1"/>
    <w:p>
      <w:pPr>
        <w:pStyle w:val="Titre2"/>
      </w:pPr>
      <w:r>
        <w:t xml:space="preserve">Reservoir Storage: Current Permit</w:t>
      </w:r>
    </w:p>
    <w:p>
      <w:pPr>
        <w:pStyle w:val="Normal"/>
      </w:pPr>
      <w:r>
        <w:drawing>
          <wp:inline>
            <wp:extent cx="5969000" cy="5969000"/>
            <wp:effectExtent b="0" l="0" r="0" t="0"/>
            <wp:docPr descr="" title="" id="7" name="Picture"/>
            <a:graphic>
              <a:graphicData uri="http://schemas.openxmlformats.org/drawingml/2006/picture">
                <pic:pic>
                  <pic:nvPicPr>
                    <pic:cNvPr descr="http://deq1.bse.vt.edu:81/data/proj3/out/fig.imp_storage.all.351628.400.png" id="8"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9"/>
    <w:bookmarkStart w:id="41" w:name="reservoir-storage-90-flow-by"/>
    <w:p>
      <w:pPr>
        <w:pStyle w:val="Titre2"/>
      </w:pPr>
      <w:r>
        <w:t xml:space="preserve">Reservoir Storage: 90% Flow-by</w:t>
      </w:r>
    </w:p>
    <w:p>
      <w:pPr>
        <w:pStyle w:val="Normal"/>
      </w:pPr>
      <w:r>
        <w:drawing>
          <wp:inline>
            <wp:extent cx="5969000" cy="3769894"/>
            <wp:effectExtent b="0" l="0" r="0" t="0"/>
            <wp:docPr descr="" title="" id="9" name="Picture"/>
            <a:graphic>
              <a:graphicData uri="http://schemas.openxmlformats.org/drawingml/2006/picture">
                <pic:pic>
                  <pic:nvPicPr>
                    <pic:cNvPr descr="http://deq1.bse.vt.edu:81/data/proj3/out/fig.unmet_heatmap_amt.351628.600.png" id="10" name="Picture"/>
                    <pic:cNvPicPr>
                      <a:picLocks noChangeArrowheads="1" noChangeAspect="1"/>
                    </pic:cNvPicPr>
                  </pic:nvPicPr>
                  <pic:blipFill>
                    <a:blip r:embed="rId40"/>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41"/>
    <w:bookmarkStart w:id="43" w:name="unmet-demand-90-flow-by"/>
    <w:p>
      <w:pPr>
        <w:pStyle w:val="Titre2"/>
      </w:pPr>
      <w:r>
        <w:t xml:space="preserve">Unmet Demand: 90% Flow-by</w:t>
      </w:r>
    </w:p>
    <w:p>
      <w:pPr>
        <w:pStyle w:val="Normal"/>
      </w:pPr>
      <w:r>
        <w:drawing>
          <wp:inline>
            <wp:extent cx="5969000" cy="4050392"/>
            <wp:effectExtent b="0" l="0" r="0" t="0"/>
            <wp:docPr descr="" title="" id="11" name="Picture"/>
            <a:graphic>
              <a:graphicData uri="http://schemas.openxmlformats.org/drawingml/2006/picture">
                <pic:pic>
                  <pic:nvPicPr>
                    <pic:cNvPr descr="http://deq1.bse.vt.edu:81/data/proj3/out/fig.30daymax_unmet.351628.600.png" id="12" name="Picture"/>
                    <pic:cNvPicPr>
                      <a:picLocks noChangeArrowheads="1" noChangeAspect="1"/>
                    </pic:cNvPicPr>
                  </pic:nvPicPr>
                  <pic:blipFill>
                    <a:blip r:embed="rId42"/>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43"/>
    <w:bookmarkStart w:id="45" w:name="reservoir-storage-90-flow-by-1"/>
    <w:p>
      <w:pPr>
        <w:pStyle w:val="Titre2"/>
      </w:pPr>
      <w:r>
        <w:t xml:space="preserve">Reservoir Storage: 90% Flow-by</w:t>
      </w:r>
    </w:p>
    <w:p>
      <w:pPr>
        <w:pStyle w:val="Normal"/>
      </w:pPr>
      <w:r>
        <w:drawing>
          <wp:inline>
            <wp:extent cx="5969000" cy="5969000"/>
            <wp:effectExtent b="0" l="0" r="0" t="0"/>
            <wp:docPr descr="" title="" id="13" name="Picture"/>
            <a:graphic>
              <a:graphicData uri="http://schemas.openxmlformats.org/drawingml/2006/picture">
                <pic:pic>
                  <pic:nvPicPr>
                    <pic:cNvPr descr="http://deq1.bse.vt.edu:81/data/proj3/out/fig.imp_storage.all.351628.600.png" id="14" name="Picture"/>
                    <pic:cNvPicPr>
                      <a:picLocks noChangeArrowheads="1" noChangeAspect="1"/>
                    </pic:cNvPicPr>
                  </pic:nvPicPr>
                  <pic:blipFill>
                    <a:blip r:embed="rId44"/>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5"/>
    <w:bookmarkEnd w:id="46"/>
    <w:bookmarkStart w:id="49" w:name="ecological-impacts-assessment"/>
    <w:p>
      <w:pPr>
        <w:pStyle w:val="Titre1"/>
      </w:pPr>
      <w:r>
        <w:t xml:space="preserve">Ecological Impacts Assessment:</w:t>
      </w:r>
    </w:p>
    <w:bookmarkStart w:id="47" w:name="elfgen"/>
    <w:p>
      <w:pPr>
        <w:pStyle w:val="Titre2"/>
      </w:pPr>
      <w:r>
        <w:t xml:space="preserve">Elfgen:</w:t>
      </w:r>
    </w:p>
    <w:p>
      <w:pPr>
        <w:pStyle w:val="Normal"/>
      </w:pPr>
      <w:r>
        <w:rPr>
          <w:i/>
        </w:rPr>
        <w:t xml:space="preserve">No elfgen plot available for this model</w:t>
      </w:r>
    </w:p>
    <w:bookmarkEnd w:id="47"/>
    <w:bookmarkStart w:id="48" w:name="habitat-if-applicable"/>
    <w:p>
      <w:pPr>
        <w:pStyle w:val="Titre2"/>
      </w:pPr>
      <w:r>
        <w:t xml:space="preserve">Habitat (If Applicable):</w:t>
      </w:r>
    </w:p>
    <w:p>
      <w:r>
        <w:br w:type="page"/>
      </w:r>
    </w:p>
    <w:bookmarkEnd w:id="48"/>
    <w:bookmarkEnd w:id="49"/>
    <w:bookmarkStart w:id="50"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50"/>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6" Type="http://schemas.openxmlformats.org/officeDocument/2006/relationships/image" Target="media/rId36.png"/>
<Relationship Id="rId42" Type="http://schemas.openxmlformats.org/officeDocument/2006/relationships/image" Target="media/rId42.png"/>
<Relationship Id="rId38" Type="http://schemas.openxmlformats.org/officeDocument/2006/relationships/image" Target="media/rId38.png"/>
<Relationship Id="rId44" Type="http://schemas.openxmlformats.org/officeDocument/2006/relationships/image" Target="media/rId44.png"/>
<Relationship Id="rId27" Type="http://schemas.openxmlformats.org/officeDocument/2006/relationships/image" Target="media/rId27.png"/>
<Relationship Id="rId34" Type="http://schemas.openxmlformats.org/officeDocument/2006/relationships/image" Target="media/rId34.png"/>
<Relationship Id="rId40" Type="http://schemas.openxmlformats.org/officeDocument/2006/relationships/image" Target="media/rId40.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2021-08-17T15:57:54Z</dcterms:created>
  <dcterms:modified xsi:type="dcterms:W3CDTF">2021-08-17T11:58:05Z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08/17/2021</vt:lpwstr>
  </property>
  <property fmtid="{D5CDD505-2E9C-101B-9397-08002B2CF9AE}" pid="3" name="output">
    <vt:lpwstr/>
  </property>
  <property fmtid="{D5CDD505-2E9C-101B-9397-08002B2CF9AE}" pid="4" name="params">
    <vt:lpwstr/>
  </property>
</Properties>
</file>