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2.png" ContentType="image/png"/>
  <Override PartName="/word/media/rId46.png" ContentType="image/png"/>
  <Override PartName="/word/media/rId50.png" ContentType="image/png"/>
  <Override PartName="/word/media/rId53.png" ContentType="image/png"/>
  <Override PartName="/word/media/rId33.png" ContentType="image/png"/>
  <Override PartName="/word/media/rId35.png" ContentType="image/png"/>
  <Override PartName="/word/media/rId37.png" ContentType="image/png"/>
  <Override PartName="/word/media/rId26.png" ContentType="image/png"/>
  <Override PartName="/word/media/rId40.png" ContentType="image/png"/>
  <Override PartName="/word/media/rId44.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07/22/2021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Existing reported use conditions</w:t>
      </w:r>
      <w:r>
        <w:rPr>
          <w:b/>
        </w:rPr>
        <w:t xml:space="preserve"> </w:t>
      </w:r>
      <w:r>
        <w:t xml:space="preserve"> </w:t>
      </w:r>
      <w:r>
        <w:t xml:space="preserve">(Current Use) - The current use scenario is modeled withdrawing around 2 mgd/day on average based on current reported withdrawals.</w:t>
      </w:r>
    </w:p>
    <w:p>
      <w:pPr>
        <w:numPr>
          <w:numId w:val="1001"/>
          <w:ilvl w:val="0"/>
        </w:numPr>
      </w:pPr>
      <w:r>
        <w:rPr>
          <w:b/>
        </w:rPr>
        <w:t xml:space="preserve">Existing permit conditions</w:t>
      </w:r>
      <w:r>
        <w:t xml:space="preserve"> </w:t>
      </w:r>
      <w:r>
        <w:t xml:space="preserve">(Current Permit) - The existing permit scenario has an annual withdrawal limit of 1168 mg/yr (3.2 mgd) and a static flowby of 0.5 mgd.</w:t>
      </w:r>
    </w:p>
    <w:p>
      <w:pPr>
        <w:numPr>
          <w:numId w:val="1001"/>
          <w:ilvl w:val="0"/>
        </w:numPr>
      </w:pPr>
      <w:r>
        <w:rPr>
          <w:b/>
        </w:rPr>
        <w:t xml:space="preserve">Draft permit alternative 1</w:t>
      </w:r>
      <w:r>
        <w:t xml:space="preserve"> </w:t>
      </w:r>
      <w:r>
        <w:t xml:space="preserve">(Annual Withdrawal Limit 949 mg/yr = 2.6 mgd) - This scenario reduces the maximum annual withdrawal limit from the Powell River from 3.2 mgd to 2.6 mgd.</w:t>
      </w:r>
    </w:p>
    <w:p>
      <w:r>
        <w:br w:type="page"/>
      </w:r>
    </w:p>
    <w:p>
      <w:pPr>
        <w:pStyle w:val="Titre1"/>
      </w:pPr>
      <w:bookmarkStart w:id="28" w:name="X2a107ed99cb2b247aedabdf1b3de3d5bb1602a7"/>
      <w:r>
        <w:t xml:space="preserve">Intake Site Description &amp; Current Estimated Stream Flows</w:t>
      </w:r>
      <w:bookmarkEnd w:id="28"/>
    </w:p>
    <w:p>
      <w:pPr>
        <w:pStyle w:val="FirstParagraph"/>
      </w:pPr>
      <w:r>
        <w:rPr>
          <w:b/>
        </w:rPr>
        <w:t xml:space="preserve">Table 1:</w:t>
      </w:r>
      <w:r>
        <w:t xml:space="preserve"> </w:t>
      </w:r>
      <w:r>
        <w:t xml:space="preserve">Modeled monthly current flow statistics for South Fork Powell River Intake in cubic feet per second (cfs). Columns show non-exceedence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839"/>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388.9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127.8</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349.7</w:t>
            </w:r>
          </w:p>
        </w:tc>
      </w:tr>
    </w:tbl>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Existing reported use conditions</w:t>
      </w:r>
      <w:r>
        <w:rPr>
          <w:b/>
        </w:rPr>
        <w:t xml:space="preserve"> </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Existing permit conditions</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permit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Current Conditions,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38" w:name="unmet-demand-heatmaps"/>
      <w:r>
        <w:t xml:space="preserve">Unmet Demand Heatmaps:</w:t>
      </w:r>
      <w:bookmarkEnd w:id="38"/>
    </w:p>
    <w:p>
      <w:pPr>
        <w:pStyle w:val="SourceCode"/>
      </w:pPr>
      <w:r>
        <w:rPr>
          <w:rStyle w:val="VerbatimChar"/>
        </w:rPr>
        <w:t xml:space="preserve">## Number of properties found: 1</w:t>
      </w:r>
    </w:p>
    <w:p>
      <w:pPr>
        <w:pStyle w:val="Titre2"/>
      </w:pPr>
      <w:bookmarkStart w:id="39" w:name="reservoir-storage-run-201-1"/>
      <w:r>
        <w:t xml:space="preserve">Reservoir Storage: run 201</w:t>
      </w:r>
      <w:bookmarkEnd w:id="39"/>
    </w:p>
    <w:p>
      <w:pPr>
        <w:pStyle w:val="FirstParagraph"/>
      </w:pPr>
      <w:r>
        <w:drawing>
          <wp:inline>
            <wp:extent cx="5969000" cy="3769894"/>
            <wp:effectExtent b="0" l="0" r="0" t="0"/>
            <wp:docPr descr="" title="" id="9" name="Picture"/>
            <a:graphic>
              <a:graphicData uri="http://schemas.openxmlformats.org/drawingml/2006/picture">
                <pic:pic>
                  <pic:nvPicPr>
                    <pic:cNvPr descr="http://deq1.bse.vt.edu:81/data/proj3/out/fig.unmet_heatmap_amt.247415.201.png" id="10"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1" w:name="unmet-demand-run-201"/>
      <w:r>
        <w:t xml:space="preserve">Unmet Demand: run 201</w:t>
      </w:r>
      <w:bookmarkEnd w:id="41"/>
    </w:p>
    <w:p>
      <w:pPr>
        <w:pStyle w:val="FirstParagraph"/>
      </w:pPr>
      <w:r>
        <w:drawing>
          <wp:inline>
            <wp:extent cx="5969000" cy="4050392"/>
            <wp:effectExtent b="0" l="0" r="0" t="0"/>
            <wp:docPr descr="" title="" id="11" name="Picture"/>
            <a:graphic>
              <a:graphicData uri="http://schemas.openxmlformats.org/drawingml/2006/picture">
                <pic:pic>
                  <pic:nvPicPr>
                    <pic:cNvPr descr="http://deq1.bse.vt.edu:81/data/proj3/out/fig.30daymax_unmet.247415.201.png" id="12" name="Picture"/>
                    <pic:cNvPicPr>
                      <a:picLocks noChangeArrowheads="1" noChangeAspect="1"/>
                    </pic:cNvPicPr>
                  </pic:nvPicPr>
                  <pic:blipFill>
                    <a:blip r:embed="rId4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3" w:name="reservoir-storage-run-401-1"/>
      <w:r>
        <w:t xml:space="preserve">Reservoir Storage: run 401</w:t>
      </w:r>
      <w:bookmarkEnd w:id="43"/>
    </w:p>
    <w:p>
      <w:pPr>
        <w:pStyle w:val="FirstParagraph"/>
      </w:pPr>
      <w:r>
        <w:drawing>
          <wp:inline>
            <wp:extent cx="5969000" cy="3769894"/>
            <wp:effectExtent b="0" l="0" r="0" t="0"/>
            <wp:docPr descr="" title="" id="13" name="Picture"/>
            <a:graphic>
              <a:graphicData uri="http://schemas.openxmlformats.org/drawingml/2006/picture">
                <pic:pic>
                  <pic:nvPicPr>
                    <pic:cNvPr descr="http://deq1.bse.vt.edu:81/data/proj3/out/fig.unmet_heatmap_amt.247415.401.png" id="14"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5" w:name="unmet-demand-run-401"/>
      <w:r>
        <w:t xml:space="preserve">Unmet Demand: run 401</w:t>
      </w:r>
      <w:bookmarkEnd w:id="45"/>
    </w:p>
    <w:p>
      <w:pPr>
        <w:pStyle w:val="FirstParagraph"/>
      </w:pPr>
      <w:r>
        <w:drawing>
          <wp:inline>
            <wp:extent cx="5969000" cy="4050392"/>
            <wp:effectExtent b="0" l="0" r="0" t="0"/>
            <wp:docPr descr="" title="" id="15" name="Picture"/>
            <a:graphic>
              <a:graphicData uri="http://schemas.openxmlformats.org/drawingml/2006/picture">
                <pic:pic>
                  <pic:nvPicPr>
                    <pic:cNvPr descr="http://deq1.bse.vt.edu:81/data/proj3/out/fig.30daymax_unmet.247415.401.png" id="16" name="Picture"/>
                    <pic:cNvPicPr>
                      <a:picLocks noChangeArrowheads="1" noChangeAspect="1"/>
                    </pic:cNvPicPr>
                  </pic:nvPicPr>
                  <pic:blipFill>
                    <a:blip r:embed="rId4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7" w:name="reservoir-storage-run-6011-1"/>
      <w:r>
        <w:t xml:space="preserve">Reservoir Storage: run 6011</w:t>
      </w:r>
      <w:bookmarkEnd w:id="47"/>
    </w:p>
    <w:p>
      <w:pPr>
        <w:pStyle w:val="FirstParagraph"/>
      </w:pPr>
      <w:r>
        <w:drawing>
          <wp:inline>
            <wp:extent cx="5969000" cy="3769894"/>
            <wp:effectExtent b="0" l="0" r="0" t="0"/>
            <wp:docPr descr="" title="" id="17" name="Picture"/>
            <a:graphic>
              <a:graphicData uri="http://schemas.openxmlformats.org/drawingml/2006/picture">
                <pic:pic>
                  <pic:nvPicPr>
                    <pic:cNvPr descr="http://deq1.bse.vt.edu:81/data/proj3/out/fig.unmet_heatmap_amt.247415.6011.png" id="18" name="Picture"/>
                    <pic:cNvPicPr>
                      <a:picLocks noChangeArrowheads="1" noChangeAspect="1"/>
                    </pic:cNvPicPr>
                  </pic:nvPicPr>
                  <pic:blipFill>
                    <a:blip r:embed="rId48"/>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9" w:name="unmet-demand-run-6011"/>
      <w:r>
        <w:t xml:space="preserve">Unmet Demand: run 6011</w:t>
      </w:r>
      <w:bookmarkEnd w:id="49"/>
    </w:p>
    <w:p>
      <w:pPr>
        <w:pStyle w:val="FirstParagraph"/>
      </w:pPr>
      <w:r>
        <w:drawing>
          <wp:inline>
            <wp:extent cx="5969000" cy="4050392"/>
            <wp:effectExtent b="0" l="0" r="0" t="0"/>
            <wp:docPr descr="" title="" id="19" name="Picture"/>
            <a:graphic>
              <a:graphicData uri="http://schemas.openxmlformats.org/drawingml/2006/picture">
                <pic:pic>
                  <pic:nvPicPr>
                    <pic:cNvPr descr="http://deq1.bse.vt.edu:81/data/proj3/out/fig.30daymax_unmet.247415.6011.png" id="20" name="Picture"/>
                    <pic:cNvPicPr>
                      <a:picLocks noChangeArrowheads="1" noChangeAspect="1"/>
                    </pic:cNvPicPr>
                  </pic:nvPicPr>
                  <pic:blipFill>
                    <a:blip r:embed="rId50"/>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Titre1"/>
      </w:pPr>
      <w:bookmarkStart w:id="51" w:name="ecological-impacts-assessment"/>
      <w:r>
        <w:t xml:space="preserve">Ecological Impacts Assessment:</w:t>
      </w:r>
      <w:bookmarkEnd w:id="51"/>
    </w:p>
    <w:p>
      <w:pPr>
        <w:pStyle w:val="Titre2"/>
      </w:pPr>
      <w:bookmarkStart w:id="52" w:name="elfgen"/>
      <w:r>
        <w:t xml:space="preserve">Elfgen:</w:t>
      </w:r>
      <w:bookmarkEnd w:id="52"/>
    </w:p>
    <w:p>
      <w:pPr>
        <w:pStyle w:val="FirstParagraph"/>
      </w:pPr>
      <w:r>
        <w:drawing>
          <wp:inline>
            <wp:extent cx="5969000" cy="4689928"/>
            <wp:effectExtent b="0" l="0" r="0" t="0"/>
            <wp:docPr descr="" title="" id="21" name="Picture"/>
            <a:graphic>
              <a:graphicData uri="http://schemas.openxmlformats.org/drawingml/2006/picture">
                <pic:pic>
                  <pic:nvPicPr>
                    <pic:cNvPr descr="http://deq1.bse.vt.edu:81/data/proj3/out/fig.elfgen.6559491.png" id="22" name="Picture"/>
                    <pic:cNvPicPr>
                      <a:picLocks noChangeArrowheads="1" noChangeAspect="1"/>
                    </pic:cNvPicPr>
                  </pic:nvPicPr>
                  <pic:blipFill>
                    <a:blip r:embed="rId53"/>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54" w:name="habitat-if-applicable"/>
      <w:r>
        <w:t xml:space="preserve">Habitat (If Applicable):</w:t>
      </w:r>
      <w:bookmarkEnd w:id="54"/>
    </w:p>
    <w:p>
      <w:r>
        <w:br w:type="page"/>
      </w:r>
    </w:p>
    <w:p>
      <w:pPr>
        <w:pStyle w:val="Titre1"/>
      </w:pPr>
      <w:bookmarkStart w:id="55" w:name="additional-sections"/>
      <w:r>
        <w:t xml:space="preserve">Additional Sections</w:t>
      </w:r>
      <w:bookmarkEnd w:id="55"/>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3" Type="http://schemas.openxmlformats.org/officeDocument/2006/relationships/image" Target="media/rId53.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26" Type="http://schemas.openxmlformats.org/officeDocument/2006/relationships/image" Target="media/rId26.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2021-07-22T15:21:31Z</dcterms:created>
  <dcterms:modified xsi:type="dcterms:W3CDTF">2021-07-22T11:21:38Z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07/22/2021</vt:lpwstr>
  </property>
  <property fmtid="{D5CDD505-2E9C-101B-9397-08002B2CF9AE}" pid="3" name="output">
    <vt:lpwstr/>
  </property>
</Properties>
</file>